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ED" w:rsidRPr="002454EF" w:rsidRDefault="002D7917" w:rsidP="00D871E7">
      <w:pPr>
        <w:spacing w:line="180" w:lineRule="auto"/>
        <w:ind w:firstLineChars="200" w:firstLine="1040"/>
        <w:jc w:val="center"/>
        <w:rPr>
          <w:rFonts w:ascii="方正小标宋简体" w:eastAsia="方正小标宋简体" w:hAnsi="方正小标宋简体" w:cs="方正小标宋简体"/>
          <w:sz w:val="52"/>
          <w:szCs w:val="52"/>
        </w:rPr>
      </w:pPr>
      <w:r w:rsidRPr="002454EF">
        <w:rPr>
          <w:rFonts w:ascii="方正小标宋简体" w:eastAsia="方正小标宋简体" w:hAnsi="方正小标宋简体" w:cs="方正小标宋简体" w:hint="eastAsia"/>
          <w:sz w:val="52"/>
          <w:szCs w:val="52"/>
        </w:rPr>
        <w:t>太白县靖口镇</w:t>
      </w:r>
      <w:r w:rsidRPr="002454EF">
        <w:rPr>
          <w:rFonts w:ascii="方正小标宋简体" w:eastAsia="方正小标宋简体" w:hAnsi="方正小标宋简体" w:cs="方正小标宋简体"/>
          <w:sz w:val="52"/>
          <w:szCs w:val="52"/>
        </w:rPr>
        <w:t>2018</w:t>
      </w:r>
      <w:r w:rsidRPr="002454EF">
        <w:rPr>
          <w:rFonts w:ascii="方正小标宋简体" w:eastAsia="方正小标宋简体" w:hAnsi="方正小标宋简体" w:cs="方正小标宋简体" w:hint="eastAsia"/>
          <w:sz w:val="52"/>
          <w:szCs w:val="52"/>
        </w:rPr>
        <w:t>年部门综合预算说明</w:t>
      </w:r>
    </w:p>
    <w:p w:rsidR="00615FED" w:rsidRDefault="002D7917" w:rsidP="00D871E7">
      <w:pPr>
        <w:spacing w:line="180" w:lineRule="auto"/>
        <w:ind w:firstLineChars="200" w:firstLine="422"/>
        <w:jc w:val="center"/>
        <w:rPr>
          <w:b/>
        </w:rPr>
      </w:pPr>
      <w:r>
        <w:rPr>
          <w:b/>
        </w:rPr>
        <w:t xml:space="preserve"> </w:t>
      </w:r>
    </w:p>
    <w:p w:rsidR="003F18F3" w:rsidRPr="00C10965" w:rsidRDefault="00DE53EF" w:rsidP="00C10965">
      <w:pPr>
        <w:ind w:firstLineChars="200" w:firstLine="640"/>
        <w:rPr>
          <w:rFonts w:ascii="仿宋_GB2312" w:eastAsia="仿宋_GB2312" w:hAnsi="华文楷体"/>
          <w:b/>
          <w:sz w:val="32"/>
          <w:szCs w:val="32"/>
        </w:rPr>
      </w:pPr>
      <w:r w:rsidRPr="002454EF">
        <w:rPr>
          <w:rFonts w:ascii="黑体" w:eastAsia="黑体" w:hAnsi="宋体" w:cs="黑体" w:hint="eastAsia"/>
          <w:color w:val="000000"/>
          <w:kern w:val="0"/>
          <w:sz w:val="32"/>
          <w:szCs w:val="32"/>
        </w:rPr>
        <w:t>一、部门主要职责</w:t>
      </w:r>
      <w:r w:rsidR="00B502BC" w:rsidRPr="008F302B">
        <w:rPr>
          <w:rFonts w:ascii="仿宋" w:eastAsia="仿宋" w:hAnsi="仿宋" w:cs="仿宋"/>
          <w:sz w:val="32"/>
          <w:szCs w:val="32"/>
        </w:rPr>
        <w:br/>
        <w:t xml:space="preserve">    </w:t>
      </w:r>
      <w:r w:rsidR="003F18F3" w:rsidRPr="0006094C">
        <w:rPr>
          <w:rFonts w:ascii="仿宋_GB2312" w:eastAsia="仿宋_GB2312" w:hAnsi="仿宋_GB2312" w:cs="仿宋_GB2312"/>
          <w:kern w:val="0"/>
          <w:sz w:val="32"/>
          <w:szCs w:val="32"/>
          <w:lang w:bidi="zh-CN"/>
        </w:rPr>
        <w:t>镇政府的主要职责</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1</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执行本级人民代表大会的决议和上级国家行政机关的决定和命令，发布决议和命令。</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2</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以经济建设为中心，大力发展地区经济，加大招商引资力度，推动第三产业发展，积极完成县政府下达的各项经济指标，增加农民收入，努力提高本地区人民群众的生活水平。</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3</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保护国家和集体财产，维护社会秩序，保障公民的人身权利、民主权利和其他权利。贯彻执行少数民族政策，保障少数民族的权利，尊重少数民族的风俗习惯。</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4</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安排部署重点工程，特别是农业结构调整、农田水利、农业开发、交通、大型公共设施的建设，办好公共事务和公益事业。</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5</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搞好村民委员会的组织建设和制度建设，指导村民委员会的换届选举，并支持其依法开展工作。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6</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承办县人民政府交办的其他各项工作。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lastRenderedPageBreak/>
        <w:t>公用事业服务站的主要职责：为本乡镇人民提供公共服务，主要从事道路管护、环境卫生、供水供电等公共事业服务。</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经济综合服务站的主要职责：主要承担产业发展、农业综合开发工作及农业、林业、水利、农业生产经营、集体资产管理、土地流转、科技推广、就业创业、农资产品安全质量监管等具体服务工作。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社会保障服务站的主要职责：开展就业、人力资源、劳动力流动、社会保障等宣传、咨询、调查、统计工作，建立基础台账，实行动态管理；负责受理就业登记、失业登记申请和初审，收集、发布就业信息，开展职业指导、介绍及农村劳动力转移等服务。</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畜牧兽医技术推广站的主要职责：宣传贯彻国家有关畜牧业的方针、政策和有关发展畜牧业生产的法律法规；组织制定辖区内畜牧业发展规划、计划，并加以落实实施；负责对辖区内动物和动物产品检疫、产地检疫及屠宰检疫等，对村级动物防疫员的业务培训、指导和监督管理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食品药品监督管理所的主要职责：负责辖区内食品药品和医疗单位安全知识和法律法规的宣传教育，普及食品药品安全常识，建立健全基础档案，并对其进行日常监管和动态监管，履行食品药品安全监管职责，确保食品药品安全。</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财政所的主要职责</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lastRenderedPageBreak/>
        <w:t>1</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负责预算内、预算外和代管资金的收支管理。</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2</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负责财政年度预算、决算编制工作，做好预算执行情况分析，预决算公开。</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3</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负责农业专项资金、一事一议资金、社会救灾救济资金、惠农补贴资金管理工作。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4</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指导和协助农村经济组织，事业单位、站所单位建立、健全各项财务会计制度，并监督执行，并做好代理记账工作。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5</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负责会计资料、经济合同及有关文件的档案管理工作。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林业站的主要职责</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1</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宣传与贯彻执行林业法律法规和各项林业方针、政策；协助乡镇制定林业发展规划和年度计划，组织指导农村集体、个人开展林业生产经营活动</w:t>
      </w:r>
      <w:r w:rsidRPr="0006094C">
        <w:rPr>
          <w:rFonts w:ascii="仿宋_GB2312" w:eastAsia="仿宋_GB2312" w:hAnsi="仿宋_GB2312" w:cs="仿宋_GB2312" w:hint="eastAsia"/>
          <w:kern w:val="0"/>
          <w:sz w:val="32"/>
          <w:szCs w:val="32"/>
          <w:lang w:bidi="zh-CN"/>
        </w:rPr>
        <w:t>。</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2</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开展森林资源调查、造林检查验收、林业统计和森林资源档案管理工作。</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3</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做好森林防火、森林病虫害防治工作；依法保护管理林地、森林和野生动植物资源。</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4</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协助处理山林权属纠纷、查处破坏森林和野生动植物资源案件。</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t>5</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推广林业科学技术，开展林业技术培训、技术咨询和技术服务等，为林农提供产前、产中、产后服务。</w:t>
      </w:r>
    </w:p>
    <w:p w:rsidR="003F18F3" w:rsidRPr="0006094C" w:rsidRDefault="003F18F3" w:rsidP="003F18F3">
      <w:pPr>
        <w:widowControl/>
        <w:autoSpaceDE w:val="0"/>
        <w:autoSpaceDN w:val="0"/>
        <w:spacing w:line="560" w:lineRule="exact"/>
        <w:ind w:firstLineChars="200" w:firstLine="640"/>
        <w:jc w:val="left"/>
        <w:rPr>
          <w:rFonts w:ascii="仿宋_GB2312" w:eastAsia="仿宋_GB2312" w:hAnsi="仿宋_GB2312" w:cs="仿宋_GB2312"/>
          <w:kern w:val="0"/>
          <w:sz w:val="32"/>
          <w:szCs w:val="32"/>
          <w:lang w:bidi="zh-CN"/>
        </w:rPr>
      </w:pPr>
      <w:r w:rsidRPr="0006094C">
        <w:rPr>
          <w:rFonts w:ascii="仿宋_GB2312" w:eastAsia="仿宋_GB2312" w:hAnsi="仿宋_GB2312" w:cs="仿宋_GB2312"/>
          <w:kern w:val="0"/>
          <w:sz w:val="32"/>
          <w:szCs w:val="32"/>
          <w:lang w:bidi="zh-CN"/>
        </w:rPr>
        <w:lastRenderedPageBreak/>
        <w:t>6</w:t>
      </w:r>
      <w:r w:rsidRPr="0006094C">
        <w:rPr>
          <w:rFonts w:ascii="仿宋_GB2312" w:eastAsia="仿宋_GB2312" w:hAnsi="仿宋_GB2312" w:cs="仿宋_GB2312" w:hint="eastAsia"/>
          <w:kern w:val="0"/>
          <w:sz w:val="32"/>
          <w:szCs w:val="32"/>
          <w:lang w:bidi="zh-CN"/>
        </w:rPr>
        <w:t>.</w:t>
      </w:r>
      <w:r w:rsidRPr="0006094C">
        <w:rPr>
          <w:rFonts w:ascii="仿宋_GB2312" w:eastAsia="仿宋_GB2312" w:hAnsi="仿宋_GB2312" w:cs="仿宋_GB2312"/>
          <w:kern w:val="0"/>
          <w:sz w:val="32"/>
          <w:szCs w:val="32"/>
          <w:lang w:bidi="zh-CN"/>
        </w:rPr>
        <w:t>负责本辖区内生态公益林、退耕还林的保护和管理，做好森林生态效益补助资金和退耕还林资金的发放和护林员的管理工作。</w:t>
      </w:r>
    </w:p>
    <w:p w:rsidR="00615FED" w:rsidRPr="00BD250C" w:rsidRDefault="002D7917" w:rsidP="003F18F3">
      <w:pPr>
        <w:widowControl/>
        <w:spacing w:line="560" w:lineRule="exact"/>
        <w:ind w:leftChars="200" w:left="420" w:firstLineChars="200" w:firstLine="640"/>
        <w:jc w:val="left"/>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二、2018年年度部门工作任务</w:t>
      </w:r>
    </w:p>
    <w:p w:rsidR="00615FED" w:rsidRPr="00DE53EF" w:rsidRDefault="002D7917" w:rsidP="00645A7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全镇工作的总体要求是：落实“五个扎实”和“五新”战略，聚焦追赶超越，聚力脱贫攻坚，主攻项目建设，狠抓产业转型，强基达标保基本，提质增效促发展，实现全镇贫困户脱贫，建设最具幸福感、安全感、获得感</w:t>
      </w:r>
      <w:r w:rsidR="00097C10" w:rsidRPr="00DE53EF">
        <w:rPr>
          <w:rFonts w:ascii="仿宋_GB2312" w:eastAsia="仿宋_GB2312" w:hAnsi="华文楷体"/>
          <w:kern w:val="2"/>
          <w:sz w:val="32"/>
          <w:szCs w:val="32"/>
        </w:rPr>
        <w:t>的</w:t>
      </w:r>
      <w:r w:rsidRPr="00DE53EF">
        <w:rPr>
          <w:rFonts w:ascii="仿宋_GB2312" w:eastAsia="仿宋_GB2312" w:hAnsi="华文楷体"/>
          <w:kern w:val="2"/>
          <w:sz w:val="32"/>
          <w:szCs w:val="32"/>
        </w:rPr>
        <w:t>新靖口。</w:t>
      </w:r>
    </w:p>
    <w:p w:rsidR="00615FED" w:rsidRPr="00DE53EF" w:rsidRDefault="00097C10"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w:t>
      </w:r>
      <w:r w:rsidR="007B11F6">
        <w:rPr>
          <w:rFonts w:ascii="仿宋_GB2312" w:eastAsia="仿宋_GB2312" w:hAnsi="华文楷体"/>
          <w:kern w:val="2"/>
          <w:sz w:val="32"/>
          <w:szCs w:val="32"/>
        </w:rPr>
        <w:t>.</w:t>
      </w:r>
      <w:r w:rsidR="002D7917" w:rsidRPr="00DE53EF">
        <w:rPr>
          <w:rFonts w:ascii="仿宋_GB2312" w:eastAsia="仿宋_GB2312" w:hAnsi="华文楷体"/>
          <w:kern w:val="2"/>
          <w:sz w:val="32"/>
          <w:szCs w:val="32"/>
        </w:rPr>
        <w:t>狠抓项目建设，壮大综合实力。</w:t>
      </w:r>
    </w:p>
    <w:p w:rsidR="005D6551" w:rsidRDefault="002D7917" w:rsidP="00645A7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按照“科学规划、严格管理、精心建设、有序推进”的思路，全力抓好镇区风貌提升、产业发展、基础设施建设等重点实施项目，厚植发展潜力。精心包装，积极争取，强化衔接沟通，计划完成太白县靖口镇种植养殖合作社续建重点项目和中华蜂养殖园等重点新开工项目，加快项目建设进度，确保项目保质保量。</w:t>
      </w:r>
    </w:p>
    <w:p w:rsidR="00615FED" w:rsidRPr="00DE53EF" w:rsidRDefault="002D7917" w:rsidP="003B7B18">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坚持绿色发展理念，立足生态资源优势，坚持“以商引商”“主题招商”的路子，</w:t>
      </w:r>
      <w:r w:rsidR="006C32B2">
        <w:rPr>
          <w:rFonts w:ascii="仿宋_GB2312" w:eastAsia="仿宋_GB2312" w:hAnsi="华文楷体"/>
          <w:kern w:val="2"/>
          <w:sz w:val="32"/>
          <w:szCs w:val="32"/>
        </w:rPr>
        <w:t>积极推介玉皇山旅游开发项目，为全面小康提供强大的项目支持。</w:t>
      </w:r>
    </w:p>
    <w:p w:rsidR="00615FED" w:rsidRPr="00DE53EF" w:rsidRDefault="002D7917" w:rsidP="003B7B18">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加大争资力度。在加强政策研究的基础上，准确把握国家中省市县产业发展方向和资金投向，重点围绕精准扶贫、主导产业发展、基础设施建设、生态环境治理等重点领域，抓好项目储备、项目申报。</w:t>
      </w:r>
    </w:p>
    <w:p w:rsidR="00615FED" w:rsidRPr="00DE53EF" w:rsidRDefault="00097C10"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w:t>
      </w:r>
      <w:r w:rsidR="007B11F6">
        <w:rPr>
          <w:rFonts w:ascii="仿宋_GB2312" w:eastAsia="仿宋_GB2312" w:hAnsi="华文楷体"/>
          <w:kern w:val="2"/>
          <w:sz w:val="32"/>
          <w:szCs w:val="32"/>
        </w:rPr>
        <w:t>.</w:t>
      </w:r>
      <w:r w:rsidR="002D7917" w:rsidRPr="00DE53EF">
        <w:rPr>
          <w:rFonts w:ascii="仿宋_GB2312" w:eastAsia="仿宋_GB2312" w:hAnsi="华文楷体"/>
          <w:kern w:val="2"/>
          <w:sz w:val="32"/>
          <w:szCs w:val="32"/>
        </w:rPr>
        <w:t>聚焦脱贫攻坚，决胜全面小康。</w:t>
      </w:r>
    </w:p>
    <w:p w:rsidR="00615FED" w:rsidRPr="00DE53EF" w:rsidRDefault="002D7917" w:rsidP="00DA1A4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实现贫困村摘帽。以全力打赢脱贫攻坚战为目标，按照“两不愁</w:t>
      </w:r>
      <w:r w:rsidR="002A4BEA">
        <w:rPr>
          <w:rFonts w:ascii="仿宋_GB2312" w:eastAsia="仿宋_GB2312" w:hAnsi="华文楷体"/>
          <w:kern w:val="2"/>
          <w:sz w:val="32"/>
          <w:szCs w:val="32"/>
        </w:rPr>
        <w:t>，</w:t>
      </w:r>
      <w:r w:rsidRPr="00DE53EF">
        <w:rPr>
          <w:rFonts w:ascii="仿宋_GB2312" w:eastAsia="仿宋_GB2312" w:hAnsi="华文楷体"/>
          <w:kern w:val="2"/>
          <w:sz w:val="32"/>
          <w:szCs w:val="32"/>
        </w:rPr>
        <w:t>三保障”标准，立足贫困人口稳定脱贫、农村群众持续增收目标，加快推进农村“三变”改革，加速农业产业发展，增加农民可支配收入，加快移民搬迁、危房改造及贫困村路、水、电、讯基础设施建设，确保9个贫困村退出各项硬指标全面达标，全力以赴打赢脱贫攻坚战。</w:t>
      </w:r>
    </w:p>
    <w:p w:rsidR="00615FED" w:rsidRPr="00DE53EF" w:rsidRDefault="002D7917" w:rsidP="00DA1A4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加强产业扶贫。深入推进农业产业扶贫，加大培育和提升特色扶贫支柱产业，继续深化“合作社+农户”等农业发展新路径。以“合作社牵头，基地示范，大户带头，奖补扶持”的方式组织带动贫困户及周边群众发展主导产业和增收。</w:t>
      </w:r>
    </w:p>
    <w:p w:rsidR="00615FED" w:rsidRPr="00DE53EF" w:rsidRDefault="002D7917" w:rsidP="005C56B9">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加大政策保障。用足金融扶贫政策，保障贫困群众小额信贷获贷权；扩大护林员、保洁员选聘，加大公益专岗扶持，帮助贫困户创业就业；完善健康“五道防线”，落实贫困家庭教育资助，兑现特</w:t>
      </w:r>
      <w:r w:rsidRPr="00DE53EF">
        <w:rPr>
          <w:rFonts w:ascii="仿宋_GB2312" w:eastAsia="仿宋_GB2312" w:hAnsi="华文楷体"/>
          <w:kern w:val="2"/>
          <w:sz w:val="32"/>
          <w:szCs w:val="32"/>
        </w:rPr>
        <w:lastRenderedPageBreak/>
        <w:t>殊群体兜底保障，实现贫困救助全覆盖。深化苏陕对口扶贫协作，全面落实贾汪区援建项目，完善协作机制。</w:t>
      </w:r>
    </w:p>
    <w:p w:rsidR="00615FED" w:rsidRPr="00DE53EF" w:rsidRDefault="00097C10" w:rsidP="00952D6F">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3</w:t>
      </w:r>
      <w:r w:rsidR="007B11F6">
        <w:rPr>
          <w:rFonts w:ascii="仿宋_GB2312" w:eastAsia="仿宋_GB2312" w:hAnsi="华文楷体"/>
          <w:kern w:val="2"/>
          <w:sz w:val="32"/>
          <w:szCs w:val="32"/>
        </w:rPr>
        <w:t>.</w:t>
      </w:r>
      <w:r w:rsidR="002D7917" w:rsidRPr="00DE53EF">
        <w:rPr>
          <w:rFonts w:ascii="仿宋_GB2312" w:eastAsia="仿宋_GB2312" w:hAnsi="华文楷体"/>
          <w:kern w:val="2"/>
          <w:sz w:val="32"/>
          <w:szCs w:val="32"/>
        </w:rPr>
        <w:t>优环境美家园，加速乡村振兴。</w:t>
      </w:r>
    </w:p>
    <w:p w:rsidR="00615FED" w:rsidRPr="00DE53EF" w:rsidRDefault="002D7917" w:rsidP="00952D6F">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扮靓美丽乡村。全面落实乡村振兴战略，按照产业兴旺、生态宜居、乡风文明、治理有效、生活富裕的总要求，稳步开展农村人居环境整治，推进“厕所革命”。结合镇域实际，突出“一带两点三提升”（即持续打造凤太公路景观带，抓住村庄、庭院两个重点，提升绿化覆盖、文化内涵、管理水平），精心做点（关上街、大地岭、石沟门三村景观点），着力串线（凤太、靖水两条生态观光路线），努力扩面（提高路域、河域及村庄庭院绿化覆盖面），加大全域环境综合整治力度，推进全域景观化、村庄景致化、庭院园林化、管理精细化建设步伐。重点建设大地岭、凉水泉2个市级美丽乡村步伐，不断提升镇村环境卫生整体水平。</w:t>
      </w:r>
    </w:p>
    <w:p w:rsidR="00615FED" w:rsidRPr="00DE53EF" w:rsidRDefault="002D7917" w:rsidP="002A6B0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放大生态优势。践行“绿水青山就是金山银山”理念，扎实开展“铁腕治霾·保卫蓝天”治理行动。全面落实“河长制”，大力推进水域生态建设工程，系统治水兴水。加强城乡规划管控，持续开</w:t>
      </w:r>
      <w:r w:rsidRPr="00DE53EF">
        <w:rPr>
          <w:rFonts w:ascii="仿宋_GB2312" w:eastAsia="仿宋_GB2312" w:hAnsi="华文楷体"/>
          <w:kern w:val="2"/>
          <w:sz w:val="32"/>
          <w:szCs w:val="32"/>
        </w:rPr>
        <w:lastRenderedPageBreak/>
        <w:t>展水土治理、造林绿化，严厉打击各类环境违法行为，全力创建省级生态文明建设示范县，使靖口的自然优势成为全县最具魅力、最富竞争力的战略资源。</w:t>
      </w:r>
    </w:p>
    <w:p w:rsidR="00615FED" w:rsidRPr="00DE53EF" w:rsidRDefault="00097C10"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4</w:t>
      </w:r>
      <w:r w:rsidR="007B11F6">
        <w:rPr>
          <w:rFonts w:ascii="仿宋_GB2312" w:eastAsia="仿宋_GB2312" w:hAnsi="华文楷体"/>
          <w:kern w:val="2"/>
          <w:sz w:val="32"/>
          <w:szCs w:val="32"/>
        </w:rPr>
        <w:t>.</w:t>
      </w:r>
      <w:r w:rsidR="002D7917" w:rsidRPr="00DE53EF">
        <w:rPr>
          <w:rFonts w:ascii="仿宋_GB2312" w:eastAsia="仿宋_GB2312" w:hAnsi="华文楷体"/>
          <w:kern w:val="2"/>
          <w:sz w:val="32"/>
          <w:szCs w:val="32"/>
        </w:rPr>
        <w:t>保民生促和谐，繁荣社会事业。</w:t>
      </w:r>
    </w:p>
    <w:p w:rsidR="00615FED" w:rsidRPr="00DE53EF" w:rsidRDefault="002D7917" w:rsidP="002A6B0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推进平安建设。加大对道路、交通、建筑工地、学校、电站、企业等重点领域的安全监管，开展农村家宴安全检查、校园周边食品安全治理等专项整治行动，确保全镇食品、药品安全“零事故”。全力维护社会安全稳定，成功化解群众矛盾纠纷，狠抓护林防火工作，加大重点人群、重点区域防控力度，严防森林火灾事故发生。</w:t>
      </w:r>
    </w:p>
    <w:p w:rsidR="00615FED" w:rsidRPr="00DE53EF" w:rsidRDefault="002D7917" w:rsidP="002A6B0E">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推进精神文明建设。继续坚持培育和践行社会主义核心价值观，扎实推进思想道德建设，深入实施公民道德建设工程，着力培育社会公德、职业道德、家庭美德、个人品德，着力提高干部群众思想觉悟、道德水准、文明素养和全社会文明程度。促进农村移风易俗，健全自治、法治、德治相结合的乡村治理体系。</w:t>
      </w:r>
    </w:p>
    <w:p w:rsidR="00615FED"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三、部门预算单位构成</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从预算单位构成看，本部门的部门预算包括部门本级（机关）预算和下属单位预算</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纳入本部门2018年部门预算编制范围的预算单位共有</w:t>
      </w:r>
      <w:r w:rsidR="00097C10" w:rsidRPr="00DE53EF">
        <w:rPr>
          <w:rFonts w:ascii="仿宋_GB2312" w:eastAsia="仿宋_GB2312" w:hAnsi="华文楷体"/>
          <w:kern w:val="2"/>
          <w:sz w:val="32"/>
          <w:szCs w:val="32"/>
        </w:rPr>
        <w:t>9</w:t>
      </w:r>
      <w:r w:rsidRPr="00DE53EF">
        <w:rPr>
          <w:rFonts w:ascii="仿宋_GB2312" w:eastAsia="仿宋_GB2312" w:hAnsi="华文楷体"/>
          <w:kern w:val="2"/>
          <w:sz w:val="32"/>
          <w:szCs w:val="32"/>
        </w:rPr>
        <w:t>个。包括：</w:t>
      </w:r>
    </w:p>
    <w:tbl>
      <w:tblPr>
        <w:tblStyle w:val="Cha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103"/>
        <w:gridCol w:w="5656"/>
        <w:gridCol w:w="2622"/>
      </w:tblGrid>
      <w:tr w:rsidR="002454EF" w:rsidRPr="00DE53EF" w:rsidTr="003C07DE">
        <w:trPr>
          <w:trHeight w:val="669"/>
          <w:tblCellSpacing w:w="15" w:type="dxa"/>
          <w:jc w:val="center"/>
        </w:trPr>
        <w:tc>
          <w:tcPr>
            <w:tcW w:w="105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jc w:val="center"/>
              <w:rPr>
                <w:rFonts w:ascii="仿宋_GB2312" w:eastAsia="仿宋_GB2312" w:hAnsi="华文楷体" w:hint="default"/>
                <w:kern w:val="2"/>
              </w:rPr>
            </w:pPr>
            <w:r w:rsidRPr="00106D36">
              <w:rPr>
                <w:rFonts w:ascii="仿宋_GB2312" w:eastAsia="仿宋_GB2312" w:hAnsi="华文楷体"/>
                <w:kern w:val="2"/>
              </w:rPr>
              <w:t>序号</w:t>
            </w:r>
          </w:p>
        </w:tc>
        <w:tc>
          <w:tcPr>
            <w:tcW w:w="562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jc w:val="center"/>
              <w:rPr>
                <w:rFonts w:ascii="仿宋_GB2312" w:eastAsia="仿宋_GB2312" w:hAnsi="华文楷体" w:hint="default"/>
                <w:kern w:val="2"/>
              </w:rPr>
            </w:pPr>
            <w:r w:rsidRPr="00106D36">
              <w:rPr>
                <w:rFonts w:ascii="仿宋_GB2312" w:eastAsia="仿宋_GB2312" w:hAnsi="华文楷体"/>
                <w:kern w:val="2"/>
              </w:rPr>
              <w:t>单位名称</w:t>
            </w:r>
          </w:p>
        </w:tc>
        <w:tc>
          <w:tcPr>
            <w:tcW w:w="2577"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jc w:val="center"/>
              <w:rPr>
                <w:rFonts w:ascii="仿宋_GB2312" w:eastAsia="仿宋_GB2312" w:hAnsi="华文楷体" w:hint="default"/>
                <w:kern w:val="2"/>
              </w:rPr>
            </w:pPr>
            <w:r w:rsidRPr="00106D36">
              <w:rPr>
                <w:rFonts w:ascii="仿宋_GB2312" w:eastAsia="仿宋_GB2312" w:hAnsi="华文楷体"/>
                <w:kern w:val="2"/>
              </w:rPr>
              <w:t>性质</w:t>
            </w:r>
          </w:p>
        </w:tc>
      </w:tr>
      <w:tr w:rsidR="002454EF" w:rsidRPr="00DE53EF" w:rsidTr="003C07DE">
        <w:trPr>
          <w:trHeight w:val="471"/>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1</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太白县靖口镇人民政府</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行政单位</w:t>
            </w:r>
          </w:p>
        </w:tc>
      </w:tr>
      <w:tr w:rsidR="002454EF" w:rsidRPr="00DE53EF" w:rsidTr="003C07DE">
        <w:trPr>
          <w:trHeight w:val="572"/>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2</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太白县靖口镇党委</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行政单位</w:t>
            </w:r>
          </w:p>
        </w:tc>
      </w:tr>
      <w:tr w:rsidR="002454EF" w:rsidRPr="00DE53EF" w:rsidTr="003C07DE">
        <w:trPr>
          <w:trHeight w:val="607"/>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3</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太白县靖口镇财政所</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434"/>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4</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太白县靖口镇公用事业服务站</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493"/>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5</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太白县靖口镇经济综合服务站</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322"/>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6</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太白县靖口镇社会保障服务站</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565"/>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7</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太白县靖口镇畜牧兽医技术推广站</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394"/>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8</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太白县靖口镇食品药品监督管理所</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r w:rsidR="002454EF" w:rsidRPr="00DE53EF" w:rsidTr="003C07DE">
        <w:trPr>
          <w:trHeight w:val="423"/>
          <w:tblCellSpacing w:w="15" w:type="dxa"/>
          <w:jc w:val="center"/>
        </w:trPr>
        <w:tc>
          <w:tcPr>
            <w:tcW w:w="1058"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9</w:t>
            </w:r>
          </w:p>
        </w:tc>
        <w:tc>
          <w:tcPr>
            <w:tcW w:w="5626"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太白县靖口镇林业站</w:t>
            </w:r>
          </w:p>
        </w:tc>
        <w:tc>
          <w:tcPr>
            <w:tcW w:w="2577" w:type="dxa"/>
            <w:tcBorders>
              <w:top w:val="nil"/>
              <w:left w:val="nil"/>
              <w:bottom w:val="single" w:sz="4" w:space="0" w:color="auto"/>
              <w:right w:val="single" w:sz="4" w:space="0" w:color="auto"/>
            </w:tcBorders>
            <w:tcMar>
              <w:top w:w="12" w:type="dxa"/>
              <w:left w:w="12" w:type="dxa"/>
              <w:bottom w:w="0" w:type="dxa"/>
              <w:right w:w="12" w:type="dxa"/>
            </w:tcMar>
            <w:vAlign w:val="center"/>
          </w:tcPr>
          <w:p w:rsidR="00615FED" w:rsidRPr="00106D36" w:rsidRDefault="002D7917" w:rsidP="00D871E7">
            <w:pPr>
              <w:pStyle w:val="a3"/>
              <w:spacing w:beforeAutospacing="0" w:after="0" w:afterAutospacing="0" w:line="180" w:lineRule="auto"/>
              <w:ind w:firstLineChars="200" w:firstLine="480"/>
              <w:rPr>
                <w:rFonts w:ascii="仿宋_GB2312" w:eastAsia="仿宋_GB2312" w:hAnsi="华文楷体" w:hint="default"/>
                <w:kern w:val="2"/>
              </w:rPr>
            </w:pPr>
            <w:r w:rsidRPr="00106D36">
              <w:rPr>
                <w:rFonts w:ascii="仿宋_GB2312" w:eastAsia="仿宋_GB2312" w:hAnsi="华文楷体"/>
                <w:kern w:val="2"/>
              </w:rPr>
              <w:t>一类事业</w:t>
            </w:r>
          </w:p>
        </w:tc>
      </w:tr>
    </w:tbl>
    <w:p w:rsidR="00106D36" w:rsidRDefault="00106D36" w:rsidP="003C07DE">
      <w:pPr>
        <w:rPr>
          <w:rFonts w:ascii="黑体" w:eastAsia="黑体" w:hAnsi="宋体" w:cs="黑体"/>
          <w:color w:val="000000"/>
          <w:kern w:val="0"/>
          <w:sz w:val="32"/>
          <w:szCs w:val="32"/>
        </w:rPr>
      </w:pPr>
    </w:p>
    <w:p w:rsidR="00615FED"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四、部门人员情况说明</w:t>
      </w:r>
    </w:p>
    <w:p w:rsidR="00615FED"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截至2017年底，本单位人员编制38名，其中：行政编制24名，事业编制14名；实有人员44人，其中：行政24人，行政工勤6人，事业14人。实有人数大于编制人数的</w:t>
      </w:r>
      <w:r w:rsidR="004630BF">
        <w:rPr>
          <w:rFonts w:ascii="仿宋_GB2312" w:eastAsia="仿宋_GB2312" w:hAnsi="华文楷体"/>
          <w:kern w:val="2"/>
          <w:sz w:val="32"/>
          <w:szCs w:val="32"/>
        </w:rPr>
        <w:t>主要</w:t>
      </w:r>
      <w:r w:rsidRPr="00DE53EF">
        <w:rPr>
          <w:rFonts w:ascii="仿宋_GB2312" w:eastAsia="仿宋_GB2312" w:hAnsi="华文楷体"/>
          <w:kern w:val="2"/>
          <w:sz w:val="32"/>
          <w:szCs w:val="32"/>
        </w:rPr>
        <w:t>原因是</w:t>
      </w:r>
      <w:r w:rsidR="004630BF">
        <w:rPr>
          <w:rFonts w:ascii="仿宋_GB2312" w:eastAsia="仿宋_GB2312" w:hAnsi="华文楷体"/>
          <w:kern w:val="2"/>
          <w:sz w:val="32"/>
          <w:szCs w:val="32"/>
        </w:rPr>
        <w:t>有</w:t>
      </w:r>
      <w:r w:rsidRPr="00DE53EF">
        <w:rPr>
          <w:rFonts w:ascii="仿宋_GB2312" w:eastAsia="仿宋_GB2312" w:hAnsi="华文楷体"/>
          <w:kern w:val="2"/>
          <w:sz w:val="32"/>
          <w:szCs w:val="32"/>
        </w:rPr>
        <w:t>行政工勤人员6名。</w:t>
      </w:r>
    </w:p>
    <w:p w:rsidR="00106D36" w:rsidRDefault="00106D36" w:rsidP="00D871E7">
      <w:pPr>
        <w:pStyle w:val="a3"/>
        <w:spacing w:beforeAutospacing="0" w:after="0" w:afterAutospacing="0" w:line="180" w:lineRule="auto"/>
        <w:ind w:firstLineChars="200" w:firstLine="640"/>
        <w:jc w:val="center"/>
        <w:rPr>
          <w:rFonts w:ascii="仿宋_GB2312" w:eastAsia="仿宋_GB2312" w:hAnsi="华文楷体" w:hint="default"/>
          <w:kern w:val="2"/>
          <w:sz w:val="32"/>
          <w:szCs w:val="32"/>
        </w:rPr>
      </w:pPr>
      <w:r>
        <w:rPr>
          <w:rFonts w:ascii="仿宋_GB2312" w:eastAsia="仿宋_GB2312" w:hAnsi="华文楷体"/>
          <w:kern w:val="2"/>
          <w:sz w:val="32"/>
          <w:szCs w:val="32"/>
        </w:rPr>
        <w:t>人员结构图</w:t>
      </w:r>
    </w:p>
    <w:p w:rsidR="00106D36" w:rsidRPr="00DE53EF" w:rsidRDefault="00106D36" w:rsidP="00D871E7">
      <w:pPr>
        <w:pStyle w:val="a3"/>
        <w:spacing w:beforeAutospacing="0" w:after="0" w:afterAutospacing="0" w:line="180" w:lineRule="auto"/>
        <w:ind w:firstLineChars="200" w:firstLine="640"/>
        <w:jc w:val="center"/>
        <w:rPr>
          <w:rFonts w:ascii="仿宋_GB2312" w:eastAsia="仿宋_GB2312" w:hAnsi="华文楷体" w:hint="default"/>
          <w:kern w:val="2"/>
          <w:sz w:val="32"/>
          <w:szCs w:val="32"/>
        </w:rPr>
      </w:pPr>
      <w:r>
        <w:rPr>
          <w:rFonts w:ascii="仿宋_GB2312" w:eastAsia="仿宋_GB2312" w:hAnsi="华文楷体" w:hint="default"/>
          <w:noProof/>
          <w:kern w:val="2"/>
          <w:sz w:val="32"/>
          <w:szCs w:val="32"/>
        </w:rPr>
        <w:drawing>
          <wp:inline distT="0" distB="0" distL="0" distR="0" wp14:anchorId="3C9CAEA1" wp14:editId="61E418B9">
            <wp:extent cx="5574182" cy="2823667"/>
            <wp:effectExtent l="0" t="0" r="26670"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5FED"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五、部门国有资产占有使用及资产配置情况说明</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截至2017年12月31日，本单位所属预算单位共有车辆3辆，单价20</w:t>
      </w:r>
      <w:r w:rsidR="00DA33C6">
        <w:rPr>
          <w:rFonts w:ascii="仿宋_GB2312" w:eastAsia="仿宋_GB2312" w:hAnsi="华文楷体"/>
          <w:kern w:val="2"/>
          <w:sz w:val="32"/>
          <w:szCs w:val="32"/>
        </w:rPr>
        <w:t>0000</w:t>
      </w:r>
      <w:r w:rsidRPr="00DE53EF">
        <w:rPr>
          <w:rFonts w:ascii="仿宋_GB2312" w:eastAsia="仿宋_GB2312" w:hAnsi="华文楷体"/>
          <w:kern w:val="2"/>
          <w:sz w:val="32"/>
          <w:szCs w:val="32"/>
        </w:rPr>
        <w:t>元以上的设备0台（套）。2018年部门预算未安排购置车辆；安排购置单价</w:t>
      </w:r>
      <w:r w:rsidR="00DA33C6">
        <w:rPr>
          <w:rFonts w:ascii="仿宋_GB2312" w:eastAsia="仿宋_GB2312" w:hAnsi="华文楷体"/>
          <w:kern w:val="2"/>
          <w:sz w:val="32"/>
          <w:szCs w:val="32"/>
        </w:rPr>
        <w:t>200000</w:t>
      </w:r>
      <w:r w:rsidRPr="00DE53EF">
        <w:rPr>
          <w:rFonts w:ascii="仿宋_GB2312" w:eastAsia="仿宋_GB2312" w:hAnsi="华文楷体"/>
          <w:kern w:val="2"/>
          <w:sz w:val="32"/>
          <w:szCs w:val="32"/>
        </w:rPr>
        <w:t>元以上的设备0台（套）。</w:t>
      </w:r>
    </w:p>
    <w:p w:rsidR="00615FED"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六、部门预算绩效目标说明</w:t>
      </w:r>
    </w:p>
    <w:p w:rsidR="00615FED" w:rsidRPr="00DE53EF" w:rsidRDefault="002D7917" w:rsidP="004017C6">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2018年本单位专项业务经费项目实现了绩效目标管理全覆盖，涉及一般公共预算</w:t>
      </w:r>
      <w:r w:rsidR="009B73C0">
        <w:rPr>
          <w:rFonts w:ascii="仿宋_GB2312" w:eastAsia="仿宋_GB2312" w:hAnsi="华文楷体"/>
          <w:kern w:val="2"/>
          <w:sz w:val="32"/>
          <w:szCs w:val="32"/>
        </w:rPr>
        <w:t>资金</w:t>
      </w:r>
      <w:bookmarkStart w:id="0" w:name="_GoBack"/>
      <w:bookmarkEnd w:id="0"/>
      <w:r w:rsidR="0048658F">
        <w:rPr>
          <w:rFonts w:ascii="仿宋_GB2312" w:eastAsia="仿宋_GB2312" w:hAnsi="华文楷体"/>
          <w:kern w:val="2"/>
          <w:sz w:val="32"/>
          <w:szCs w:val="32"/>
        </w:rPr>
        <w:t>351,500元。</w:t>
      </w:r>
    </w:p>
    <w:p w:rsidR="00904801"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七、2018年部门预算收支说明</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（一）收支预算总体情况。</w:t>
      </w:r>
    </w:p>
    <w:p w:rsidR="00615FED" w:rsidRPr="00DE53EF" w:rsidRDefault="002D7917" w:rsidP="00F12F92">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2018年靖口镇收入预算为5,339,385元，较上年增长16.18%，全部为一般公共预算拨款预算，增长的主要原因：一是2017年新招录公务员、事业单位人员6</w:t>
      </w:r>
      <w:r w:rsidR="004630BF">
        <w:rPr>
          <w:rFonts w:ascii="仿宋_GB2312" w:eastAsia="仿宋_GB2312" w:hAnsi="华文楷体"/>
          <w:kern w:val="2"/>
          <w:sz w:val="32"/>
          <w:szCs w:val="32"/>
        </w:rPr>
        <w:t>人工资纳入部门预算；二是基本养老保险制度改革及正常调资晋档</w:t>
      </w:r>
      <w:r w:rsidRPr="00DE53EF">
        <w:rPr>
          <w:rFonts w:ascii="仿宋_GB2312" w:eastAsia="仿宋_GB2312" w:hAnsi="华文楷体"/>
          <w:kern w:val="2"/>
          <w:sz w:val="32"/>
          <w:szCs w:val="32"/>
        </w:rPr>
        <w:t>等。</w:t>
      </w:r>
    </w:p>
    <w:p w:rsidR="00904801" w:rsidRDefault="002D7917" w:rsidP="002900D7">
      <w:pPr>
        <w:pStyle w:val="a3"/>
        <w:spacing w:beforeAutospacing="0" w:after="0" w:afterAutospacing="0" w:line="180" w:lineRule="auto"/>
        <w:ind w:firstLineChars="200" w:firstLine="640"/>
        <w:jc w:val="both"/>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2018年，靖口镇支出预算为5,339,385元，包括人员经费和公用经费支出4</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987</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885元，占支出总额93.42%；专项业务经费支出351</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500元，占支出总额6.58%。全部为一般公共预算拨款支出，较上年增长16.18%，增长原因同上。</w:t>
      </w:r>
    </w:p>
    <w:p w:rsidR="001C398F" w:rsidRPr="00DE53EF" w:rsidRDefault="001C398F" w:rsidP="00D871E7">
      <w:pPr>
        <w:pStyle w:val="a3"/>
        <w:spacing w:beforeAutospacing="0" w:after="0" w:afterAutospacing="0" w:line="180" w:lineRule="auto"/>
        <w:ind w:firstLineChars="200" w:firstLine="640"/>
        <w:jc w:val="center"/>
        <w:rPr>
          <w:rFonts w:ascii="仿宋_GB2312" w:eastAsia="仿宋_GB2312" w:hAnsi="华文楷体" w:hint="default"/>
          <w:kern w:val="2"/>
          <w:sz w:val="32"/>
          <w:szCs w:val="32"/>
        </w:rPr>
      </w:pPr>
      <w:r>
        <w:rPr>
          <w:rFonts w:ascii="仿宋_GB2312" w:eastAsia="仿宋_GB2312" w:hAnsi="华文楷体" w:hint="default"/>
          <w:noProof/>
          <w:kern w:val="2"/>
          <w:sz w:val="32"/>
          <w:szCs w:val="32"/>
        </w:rPr>
        <w:lastRenderedPageBreak/>
        <w:drawing>
          <wp:inline distT="0" distB="0" distL="0" distR="0" wp14:anchorId="06956C65" wp14:editId="2D6C037C">
            <wp:extent cx="6188659" cy="3569818"/>
            <wp:effectExtent l="0" t="0" r="22225"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（二）财政拨款收支情况</w:t>
      </w:r>
    </w:p>
    <w:p w:rsidR="00904801"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2018年县靖口镇财政拨款收支5,339,385元，较上年增长16.18%，增长原因同上。</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（三）一般公共预算拨款支出明细情况。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1.一般公共预算当年拨款规模变化情况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2018年靖口镇一般公共预算拨款5,339,385元，较上年增长16.18%，增长原因同上。</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w:t>
      </w:r>
      <w:r w:rsidR="007B11F6">
        <w:rPr>
          <w:rFonts w:ascii="仿宋_GB2312" w:eastAsia="仿宋_GB2312" w:hAnsi="华文楷体"/>
          <w:kern w:val="2"/>
          <w:sz w:val="32"/>
          <w:szCs w:val="32"/>
        </w:rPr>
        <w:t>.</w:t>
      </w:r>
      <w:r w:rsidRPr="00DE53EF">
        <w:rPr>
          <w:rFonts w:ascii="仿宋_GB2312" w:eastAsia="仿宋_GB2312" w:hAnsi="华文楷体"/>
          <w:kern w:val="2"/>
          <w:sz w:val="32"/>
          <w:szCs w:val="32"/>
        </w:rPr>
        <w:t>支出功能分类的明细情况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（1）代表工作（2010108）21</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500元，与上年相同。</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（2）行政运行（2010301) 1,788,905元，较上年增长2.73%，原因是新增公务员3人，单位人员工资晋档等业务支出。</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（3）行政运行（财政事务）（2010601）362</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714元，较上年增长11.4%，原因为单位人员工资晋档等业务支出。</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（4）行政运行（党委）（2013101）304</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532元，较上年减少24.79%，原因为人员调动支出减少。</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（5）其他党委办公厅（室）及相关机构事务支出（2013199）50</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000元，与上年相同。</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（6）其他一般公共服务支出（2019999）176</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826元，较上年减少28.57%，原因为机构改革，人员编制调入其他站所。</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（7）机关事业单位基本养老保险缴费支出（2080505）465</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526元，较上年增长15.62%，原因为新增6人养老保险。</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（8）机关事业单位职业年金缴费支出（2080506）174</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118元，较上年增长8.11%，原因为新增6人职业年金。</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（9）其他社会保障和就业支出（2089901）146</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388元，较上年增长100%，原因为机构改革新设单位。</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（10）其他计划生育事务支出（2100799）78</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356元，较上年增长1.12%，原因为单位人员工资晋档。</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（11）事业运行（食品和药品监督管理事务）（2101050）162</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101元，较上年增长100%，原因为机构改革新设单位。</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（12）事业运行（农业）（2130104）513</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482元，较上年增长94.80%，原因为包含经济综合服务站和兽医站2个单位且新增2人。</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（13）林业事业机构（2130204）180</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777元，较上年增长1.45%，原因为单位人员工资晋档。</w:t>
      </w:r>
    </w:p>
    <w:p w:rsidR="00566AAD"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（14）对村民委员会和村党支部的补助（2130705）914</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160元，较上年增长9.64%</w:t>
      </w:r>
      <w:r w:rsidR="00566AAD">
        <w:rPr>
          <w:rFonts w:ascii="仿宋_GB2312" w:eastAsia="仿宋_GB2312" w:hAnsi="华文楷体"/>
          <w:kern w:val="2"/>
          <w:sz w:val="32"/>
          <w:szCs w:val="32"/>
        </w:rPr>
        <w:t>，原因为村干</w:t>
      </w:r>
      <w:r w:rsidR="00693BA0">
        <w:rPr>
          <w:rFonts w:ascii="仿宋_GB2312" w:eastAsia="仿宋_GB2312" w:hAnsi="华文楷体"/>
          <w:kern w:val="2"/>
          <w:sz w:val="32"/>
          <w:szCs w:val="32"/>
        </w:rPr>
        <w:t>部人员变动。</w:t>
      </w:r>
    </w:p>
    <w:p w:rsidR="00615FED" w:rsidRPr="00DE53EF" w:rsidRDefault="0056556F" w:rsidP="00D871E7">
      <w:pPr>
        <w:pStyle w:val="a3"/>
        <w:spacing w:beforeAutospacing="0" w:after="0" w:afterAutospacing="0" w:line="180" w:lineRule="auto"/>
        <w:ind w:firstLineChars="200" w:firstLine="640"/>
        <w:jc w:val="center"/>
        <w:rPr>
          <w:rFonts w:ascii="仿宋_GB2312" w:eastAsia="仿宋_GB2312" w:hAnsi="华文楷体" w:hint="default"/>
          <w:kern w:val="2"/>
          <w:sz w:val="32"/>
          <w:szCs w:val="32"/>
        </w:rPr>
      </w:pPr>
      <w:r>
        <w:rPr>
          <w:rFonts w:ascii="仿宋_GB2312" w:eastAsia="仿宋_GB2312" w:hAnsi="华文楷体" w:hint="default"/>
          <w:noProof/>
          <w:kern w:val="2"/>
          <w:sz w:val="32"/>
          <w:szCs w:val="32"/>
        </w:rPr>
        <w:drawing>
          <wp:inline distT="0" distB="0" distL="0" distR="0" wp14:anchorId="23CE66A5" wp14:editId="40447D11">
            <wp:extent cx="8119872" cy="3094330"/>
            <wp:effectExtent l="0" t="0" r="14605"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3.支出按经济分类的明细情况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2018年靖口镇支出预算为5,339,385元，其中：工资福利支出3</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919</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965元，较上年增长25.36%，全部为人员支出。增长原因为机关行政、事业单位人员工资正常晋升、新增人员6名。</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lastRenderedPageBreak/>
        <w:t>商品和服务支出299</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800元，较上年增长22.87%，增长原因为新增人员公务交通及商品服务支出增加。</w:t>
      </w:r>
    </w:p>
    <w:p w:rsidR="00904801"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对个人家庭补助768</w:t>
      </w:r>
      <w:r w:rsidR="00BC60B4">
        <w:rPr>
          <w:rFonts w:ascii="仿宋_GB2312" w:eastAsia="仿宋_GB2312" w:hAnsi="华文楷体"/>
          <w:kern w:val="2"/>
          <w:sz w:val="32"/>
          <w:szCs w:val="32"/>
        </w:rPr>
        <w:t>,</w:t>
      </w:r>
      <w:r w:rsidRPr="00DE53EF">
        <w:rPr>
          <w:rFonts w:ascii="仿宋_GB2312" w:eastAsia="仿宋_GB2312" w:hAnsi="华文楷体"/>
          <w:kern w:val="2"/>
          <w:sz w:val="32"/>
          <w:szCs w:val="32"/>
        </w:rPr>
        <w:t>120元，全部为人员经费支出，较上年下降16.8%。原因主要是将单位负担的住房公积金从对个人家庭补助支出调入工资福利支出。</w:t>
      </w:r>
    </w:p>
    <w:p w:rsidR="00AD790B" w:rsidRPr="00DE53EF" w:rsidRDefault="00AD790B" w:rsidP="00D871E7">
      <w:pPr>
        <w:pStyle w:val="a3"/>
        <w:spacing w:beforeAutospacing="0" w:after="0" w:afterAutospacing="0" w:line="180" w:lineRule="auto"/>
        <w:ind w:firstLineChars="200" w:firstLine="640"/>
        <w:jc w:val="center"/>
        <w:rPr>
          <w:rFonts w:ascii="仿宋_GB2312" w:eastAsia="仿宋_GB2312" w:hAnsi="华文楷体" w:hint="default"/>
          <w:kern w:val="2"/>
          <w:sz w:val="32"/>
          <w:szCs w:val="32"/>
        </w:rPr>
      </w:pPr>
      <w:r>
        <w:rPr>
          <w:rFonts w:ascii="仿宋_GB2312" w:eastAsia="仿宋_GB2312" w:hAnsi="华文楷体" w:hint="default"/>
          <w:noProof/>
          <w:kern w:val="2"/>
          <w:sz w:val="32"/>
          <w:szCs w:val="32"/>
        </w:rPr>
        <w:drawing>
          <wp:inline distT="0" distB="0" distL="0" distR="0" wp14:anchorId="1E7EC6B3" wp14:editId="00998C7C">
            <wp:extent cx="5793639" cy="2267712"/>
            <wp:effectExtent l="0" t="0" r="17145" b="1841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（四）政府性基金预算支出情况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2018年本单位没有使用政府性基金预算拨款安排的支出，并已公开空表。</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（五）国有资本经营预算拨款收支情况</w:t>
      </w:r>
    </w:p>
    <w:p w:rsidR="00984711" w:rsidRPr="008F302B" w:rsidRDefault="00984711" w:rsidP="00984711">
      <w:pPr>
        <w:widowControl/>
        <w:spacing w:line="560" w:lineRule="exact"/>
        <w:ind w:firstLineChars="200" w:firstLine="640"/>
        <w:jc w:val="left"/>
        <w:rPr>
          <w:rFonts w:ascii="仿宋" w:eastAsia="仿宋" w:hAnsi="仿宋" w:cs="仿宋"/>
          <w:sz w:val="32"/>
          <w:szCs w:val="32"/>
        </w:rPr>
      </w:pPr>
      <w:r>
        <w:rPr>
          <w:rFonts w:ascii="仿宋_GB2312" w:eastAsia="仿宋_GB2312" w:hAnsi="华文楷体"/>
          <w:sz w:val="32"/>
          <w:szCs w:val="32"/>
        </w:rPr>
        <w:lastRenderedPageBreak/>
        <w:t>2</w:t>
      </w:r>
      <w:r w:rsidRPr="00DE53EF">
        <w:rPr>
          <w:rFonts w:ascii="仿宋_GB2312" w:eastAsia="仿宋_GB2312" w:hAnsi="华文楷体"/>
          <w:sz w:val="32"/>
          <w:szCs w:val="32"/>
        </w:rPr>
        <w:t>018年本单位</w:t>
      </w:r>
      <w:r w:rsidRPr="008F302B">
        <w:rPr>
          <w:rFonts w:ascii="仿宋" w:eastAsia="仿宋" w:hAnsi="仿宋" w:cs="仿宋"/>
          <w:sz w:val="32"/>
          <w:szCs w:val="32"/>
        </w:rPr>
        <w:t>无国有资本经营预算拨款收支</w:t>
      </w:r>
      <w:r>
        <w:rPr>
          <w:rFonts w:ascii="仿宋" w:eastAsia="仿宋" w:hAnsi="仿宋" w:cs="仿宋"/>
          <w:sz w:val="32"/>
          <w:szCs w:val="32"/>
        </w:rPr>
        <w:t>，</w:t>
      </w:r>
      <w:r w:rsidRPr="008F302B">
        <w:rPr>
          <w:rFonts w:ascii="仿宋" w:eastAsia="仿宋" w:hAnsi="仿宋" w:cs="仿宋"/>
          <w:sz w:val="32"/>
          <w:szCs w:val="32"/>
        </w:rPr>
        <w:t>并已公开空表。</w:t>
      </w:r>
    </w:p>
    <w:p w:rsidR="00615FED" w:rsidRPr="00DE53EF" w:rsidRDefault="007B11F6"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Pr>
          <w:rFonts w:ascii="仿宋_GB2312" w:eastAsia="仿宋_GB2312" w:hAnsi="华文楷体"/>
          <w:kern w:val="2"/>
          <w:sz w:val="32"/>
          <w:szCs w:val="32"/>
        </w:rPr>
        <w:t>（六）单位“三公”经费等预算情况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 年“三公”经费预算27200元。其中：公务用车运行维护费20000元，较上年增长100%，原因为现保留的三辆事业单位公务用车保费与维修费会随物价上涨故增长；公务接待费6200元，较上年增长376.92%，原因为2017我单位扶贫等专项检查较多，接待人数增长，故2018年预算增加；公车购置0元，与上年持平，主要原因是车辆运行实行定额预算及公务用车制度改革本年未安排车辆购置预算。</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2018年会议费预算1000元，较上年增长100%，原因是近年来脱贫攻坚工作任务艰巨，脱贫攻坚专项会议增加，因此2018年会议费预算在上年基础上增加1000元。</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（七）机关运行经费安排情况</w:t>
      </w:r>
    </w:p>
    <w:p w:rsidR="00904801"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2018年本部门机关运行经费财政拨款预算299800元，比2017年预算增加55800元。包括办公费、印刷费差旅费等等，增长原因是我单位在抓好中心工作的基础上，为了进一步加快脱贫攻坚步伐，</w:t>
      </w:r>
      <w:r w:rsidRPr="00DE53EF">
        <w:rPr>
          <w:rFonts w:ascii="仿宋_GB2312" w:eastAsia="仿宋_GB2312" w:hAnsi="华文楷体"/>
          <w:kern w:val="2"/>
          <w:sz w:val="32"/>
          <w:szCs w:val="32"/>
        </w:rPr>
        <w:lastRenderedPageBreak/>
        <w:t>确保我县贫困县摘帽，需继续加大投入力度，积极开展各类创建活动，加大软硬件建设力度，促进和谐稳定发展的局面，因此2018年度机关运行经费比去年增加55800元。</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（八）政府采购情况</w:t>
      </w:r>
    </w:p>
    <w:p w:rsidR="00615FED" w:rsidRPr="00DE53EF" w:rsidRDefault="002D7917"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DE53EF">
        <w:rPr>
          <w:rFonts w:ascii="仿宋_GB2312" w:eastAsia="仿宋_GB2312" w:hAnsi="华文楷体"/>
          <w:kern w:val="2"/>
          <w:sz w:val="32"/>
          <w:szCs w:val="32"/>
        </w:rPr>
        <w:t>2018年本单位政府采购预算90000元，其中：政府采购货物类预算70000元，政府采购服务类预算20000元。</w:t>
      </w:r>
    </w:p>
    <w:p w:rsidR="00615FED" w:rsidRPr="00BD250C" w:rsidRDefault="002D7917" w:rsidP="00D871E7">
      <w:pPr>
        <w:ind w:firstLineChars="200" w:firstLine="640"/>
        <w:rPr>
          <w:rFonts w:ascii="黑体" w:eastAsia="黑体" w:hAnsi="宋体" w:cs="黑体"/>
          <w:color w:val="000000"/>
          <w:kern w:val="0"/>
          <w:sz w:val="32"/>
          <w:szCs w:val="32"/>
        </w:rPr>
      </w:pPr>
      <w:r w:rsidRPr="00BD250C">
        <w:rPr>
          <w:rFonts w:ascii="黑体" w:eastAsia="黑体" w:hAnsi="宋体" w:cs="黑体" w:hint="eastAsia"/>
          <w:color w:val="000000"/>
          <w:kern w:val="0"/>
          <w:sz w:val="32"/>
          <w:szCs w:val="32"/>
        </w:rPr>
        <w:t>八、专业名词解释</w:t>
      </w:r>
    </w:p>
    <w:p w:rsidR="00615FED" w:rsidRPr="00DE53EF" w:rsidRDefault="00904801"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sidRPr="00BD250C">
        <w:rPr>
          <w:rFonts w:ascii="仿宋_GB2312" w:eastAsia="仿宋_GB2312" w:hAnsi="仿宋_GB2312" w:cs="仿宋_GB2312"/>
          <w:kern w:val="2"/>
          <w:sz w:val="32"/>
          <w:szCs w:val="32"/>
        </w:rPr>
        <w:t>1</w:t>
      </w:r>
      <w:r w:rsidR="007B11F6">
        <w:rPr>
          <w:rFonts w:ascii="仿宋_GB2312" w:eastAsia="仿宋_GB2312" w:hAnsi="仿宋_GB2312" w:cs="仿宋_GB2312"/>
          <w:kern w:val="2"/>
          <w:sz w:val="32"/>
          <w:szCs w:val="32"/>
        </w:rPr>
        <w:t>.</w:t>
      </w:r>
      <w:r w:rsidR="002D7917" w:rsidRPr="00BD250C">
        <w:rPr>
          <w:rFonts w:ascii="仿宋_GB2312" w:eastAsia="仿宋_GB2312" w:hAnsi="仿宋_GB2312" w:cs="仿宋_GB2312"/>
          <w:kern w:val="2"/>
          <w:sz w:val="32"/>
          <w:szCs w:val="32"/>
        </w:rPr>
        <w:t>机关运行经费：是指各单位的公用经费包括办公及印刷费、邮电费、差旅费、会议费、福利费、日常维修费、专用材料及一般设备购置费、办公用房水电费、办公用房取暖费、办公用房物业管理费、公务用车运行维护费以及其他费用。</w:t>
      </w:r>
    </w:p>
    <w:p w:rsidR="00615FED" w:rsidRPr="00DE53EF" w:rsidRDefault="00B166A8" w:rsidP="00D871E7">
      <w:pPr>
        <w:pStyle w:val="a3"/>
        <w:spacing w:beforeAutospacing="0" w:after="0" w:afterAutospacing="0" w:line="180" w:lineRule="auto"/>
        <w:ind w:firstLineChars="200" w:firstLine="640"/>
        <w:rPr>
          <w:rFonts w:ascii="仿宋_GB2312" w:eastAsia="仿宋_GB2312" w:hAnsi="华文楷体" w:hint="default"/>
          <w:kern w:val="2"/>
          <w:sz w:val="32"/>
          <w:szCs w:val="32"/>
        </w:rPr>
      </w:pPr>
      <w:r>
        <w:rPr>
          <w:rFonts w:ascii="仿宋" w:eastAsia="仿宋" w:hAnsi="仿宋" w:cs="仿宋"/>
          <w:sz w:val="32"/>
          <w:szCs w:val="32"/>
        </w:rPr>
        <w:t>2</w:t>
      </w:r>
      <w:r w:rsidR="007B11F6">
        <w:rPr>
          <w:rFonts w:ascii="仿宋" w:eastAsia="仿宋" w:hAnsi="仿宋" w:cs="仿宋"/>
          <w:sz w:val="32"/>
          <w:szCs w:val="32"/>
        </w:rPr>
        <w:t>.</w:t>
      </w:r>
      <w:r w:rsidR="001B0F80">
        <w:rPr>
          <w:rFonts w:ascii="仿宋" w:eastAsia="仿宋" w:hAnsi="仿宋" w:cs="仿宋"/>
          <w:sz w:val="32"/>
          <w:szCs w:val="32"/>
        </w:rPr>
        <w:t>“三公”经</w:t>
      </w:r>
      <w:r>
        <w:rPr>
          <w:rFonts w:ascii="仿宋" w:eastAsia="仿宋" w:hAnsi="仿宋" w:cs="仿宋"/>
          <w:sz w:val="32"/>
          <w:szCs w:val="32"/>
        </w:rPr>
        <w:t>费:指用财政拨款安排的因公出国（境）费、公务用车购置及运行费和公务接待费。其中，因公出国（境）费反映单位公务出国（境）的国际旅费、国外城市间交通费、住宿费、 伙食费、培训费、公杂费等支出；公务用车购置及运行费反映单位公务用车车辆购置支出（含车辆购置税）</w:t>
      </w:r>
      <w:r>
        <w:rPr>
          <w:rFonts w:ascii="仿宋" w:eastAsia="仿宋" w:hAnsi="仿宋" w:cs="仿宋"/>
          <w:sz w:val="32"/>
          <w:szCs w:val="32"/>
        </w:rPr>
        <w:lastRenderedPageBreak/>
        <w:t>及租用费、燃料费、维修费、过路过桥费、保险费、安全奖励费用等支出；公务接待费反映单位按规定开支的各类公务接待支出。</w:t>
      </w:r>
    </w:p>
    <w:sectPr w:rsidR="00615FED" w:rsidRPr="00DE53EF" w:rsidSect="00097C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楷体">
    <w:altName w:val="微软雅黑"/>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856" w:rsidRDefault="00631856">
      <w:r>
        <w:separator/>
      </w:r>
    </w:p>
  </w:footnote>
  <w:footnote w:type="continuationSeparator" w:id="0">
    <w:p w:rsidR="00631856" w:rsidRDefault="00631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MzBjOTYxN2UzMmEyMjdhMjVlNjM2NzlmNzE0OGUifQ=="/>
  </w:docVars>
  <w:rsids>
    <w:rsidRoot w:val="00615FED"/>
    <w:rsid w:val="000812C4"/>
    <w:rsid w:val="00097C10"/>
    <w:rsid w:val="00106D36"/>
    <w:rsid w:val="00116093"/>
    <w:rsid w:val="001B0F80"/>
    <w:rsid w:val="001B25AE"/>
    <w:rsid w:val="001C398F"/>
    <w:rsid w:val="002454EF"/>
    <w:rsid w:val="00265637"/>
    <w:rsid w:val="002900D7"/>
    <w:rsid w:val="002A4BEA"/>
    <w:rsid w:val="002A6B0E"/>
    <w:rsid w:val="002D7917"/>
    <w:rsid w:val="003A14E0"/>
    <w:rsid w:val="003B7B18"/>
    <w:rsid w:val="003C07DE"/>
    <w:rsid w:val="003F18F3"/>
    <w:rsid w:val="004017C6"/>
    <w:rsid w:val="00415EBE"/>
    <w:rsid w:val="004630BF"/>
    <w:rsid w:val="0048658F"/>
    <w:rsid w:val="00510E92"/>
    <w:rsid w:val="0056556F"/>
    <w:rsid w:val="00566AAD"/>
    <w:rsid w:val="005C56B9"/>
    <w:rsid w:val="005D6551"/>
    <w:rsid w:val="00615FED"/>
    <w:rsid w:val="00631856"/>
    <w:rsid w:val="00645A7E"/>
    <w:rsid w:val="00677201"/>
    <w:rsid w:val="00693BA0"/>
    <w:rsid w:val="006C32B2"/>
    <w:rsid w:val="006D254B"/>
    <w:rsid w:val="007038B7"/>
    <w:rsid w:val="007276A7"/>
    <w:rsid w:val="0073069D"/>
    <w:rsid w:val="00744601"/>
    <w:rsid w:val="00787694"/>
    <w:rsid w:val="007B11F6"/>
    <w:rsid w:val="007D7999"/>
    <w:rsid w:val="007E7556"/>
    <w:rsid w:val="007F3132"/>
    <w:rsid w:val="007F7CB1"/>
    <w:rsid w:val="008147D6"/>
    <w:rsid w:val="00886661"/>
    <w:rsid w:val="008C284B"/>
    <w:rsid w:val="00904801"/>
    <w:rsid w:val="00952D6F"/>
    <w:rsid w:val="00984711"/>
    <w:rsid w:val="009B73C0"/>
    <w:rsid w:val="00A24D5F"/>
    <w:rsid w:val="00A27A52"/>
    <w:rsid w:val="00A55951"/>
    <w:rsid w:val="00AD790B"/>
    <w:rsid w:val="00B166A8"/>
    <w:rsid w:val="00B502BC"/>
    <w:rsid w:val="00BA6C1C"/>
    <w:rsid w:val="00BC60B4"/>
    <w:rsid w:val="00BD250C"/>
    <w:rsid w:val="00C10965"/>
    <w:rsid w:val="00CB7189"/>
    <w:rsid w:val="00D04C96"/>
    <w:rsid w:val="00D871E7"/>
    <w:rsid w:val="00DA1A4E"/>
    <w:rsid w:val="00DA33C6"/>
    <w:rsid w:val="00DD1309"/>
    <w:rsid w:val="00DE53EF"/>
    <w:rsid w:val="00DF7A13"/>
    <w:rsid w:val="00F12F92"/>
    <w:rsid w:val="00FB7C2B"/>
    <w:rsid w:val="6DEB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Autospacing="1" w:after="100" w:afterAutospacing="1"/>
      <w:jc w:val="left"/>
    </w:pPr>
    <w:rPr>
      <w:rFonts w:ascii="宋体" w:hAnsi="宋体" w:hint="eastAsia"/>
      <w:kern w:val="0"/>
      <w:sz w:val="24"/>
      <w:szCs w:val="24"/>
    </w:rPr>
  </w:style>
  <w:style w:type="character" w:styleId="a4">
    <w:name w:val="Hyperlink"/>
    <w:basedOn w:val="a0"/>
    <w:qFormat/>
    <w:rPr>
      <w:color w:val="0000FF"/>
      <w:u w:val="single"/>
    </w:rPr>
  </w:style>
  <w:style w:type="table" w:customStyle="1" w:styleId="Char">
    <w:name w:val="普通表格 Char"/>
    <w:basedOn w:val="a1"/>
    <w:semiHidden/>
    <w:rPr>
      <w:rFonts w:ascii="Times New Roman" w:hAnsi="Times New Roman" w:cs="Times New Roman"/>
    </w:rPr>
    <w:tblPr>
      <w:tblInd w:w="0" w:type="dxa"/>
      <w:tblCellMar>
        <w:top w:w="0" w:type="dxa"/>
        <w:left w:w="108" w:type="dxa"/>
        <w:bottom w:w="0" w:type="dxa"/>
        <w:right w:w="108" w:type="dxa"/>
      </w:tblCellMar>
    </w:tblPr>
  </w:style>
  <w:style w:type="paragraph" w:styleId="a5">
    <w:name w:val="Balloon Text"/>
    <w:basedOn w:val="a"/>
    <w:link w:val="Char0"/>
    <w:rsid w:val="00106D36"/>
    <w:rPr>
      <w:sz w:val="18"/>
      <w:szCs w:val="18"/>
    </w:rPr>
  </w:style>
  <w:style w:type="character" w:customStyle="1" w:styleId="Char0">
    <w:name w:val="批注框文本 Char"/>
    <w:basedOn w:val="a0"/>
    <w:link w:val="a5"/>
    <w:rsid w:val="00106D3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Autospacing="1" w:after="100" w:afterAutospacing="1"/>
      <w:jc w:val="left"/>
    </w:pPr>
    <w:rPr>
      <w:rFonts w:ascii="宋体" w:hAnsi="宋体" w:hint="eastAsia"/>
      <w:kern w:val="0"/>
      <w:sz w:val="24"/>
      <w:szCs w:val="24"/>
    </w:rPr>
  </w:style>
  <w:style w:type="character" w:styleId="a4">
    <w:name w:val="Hyperlink"/>
    <w:basedOn w:val="a0"/>
    <w:qFormat/>
    <w:rPr>
      <w:color w:val="0000FF"/>
      <w:u w:val="single"/>
    </w:rPr>
  </w:style>
  <w:style w:type="table" w:customStyle="1" w:styleId="Char">
    <w:name w:val="普通表格 Char"/>
    <w:basedOn w:val="a1"/>
    <w:semiHidden/>
    <w:rPr>
      <w:rFonts w:ascii="Times New Roman" w:hAnsi="Times New Roman" w:cs="Times New Roman"/>
    </w:rPr>
    <w:tblPr>
      <w:tblInd w:w="0" w:type="dxa"/>
      <w:tblCellMar>
        <w:top w:w="0" w:type="dxa"/>
        <w:left w:w="108" w:type="dxa"/>
        <w:bottom w:w="0" w:type="dxa"/>
        <w:right w:w="108" w:type="dxa"/>
      </w:tblCellMar>
    </w:tblPr>
  </w:style>
  <w:style w:type="paragraph" w:styleId="a5">
    <w:name w:val="Balloon Text"/>
    <w:basedOn w:val="a"/>
    <w:link w:val="Char0"/>
    <w:rsid w:val="00106D36"/>
    <w:rPr>
      <w:sz w:val="18"/>
      <w:szCs w:val="18"/>
    </w:rPr>
  </w:style>
  <w:style w:type="character" w:customStyle="1" w:styleId="Char0">
    <w:name w:val="批注框文本 Char"/>
    <w:basedOn w:val="a0"/>
    <w:link w:val="a5"/>
    <w:rsid w:val="00106D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121212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31313131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31414141414141414141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行政</c:v>
                </c:pt>
              </c:strCache>
            </c:strRef>
          </c:tx>
          <c:invertIfNegative val="0"/>
          <c:dLbls>
            <c:showLegendKey val="0"/>
            <c:showVal val="1"/>
            <c:showCatName val="0"/>
            <c:showSerName val="0"/>
            <c:showPercent val="0"/>
            <c:showBubbleSize val="0"/>
            <c:showLeaderLines val="0"/>
          </c:dLbls>
          <c:cat>
            <c:strRef>
              <c:f>Sheet1!$A$2:$A$3</c:f>
              <c:strCache>
                <c:ptCount val="2"/>
                <c:pt idx="0">
                  <c:v>实有人数</c:v>
                </c:pt>
                <c:pt idx="1">
                  <c:v>编制人数</c:v>
                </c:pt>
              </c:strCache>
            </c:strRef>
          </c:cat>
          <c:val>
            <c:numRef>
              <c:f>Sheet1!$B$2:$B$3</c:f>
              <c:numCache>
                <c:formatCode>General</c:formatCode>
                <c:ptCount val="2"/>
                <c:pt idx="0">
                  <c:v>24</c:v>
                </c:pt>
                <c:pt idx="1">
                  <c:v>24</c:v>
                </c:pt>
              </c:numCache>
            </c:numRef>
          </c:val>
        </c:ser>
        <c:ser>
          <c:idx val="1"/>
          <c:order val="1"/>
          <c:tx>
            <c:strRef>
              <c:f>Sheet1!$C$1</c:f>
              <c:strCache>
                <c:ptCount val="1"/>
                <c:pt idx="0">
                  <c:v>行政工勤</c:v>
                </c:pt>
              </c:strCache>
            </c:strRef>
          </c:tx>
          <c:invertIfNegative val="0"/>
          <c:dLbls>
            <c:showLegendKey val="0"/>
            <c:showVal val="1"/>
            <c:showCatName val="0"/>
            <c:showSerName val="0"/>
            <c:showPercent val="0"/>
            <c:showBubbleSize val="0"/>
            <c:showLeaderLines val="0"/>
          </c:dLbls>
          <c:cat>
            <c:strRef>
              <c:f>Sheet1!$A$2:$A$3</c:f>
              <c:strCache>
                <c:ptCount val="2"/>
                <c:pt idx="0">
                  <c:v>实有人数</c:v>
                </c:pt>
                <c:pt idx="1">
                  <c:v>编制人数</c:v>
                </c:pt>
              </c:strCache>
            </c:strRef>
          </c:cat>
          <c:val>
            <c:numRef>
              <c:f>Sheet1!$C$2:$C$3</c:f>
              <c:numCache>
                <c:formatCode>General</c:formatCode>
                <c:ptCount val="2"/>
                <c:pt idx="0">
                  <c:v>6</c:v>
                </c:pt>
              </c:numCache>
            </c:numRef>
          </c:val>
        </c:ser>
        <c:ser>
          <c:idx val="2"/>
          <c:order val="2"/>
          <c:tx>
            <c:strRef>
              <c:f>Sheet1!$D$1</c:f>
              <c:strCache>
                <c:ptCount val="1"/>
                <c:pt idx="0">
                  <c:v>事业</c:v>
                </c:pt>
              </c:strCache>
            </c:strRef>
          </c:tx>
          <c:invertIfNegative val="0"/>
          <c:dLbls>
            <c:showLegendKey val="0"/>
            <c:showVal val="1"/>
            <c:showCatName val="0"/>
            <c:showSerName val="0"/>
            <c:showPercent val="0"/>
            <c:showBubbleSize val="0"/>
            <c:showLeaderLines val="0"/>
          </c:dLbls>
          <c:cat>
            <c:strRef>
              <c:f>Sheet1!$A$2:$A$3</c:f>
              <c:strCache>
                <c:ptCount val="2"/>
                <c:pt idx="0">
                  <c:v>实有人数</c:v>
                </c:pt>
                <c:pt idx="1">
                  <c:v>编制人数</c:v>
                </c:pt>
              </c:strCache>
            </c:strRef>
          </c:cat>
          <c:val>
            <c:numRef>
              <c:f>Sheet1!$D$2:$D$3</c:f>
              <c:numCache>
                <c:formatCode>General</c:formatCode>
                <c:ptCount val="2"/>
                <c:pt idx="0">
                  <c:v>14</c:v>
                </c:pt>
                <c:pt idx="1">
                  <c:v>14</c:v>
                </c:pt>
              </c:numCache>
            </c:numRef>
          </c:val>
        </c:ser>
        <c:dLbls>
          <c:showLegendKey val="0"/>
          <c:showVal val="0"/>
          <c:showCatName val="0"/>
          <c:showSerName val="0"/>
          <c:showPercent val="0"/>
          <c:showBubbleSize val="0"/>
        </c:dLbls>
        <c:gapWidth val="150"/>
        <c:axId val="140974720"/>
        <c:axId val="140994048"/>
      </c:barChart>
      <c:catAx>
        <c:axId val="140974720"/>
        <c:scaling>
          <c:orientation val="minMax"/>
        </c:scaling>
        <c:delete val="0"/>
        <c:axPos val="b"/>
        <c:majorTickMark val="out"/>
        <c:minorTickMark val="none"/>
        <c:tickLblPos val="nextTo"/>
        <c:crossAx val="140994048"/>
        <c:crosses val="autoZero"/>
        <c:auto val="1"/>
        <c:lblAlgn val="ctr"/>
        <c:lblOffset val="100"/>
        <c:noMultiLvlLbl val="0"/>
      </c:catAx>
      <c:valAx>
        <c:axId val="140994048"/>
        <c:scaling>
          <c:orientation val="minMax"/>
        </c:scaling>
        <c:delete val="0"/>
        <c:axPos val="l"/>
        <c:majorGridlines/>
        <c:numFmt formatCode="General" sourceLinked="1"/>
        <c:majorTickMark val="out"/>
        <c:minorTickMark val="none"/>
        <c:tickLblPos val="nextTo"/>
        <c:crossAx val="1409747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930555555555562"/>
          <c:y val="3.1696350456192977E-2"/>
        </c:manualLayout>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支出预算</c:v>
                </c:pt>
              </c:strCache>
            </c:strRef>
          </c:tx>
          <c:dLbls>
            <c:dLbl>
              <c:idx val="0"/>
              <c:layout>
                <c:manualLayout>
                  <c:x val="6.1421150481189853E-2"/>
                  <c:y val="-0.1786090338225606"/>
                </c:manualLayout>
              </c:layout>
              <c:showLegendKey val="0"/>
              <c:showVal val="1"/>
              <c:showCatName val="1"/>
              <c:showSerName val="0"/>
              <c:showPercent val="1"/>
              <c:showBubbleSize val="0"/>
            </c:dLbl>
            <c:dLbl>
              <c:idx val="1"/>
              <c:layout>
                <c:manualLayout>
                  <c:x val="-0.12934820647419074"/>
                  <c:y val="0.21021371133485281"/>
                </c:manualLayout>
              </c:layout>
              <c:showLegendKey val="0"/>
              <c:showVal val="1"/>
              <c:showCatName val="1"/>
              <c:showSerName val="0"/>
              <c:showPercent val="1"/>
              <c:showBubbleSize val="0"/>
            </c:dLbl>
            <c:dLbl>
              <c:idx val="2"/>
              <c:layout>
                <c:manualLayout>
                  <c:x val="-0.12504702537182849"/>
                  <c:y val="2.5928898860151994E-2"/>
                </c:manualLayout>
              </c:layout>
              <c:showLegendKey val="0"/>
              <c:showVal val="1"/>
              <c:showCatName val="1"/>
              <c:showSerName val="0"/>
              <c:showPercent val="1"/>
              <c:showBubbleSize val="0"/>
            </c:dLbl>
            <c:showLegendKey val="0"/>
            <c:showVal val="1"/>
            <c:showCatName val="1"/>
            <c:showSerName val="0"/>
            <c:showPercent val="1"/>
            <c:showBubbleSize val="0"/>
            <c:showLeaderLines val="1"/>
          </c:dLbls>
          <c:cat>
            <c:strRef>
              <c:f>Sheet1!$A$2:$A$4</c:f>
              <c:strCache>
                <c:ptCount val="3"/>
                <c:pt idx="0">
                  <c:v>人员经费</c:v>
                </c:pt>
                <c:pt idx="1">
                  <c:v>公用经费</c:v>
                </c:pt>
                <c:pt idx="2">
                  <c:v>专项业务费</c:v>
                </c:pt>
              </c:strCache>
            </c:strRef>
          </c:cat>
          <c:val>
            <c:numRef>
              <c:f>Sheet1!$B$2:$B$4</c:f>
              <c:numCache>
                <c:formatCode>General</c:formatCode>
                <c:ptCount val="3"/>
                <c:pt idx="0">
                  <c:v>4688085</c:v>
                </c:pt>
                <c:pt idx="1">
                  <c:v>299800</c:v>
                </c:pt>
                <c:pt idx="2">
                  <c:v>351500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财政拨款收支</c:v>
                </c:pt>
              </c:strCache>
            </c:strRef>
          </c:tx>
          <c:explosion val="4"/>
          <c:dLbls>
            <c:dLbl>
              <c:idx val="0"/>
              <c:layout>
                <c:manualLayout>
                  <c:x val="1.5673892396333343E-2"/>
                  <c:y val="-0.11633147231224986"/>
                </c:manualLayout>
              </c:layout>
              <c:showLegendKey val="0"/>
              <c:showVal val="1"/>
              <c:showCatName val="1"/>
              <c:showSerName val="0"/>
              <c:showPercent val="1"/>
              <c:showBubbleSize val="0"/>
            </c:dLbl>
            <c:dLbl>
              <c:idx val="1"/>
              <c:layout>
                <c:manualLayout>
                  <c:x val="3.2003336998415739E-2"/>
                  <c:y val="-0.10794472977941474"/>
                </c:manualLayout>
              </c:layout>
              <c:showLegendKey val="0"/>
              <c:showVal val="1"/>
              <c:showCatName val="1"/>
              <c:showSerName val="0"/>
              <c:showPercent val="1"/>
              <c:showBubbleSize val="0"/>
            </c:dLbl>
            <c:dLbl>
              <c:idx val="2"/>
              <c:layout>
                <c:manualLayout>
                  <c:x val="8.8366048134748923E-2"/>
                  <c:y val="-0.27379717947596627"/>
                </c:manualLayout>
              </c:layout>
              <c:showLegendKey val="0"/>
              <c:showVal val="1"/>
              <c:showCatName val="1"/>
              <c:showSerName val="0"/>
              <c:showPercent val="1"/>
              <c:showBubbleSize val="0"/>
            </c:dLbl>
            <c:dLbl>
              <c:idx val="3"/>
              <c:layout>
                <c:manualLayout>
                  <c:x val="0.11190829116518093"/>
                  <c:y val="-0.1422092215295358"/>
                </c:manualLayout>
              </c:layout>
              <c:showLegendKey val="0"/>
              <c:showVal val="1"/>
              <c:showCatName val="1"/>
              <c:showSerName val="0"/>
              <c:showPercent val="1"/>
              <c:showBubbleSize val="0"/>
            </c:dLbl>
            <c:dLbl>
              <c:idx val="4"/>
              <c:layout>
                <c:manualLayout>
                  <c:x val="0.18250349266589425"/>
                  <c:y val="-6.28461474919947E-2"/>
                </c:manualLayout>
              </c:layout>
              <c:showLegendKey val="0"/>
              <c:showVal val="1"/>
              <c:showCatName val="1"/>
              <c:showSerName val="0"/>
              <c:showPercent val="1"/>
              <c:showBubbleSize val="0"/>
            </c:dLbl>
            <c:dLbl>
              <c:idx val="5"/>
              <c:layout>
                <c:manualLayout>
                  <c:x val="0.12407535488244149"/>
                  <c:y val="2.2694091217567779E-2"/>
                </c:manualLayout>
              </c:layout>
              <c:showLegendKey val="0"/>
              <c:showVal val="1"/>
              <c:showCatName val="1"/>
              <c:showSerName val="0"/>
              <c:showPercent val="1"/>
              <c:showBubbleSize val="0"/>
            </c:dLbl>
            <c:dLbl>
              <c:idx val="7"/>
              <c:layout>
                <c:manualLayout>
                  <c:x val="-5.012837640790397E-2"/>
                  <c:y val="-1.1424952583644718E-2"/>
                </c:manualLayout>
              </c:layout>
              <c:showLegendKey val="0"/>
              <c:showVal val="1"/>
              <c:showCatName val="1"/>
              <c:showSerName val="0"/>
              <c:showPercent val="1"/>
              <c:showBubbleSize val="0"/>
            </c:dLbl>
            <c:dLbl>
              <c:idx val="8"/>
              <c:layout>
                <c:manualLayout>
                  <c:x val="-3.9296309104379971E-2"/>
                  <c:y val="-6.9331052813154451E-2"/>
                </c:manualLayout>
              </c:layout>
              <c:showLegendKey val="0"/>
              <c:showVal val="1"/>
              <c:showCatName val="1"/>
              <c:showSerName val="0"/>
              <c:showPercent val="1"/>
              <c:showBubbleSize val="0"/>
            </c:dLbl>
            <c:dLbl>
              <c:idx val="9"/>
              <c:layout>
                <c:manualLayout>
                  <c:x val="-6.5098070511456343E-2"/>
                  <c:y val="-0.10991070662112105"/>
                </c:manualLayout>
              </c:layout>
              <c:showLegendKey val="0"/>
              <c:showVal val="1"/>
              <c:showCatName val="1"/>
              <c:showSerName val="0"/>
              <c:showPercent val="1"/>
              <c:showBubbleSize val="0"/>
            </c:dLbl>
            <c:dLbl>
              <c:idx val="10"/>
              <c:layout>
                <c:manualLayout>
                  <c:x val="-3.7298863824454374E-2"/>
                  <c:y val="-0.18426052351543482"/>
                </c:manualLayout>
              </c:layout>
              <c:showLegendKey val="0"/>
              <c:showVal val="1"/>
              <c:showCatName val="1"/>
              <c:showSerName val="0"/>
              <c:showPercent val="1"/>
              <c:showBubbleSize val="0"/>
            </c:dLbl>
            <c:dLbl>
              <c:idx val="11"/>
              <c:layout>
                <c:manualLayout>
                  <c:x val="-5.4483740630394177E-2"/>
                  <c:y val="-0.20617262954666563"/>
                </c:manualLayout>
              </c:layout>
              <c:showLegendKey val="0"/>
              <c:showVal val="1"/>
              <c:showCatName val="1"/>
              <c:showSerName val="0"/>
              <c:showPercent val="1"/>
              <c:showBubbleSize val="0"/>
            </c:dLbl>
            <c:dLbl>
              <c:idx val="12"/>
              <c:layout>
                <c:manualLayout>
                  <c:x val="3.1328203203203203E-2"/>
                  <c:y val="-0.20213604404254595"/>
                </c:manualLayout>
              </c:layout>
              <c:showLegendKey val="0"/>
              <c:showVal val="1"/>
              <c:showCatName val="1"/>
              <c:showSerName val="0"/>
              <c:showPercent val="1"/>
              <c:showBubbleSize val="0"/>
            </c:dLbl>
            <c:dLbl>
              <c:idx val="13"/>
              <c:layout>
                <c:manualLayout>
                  <c:x val="2.2969697059263987E-2"/>
                  <c:y val="-0.1001540322933319"/>
                </c:manualLayout>
              </c:layout>
              <c:showLegendKey val="0"/>
              <c:showVal val="1"/>
              <c:showCatName val="1"/>
              <c:showSerName val="0"/>
              <c:showPercent val="1"/>
              <c:showBubbleSize val="0"/>
            </c:dLbl>
            <c:txPr>
              <a:bodyPr/>
              <a:lstStyle/>
              <a:p>
                <a:pPr>
                  <a:defRPr sz="600"/>
                </a:pPr>
                <a:endParaRPr lang="zh-CN"/>
              </a:p>
            </c:txPr>
            <c:showLegendKey val="0"/>
            <c:showVal val="1"/>
            <c:showCatName val="1"/>
            <c:showSerName val="0"/>
            <c:showPercent val="1"/>
            <c:showBubbleSize val="0"/>
            <c:showLeaderLines val="1"/>
          </c:dLbls>
          <c:cat>
            <c:strRef>
              <c:f>Sheet1!$A$2:$A$15</c:f>
              <c:strCache>
                <c:ptCount val="14"/>
                <c:pt idx="0">
                  <c:v>代表工作</c:v>
                </c:pt>
                <c:pt idx="1">
                  <c:v>行政运行</c:v>
                </c:pt>
                <c:pt idx="2">
                  <c:v>行政运行（财政事务）</c:v>
                </c:pt>
                <c:pt idx="3">
                  <c:v>行政运行（党委）</c:v>
                </c:pt>
                <c:pt idx="4">
                  <c:v>其他党委办公厅（室）及相关机构事务支出</c:v>
                </c:pt>
                <c:pt idx="5">
                  <c:v>其他一般公共服务支出</c:v>
                </c:pt>
                <c:pt idx="6">
                  <c:v>机关事业单位基本养老保险缴费支出</c:v>
                </c:pt>
                <c:pt idx="7">
                  <c:v>机关事业单位职业年金缴费支出</c:v>
                </c:pt>
                <c:pt idx="8">
                  <c:v>其他社会保障和就业支出</c:v>
                </c:pt>
                <c:pt idx="9">
                  <c:v>其他计划生育事务支出</c:v>
                </c:pt>
                <c:pt idx="10">
                  <c:v>事业运行（食品和药品监督管理事务）</c:v>
                </c:pt>
                <c:pt idx="11">
                  <c:v>事业运行（农业）</c:v>
                </c:pt>
                <c:pt idx="12">
                  <c:v>林业事业机构</c:v>
                </c:pt>
                <c:pt idx="13">
                  <c:v>对村民委员会和村党支部的补助</c:v>
                </c:pt>
              </c:strCache>
            </c:strRef>
          </c:cat>
          <c:val>
            <c:numRef>
              <c:f>Sheet1!$B$2:$B$15</c:f>
              <c:numCache>
                <c:formatCode>General</c:formatCode>
                <c:ptCount val="14"/>
                <c:pt idx="0">
                  <c:v>21500</c:v>
                </c:pt>
                <c:pt idx="1">
                  <c:v>1788905</c:v>
                </c:pt>
                <c:pt idx="2">
                  <c:v>362714</c:v>
                </c:pt>
                <c:pt idx="3">
                  <c:v>304532</c:v>
                </c:pt>
                <c:pt idx="4">
                  <c:v>50000</c:v>
                </c:pt>
                <c:pt idx="5">
                  <c:v>176826</c:v>
                </c:pt>
                <c:pt idx="6">
                  <c:v>465526</c:v>
                </c:pt>
                <c:pt idx="7">
                  <c:v>174118</c:v>
                </c:pt>
                <c:pt idx="8">
                  <c:v>146388</c:v>
                </c:pt>
                <c:pt idx="9">
                  <c:v>78356</c:v>
                </c:pt>
                <c:pt idx="10">
                  <c:v>162101</c:v>
                </c:pt>
                <c:pt idx="11">
                  <c:v>513482</c:v>
                </c:pt>
                <c:pt idx="12">
                  <c:v>180777</c:v>
                </c:pt>
                <c:pt idx="13">
                  <c:v>914160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2494994994995"/>
          <c:y val="3.0049584319201478E-2"/>
          <c:w val="0.31594094094094094"/>
          <c:h val="0.9395833839485716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支出预算</c:v>
                </c:pt>
              </c:strCache>
            </c:strRef>
          </c:tx>
          <c:dLbls>
            <c:dLbl>
              <c:idx val="0"/>
              <c:layout>
                <c:manualLayout>
                  <c:x val="-0.14027923592884217"/>
                  <c:y val="-0.26482641863922124"/>
                </c:manualLayout>
              </c:layout>
              <c:dLblPos val="bestFit"/>
              <c:showLegendKey val="0"/>
              <c:showVal val="1"/>
              <c:showCatName val="1"/>
              <c:showSerName val="0"/>
              <c:showPercent val="1"/>
              <c:showBubbleSize val="0"/>
            </c:dLbl>
            <c:dLbl>
              <c:idx val="1"/>
              <c:layout>
                <c:manualLayout>
                  <c:x val="1.3888888888888888E-2"/>
                  <c:y val="0.14342817048477152"/>
                </c:manualLayout>
              </c:layout>
              <c:dLblPos val="bestFit"/>
              <c:showLegendKey val="0"/>
              <c:showVal val="1"/>
              <c:showCatName val="1"/>
              <c:showSerName val="0"/>
              <c:showPercent val="1"/>
              <c:showBubbleSize val="0"/>
            </c:dLbl>
            <c:dLbl>
              <c:idx val="2"/>
              <c:layout>
                <c:manualLayout>
                  <c:x val="7.1192949839603378E-2"/>
                  <c:y val="-5.3406232531048009E-2"/>
                </c:manualLayout>
              </c:layout>
              <c:dLblPos val="bestFit"/>
              <c:showLegendKey val="0"/>
              <c:showVal val="1"/>
              <c:showCatName val="1"/>
              <c:showSerName val="0"/>
              <c:showPercent val="1"/>
              <c:showBubbleSize val="0"/>
            </c:dLbl>
            <c:dLblPos val="bestFit"/>
            <c:showLegendKey val="0"/>
            <c:showVal val="1"/>
            <c:showCatName val="1"/>
            <c:showSerName val="0"/>
            <c:showPercent val="1"/>
            <c:showBubbleSize val="0"/>
            <c:showLeaderLines val="1"/>
          </c:dLbls>
          <c:cat>
            <c:strRef>
              <c:f>Sheet1!$A$2:$A$4</c:f>
              <c:strCache>
                <c:ptCount val="3"/>
                <c:pt idx="0">
                  <c:v>工资福利支出（元）</c:v>
                </c:pt>
                <c:pt idx="1">
                  <c:v>商品和服务支出（元）</c:v>
                </c:pt>
                <c:pt idx="2">
                  <c:v>对个人和家庭补助支出（元）</c:v>
                </c:pt>
              </c:strCache>
            </c:strRef>
          </c:cat>
          <c:val>
            <c:numRef>
              <c:f>Sheet1!$B$2:$B$4</c:f>
              <c:numCache>
                <c:formatCode>General</c:formatCode>
                <c:ptCount val="3"/>
                <c:pt idx="0">
                  <c:v>3919965</c:v>
                </c:pt>
                <c:pt idx="1">
                  <c:v>299800</c:v>
                </c:pt>
                <c:pt idx="2">
                  <c:v>768120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14F6E2-AACE-48B9-8E06-4D1F47E4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39</cp:revision>
  <dcterms:created xsi:type="dcterms:W3CDTF">2023-08-24T01:46:00Z</dcterms:created>
  <dcterms:modified xsi:type="dcterms:W3CDTF">2023-08-30T08:59:00Z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60DFAD67951B4EA28E23E8E136049B9A_12</vt:lpwstr>
  </property>
</Properties>
</file>