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lang w:eastAsia="zh-CN"/>
        </w:rPr>
      </w:pPr>
    </w:p>
    <w:p>
      <w:pPr>
        <w:pStyle w:val="2"/>
        <w:rPr>
          <w:rFonts w:hint="eastAsia"/>
          <w:lang w:eastAsia="zh-CN"/>
        </w:rPr>
      </w:pPr>
    </w:p>
    <w:p>
      <w:pPr>
        <w:rPr>
          <w:rFonts w:hint="eastAsia"/>
          <w:lang w:eastAsia="zh-CN"/>
        </w:rPr>
      </w:pPr>
    </w:p>
    <w:p>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jc w:val="center"/>
        <w:textAlignment w:val="auto"/>
        <w:outlineLvl w:val="9"/>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太政办发〔2018〕</w:t>
      </w:r>
      <w:r>
        <w:rPr>
          <w:rFonts w:hint="eastAsia" w:ascii="仿宋_GB2312" w:hAnsi="仿宋"/>
          <w:color w:val="000000"/>
          <w:sz w:val="32"/>
          <w:szCs w:val="32"/>
          <w:lang w:val="en-US" w:eastAsia="zh-CN"/>
        </w:rPr>
        <w:t>55</w:t>
      </w:r>
      <w:r>
        <w:rPr>
          <w:rFonts w:hint="eastAsia" w:ascii="仿宋_GB2312" w:hAnsi="仿宋" w:eastAsia="仿宋_GB2312"/>
          <w:color w:val="000000"/>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0"/>
          <w:sz w:val="44"/>
          <w:szCs w:val="44"/>
          <w:lang w:eastAsia="zh-CN"/>
        </w:rPr>
        <w:t>太白县人民政府办公室</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lang w:eastAsia="zh-CN"/>
        </w:rPr>
        <w:t>关于</w:t>
      </w:r>
      <w:r>
        <w:rPr>
          <w:rFonts w:hint="eastAsia" w:ascii="方正小标宋简体" w:hAnsi="方正小标宋简体" w:eastAsia="方正小标宋简体" w:cs="方正小标宋简体"/>
          <w:sz w:val="44"/>
          <w:szCs w:val="44"/>
        </w:rPr>
        <w:t>印发</w:t>
      </w:r>
      <w:r>
        <w:rPr>
          <w:rFonts w:hint="eastAsia" w:ascii="方正小标宋简体" w:hAnsi="方正小标宋简体" w:eastAsia="方正小标宋简体"/>
          <w:sz w:val="44"/>
          <w:lang w:eastAsia="zh-CN"/>
        </w:rPr>
        <w:t>太白县</w:t>
      </w:r>
      <w:r>
        <w:rPr>
          <w:rFonts w:hint="eastAsia" w:ascii="方正小标宋简体" w:hAnsi="方正小标宋简体" w:eastAsia="方正小标宋简体"/>
          <w:sz w:val="44"/>
        </w:rPr>
        <w:t>优化提升营商环境</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sz w:val="44"/>
        </w:rPr>
        <w:t>三年行动计划（2018—2020）</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ascii="方正小标宋简体" w:hAnsi="方正小标宋简体" w:eastAsia="方正小标宋简体"/>
          <w:sz w:val="44"/>
        </w:rPr>
      </w:pPr>
    </w:p>
    <w:p>
      <w:pPr>
        <w:keepNext w:val="0"/>
        <w:keepLines w:val="0"/>
        <w:pageBreakBefore w:val="0"/>
        <w:widowControl w:val="0"/>
        <w:kinsoku/>
        <w:wordWrap/>
        <w:overflowPunct w:val="0"/>
        <w:topLinePunct w:val="0"/>
        <w:autoSpaceDE/>
        <w:autoSpaceDN/>
        <w:bidi w:val="0"/>
        <w:adjustRightInd/>
        <w:snapToGrid/>
        <w:spacing w:line="540" w:lineRule="exact"/>
        <w:jc w:val="left"/>
        <w:textAlignment w:val="auto"/>
        <w:rPr>
          <w:rFonts w:hint="eastAsia" w:ascii="仿宋_GB2312" w:hAnsi="仿宋_GB2312" w:eastAsia="仿宋_GB2312" w:cs="仿宋_GB2312"/>
          <w:szCs w:val="32"/>
        </w:rPr>
      </w:pPr>
      <w:r>
        <w:rPr>
          <w:rFonts w:hint="eastAsia" w:ascii="仿宋_GB2312" w:hAnsi="仿宋_GB2312" w:cs="仿宋_GB2312"/>
          <w:szCs w:val="32"/>
          <w:lang w:eastAsia="zh-CN"/>
        </w:rPr>
        <w:t>各镇人民政府，县政府</w:t>
      </w:r>
      <w:r>
        <w:rPr>
          <w:rFonts w:hint="eastAsia" w:ascii="仿宋_GB2312" w:hAnsi="仿宋_GB2312" w:eastAsia="仿宋_GB2312" w:cs="仿宋_GB2312"/>
          <w:szCs w:val="32"/>
        </w:rPr>
        <w:t>各</w:t>
      </w:r>
      <w:r>
        <w:rPr>
          <w:rFonts w:hint="eastAsia" w:ascii="仿宋_GB2312" w:hAnsi="仿宋_GB2312" w:cs="仿宋_GB2312"/>
          <w:szCs w:val="32"/>
          <w:lang w:eastAsia="zh-CN"/>
        </w:rPr>
        <w:t>工作</w:t>
      </w:r>
      <w:r>
        <w:rPr>
          <w:rFonts w:hint="eastAsia" w:ascii="仿宋_GB2312" w:hAnsi="仿宋_GB2312" w:eastAsia="仿宋_GB2312" w:cs="仿宋_GB2312"/>
          <w:szCs w:val="32"/>
        </w:rPr>
        <w:t>部门：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eastAsia="zh-CN"/>
        </w:rPr>
        <w:t>太白县</w:t>
      </w:r>
      <w:r>
        <w:rPr>
          <w:rFonts w:hint="eastAsia" w:ascii="仿宋_GB2312" w:hAnsi="仿宋_GB2312" w:eastAsia="仿宋_GB2312" w:cs="仿宋_GB2312"/>
          <w:szCs w:val="32"/>
        </w:rPr>
        <w:t>优化提升营商环境三年行动计划（2018—2020）》已经</w:t>
      </w:r>
      <w:r>
        <w:rPr>
          <w:rFonts w:hint="eastAsia" w:ascii="仿宋_GB2312" w:hAnsi="仿宋_GB2312" w:cs="仿宋_GB2312"/>
          <w:szCs w:val="32"/>
          <w:lang w:eastAsia="zh-CN"/>
        </w:rPr>
        <w:t>县政府</w:t>
      </w:r>
      <w:r>
        <w:rPr>
          <w:rFonts w:hint="eastAsia" w:ascii="仿宋_GB2312" w:hAnsi="仿宋_GB2312" w:eastAsia="仿宋_GB2312" w:cs="仿宋_GB2312"/>
          <w:szCs w:val="32"/>
        </w:rPr>
        <w:t>同意，现印发你们，请</w:t>
      </w:r>
      <w:r>
        <w:rPr>
          <w:rFonts w:hint="eastAsia" w:ascii="仿宋_GB2312" w:hAnsi="仿宋_GB2312" w:cs="仿宋_GB2312"/>
          <w:szCs w:val="32"/>
          <w:lang w:eastAsia="zh-CN"/>
        </w:rPr>
        <w:t>结合实际，</w:t>
      </w:r>
      <w:r>
        <w:rPr>
          <w:rFonts w:hint="eastAsia" w:ascii="仿宋_GB2312" w:hAnsi="仿宋_GB2312" w:eastAsia="仿宋_GB2312" w:cs="仿宋_GB2312"/>
          <w:szCs w:val="32"/>
        </w:rPr>
        <w:t>认真贯彻执行。</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pStyle w:val="2"/>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szCs w:val="32"/>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_GB2312"/>
          <w:sz w:val="32"/>
          <w:szCs w:val="32"/>
          <w:lang w:val="en-US" w:eastAsia="zh-CN"/>
        </w:rPr>
      </w:pPr>
      <w:r>
        <w:rPr>
          <w:rFonts w:hint="eastAsia" w:ascii="仿宋_GB2312" w:hAnsi="仿宋_GB2312" w:cs="仿宋_GB2312"/>
          <w:szCs w:val="32"/>
          <w:lang w:val="en-US" w:eastAsia="zh-CN"/>
        </w:rPr>
        <w:t xml:space="preserve">                       </w:t>
      </w:r>
      <w:r>
        <w:rPr>
          <w:rFonts w:hint="eastAsia" w:ascii="Times New Roman" w:hAnsi="Times New Roman" w:eastAsia="仿宋_GB2312"/>
          <w:sz w:val="32"/>
          <w:szCs w:val="32"/>
          <w:lang w:eastAsia="zh-CN"/>
        </w:rPr>
        <w:t>太白县人民政府办公室</w:t>
      </w:r>
    </w:p>
    <w:p>
      <w:pPr>
        <w:keepNext w:val="0"/>
        <w:keepLines w:val="0"/>
        <w:pageBreakBefore w:val="0"/>
        <w:widowControl w:val="0"/>
        <w:kinsoku/>
        <w:wordWrap/>
        <w:overflowPunct w:val="0"/>
        <w:topLinePunct w:val="0"/>
        <w:autoSpaceDE/>
        <w:autoSpaceDN/>
        <w:bidi w:val="0"/>
        <w:adjustRightInd/>
        <w:snapToGrid/>
        <w:spacing w:line="540" w:lineRule="exact"/>
        <w:ind w:right="906" w:firstLine="570"/>
        <w:jc w:val="center"/>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lang w:val="en-US" w:eastAsia="zh-CN"/>
        </w:rPr>
        <w:t xml:space="preserve">                      </w:t>
      </w:r>
      <w:r>
        <w:rPr>
          <w:rFonts w:hint="eastAsia" w:ascii="仿宋_GB2312" w:hAnsi="仿宋_GB2312" w:eastAsia="仿宋_GB2312" w:cs="仿宋_GB2312"/>
          <w:sz w:val="32"/>
          <w:szCs w:val="32"/>
          <w:lang w:eastAsia="zh-CN"/>
        </w:rPr>
        <w:t>2018年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cs="仿宋_GB2312"/>
          <w:sz w:val="32"/>
          <w:szCs w:val="32"/>
          <w:lang w:val="en-US" w:eastAsia="zh-CN"/>
        </w:rPr>
        <w:t>13</w:t>
      </w:r>
      <w:r>
        <w:rPr>
          <w:rFonts w:hint="eastAsia" w:ascii="仿宋_GB2312" w:hAnsi="仿宋_GB2312" w:eastAsia="仿宋_GB2312" w:cs="仿宋_GB2312"/>
          <w:sz w:val="32"/>
          <w:szCs w:val="32"/>
          <w:lang w:eastAsia="zh-CN"/>
        </w:rPr>
        <w:t>日</w:t>
      </w:r>
    </w:p>
    <w:p>
      <w:pPr>
        <w:pStyle w:val="2"/>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rPr>
      </w:pPr>
    </w:p>
    <w:p>
      <w:pPr>
        <w:pStyle w:val="2"/>
        <w:ind w:left="0" w:leftChars="0" w:firstLine="0" w:firstLineChars="0"/>
        <w:rPr>
          <w:rFonts w:hint="eastAsia"/>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lang w:eastAsia="zh-CN"/>
        </w:rPr>
        <w:t>太白县</w:t>
      </w:r>
      <w:r>
        <w:rPr>
          <w:rFonts w:hint="eastAsia" w:ascii="方正小标宋简体" w:hAnsi="方正小标宋简体" w:eastAsia="方正小标宋简体"/>
          <w:sz w:val="44"/>
        </w:rPr>
        <w:t>优化提升营商环境三年行动计划</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方正小标宋简体" w:hAnsi="方正小标宋简体" w:eastAsia="方正小标宋简体"/>
          <w:sz w:val="44"/>
        </w:rPr>
      </w:pPr>
      <w:r>
        <w:rPr>
          <w:rFonts w:hint="eastAsia" w:ascii="方正小标宋简体" w:hAnsi="方正小标宋简体" w:eastAsia="方正小标宋简体"/>
          <w:sz w:val="44"/>
        </w:rPr>
        <w:t>（2018—2020）</w:t>
      </w:r>
    </w:p>
    <w:p>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kern w:val="0"/>
          <w:szCs w:val="32"/>
          <w:lang w:eastAsia="zh-CN"/>
        </w:rPr>
      </w:pPr>
      <w:r>
        <w:rPr>
          <w:rFonts w:hint="eastAsia" w:ascii="仿宋_GB2312" w:hAnsi="仿宋_GB2312" w:eastAsia="仿宋_GB2312" w:cs="仿宋_GB2312"/>
          <w:snapToGrid w:val="0"/>
          <w:color w:val="333333"/>
          <w:kern w:val="0"/>
          <w:szCs w:val="32"/>
        </w:rPr>
        <w:t>为认真贯彻</w:t>
      </w:r>
      <w:r>
        <w:rPr>
          <w:rFonts w:hint="eastAsia" w:ascii="仿宋_GB2312" w:hAnsi="仿宋_GB2312" w:cs="仿宋_GB2312"/>
          <w:snapToGrid w:val="0"/>
          <w:color w:val="333333"/>
          <w:kern w:val="0"/>
          <w:szCs w:val="32"/>
          <w:lang w:eastAsia="zh-CN"/>
        </w:rPr>
        <w:t>省市优化营商环境工作部署，</w:t>
      </w:r>
      <w:r>
        <w:rPr>
          <w:rFonts w:hint="eastAsia" w:ascii="仿宋_GB2312" w:hAnsi="仿宋_GB2312" w:eastAsia="仿宋_GB2312" w:cs="仿宋_GB2312"/>
          <w:snapToGrid w:val="0"/>
          <w:color w:val="333333"/>
          <w:kern w:val="0"/>
          <w:szCs w:val="32"/>
        </w:rPr>
        <w:t>进一步激发市场内生动力与创造</w:t>
      </w:r>
      <w:r>
        <w:rPr>
          <w:rFonts w:hint="eastAsia" w:ascii="仿宋_GB2312" w:hAnsi="仿宋_GB2312" w:cs="仿宋_GB2312"/>
          <w:snapToGrid w:val="0"/>
          <w:color w:val="333333"/>
          <w:kern w:val="0"/>
          <w:szCs w:val="32"/>
          <w:lang w:eastAsia="zh-CN"/>
        </w:rPr>
        <w:t>活</w:t>
      </w:r>
      <w:r>
        <w:rPr>
          <w:rFonts w:hint="eastAsia" w:ascii="仿宋_GB2312" w:hAnsi="仿宋_GB2312" w:eastAsia="仿宋_GB2312" w:cs="仿宋_GB2312"/>
          <w:snapToGrid w:val="0"/>
          <w:color w:val="333333"/>
          <w:kern w:val="0"/>
          <w:szCs w:val="32"/>
        </w:rPr>
        <w:t>力，努力营造法治化、便利化的营商环境，</w:t>
      </w:r>
      <w:r>
        <w:rPr>
          <w:rFonts w:hint="eastAsia" w:ascii="仿宋_GB2312" w:hAnsi="仿宋_GB2312" w:cs="仿宋_GB2312"/>
          <w:snapToGrid w:val="0"/>
          <w:color w:val="333333"/>
          <w:kern w:val="0"/>
          <w:szCs w:val="32"/>
          <w:lang w:eastAsia="zh-CN"/>
        </w:rPr>
        <w:t>现提出如下行动</w:t>
      </w:r>
      <w:r>
        <w:rPr>
          <w:rFonts w:hint="eastAsia" w:ascii="仿宋_GB2312" w:hAnsi="仿宋_GB2312" w:eastAsia="仿宋_GB2312" w:cs="仿宋_GB2312"/>
          <w:snapToGrid w:val="0"/>
          <w:color w:val="333333"/>
          <w:kern w:val="0"/>
          <w:szCs w:val="32"/>
        </w:rPr>
        <w:t>计划</w:t>
      </w:r>
      <w:r>
        <w:rPr>
          <w:rFonts w:hint="eastAsia" w:ascii="仿宋_GB2312" w:hAnsi="仿宋_GB2312" w:cs="仿宋_GB2312"/>
          <w:snapToGrid w:val="0"/>
          <w:color w:val="333333"/>
          <w:kern w:val="0"/>
          <w:szCs w:val="32"/>
          <w:lang w:eastAsia="zh-CN"/>
        </w:rPr>
        <w:t>：</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eastAsia="黑体"/>
          <w:snapToGrid w:val="0"/>
          <w:kern w:val="0"/>
          <w:lang w:eastAsia="zh-CN"/>
        </w:rPr>
      </w:pPr>
      <w:r>
        <w:rPr>
          <w:rFonts w:hint="eastAsia" w:eastAsia="黑体"/>
          <w:snapToGrid w:val="0"/>
          <w:kern w:val="0"/>
          <w:lang w:eastAsia="zh-CN"/>
        </w:rPr>
        <w:t>一、</w:t>
      </w:r>
      <w:r>
        <w:rPr>
          <w:rFonts w:hint="eastAsia" w:eastAsia="黑体"/>
          <w:snapToGrid w:val="0"/>
          <w:kern w:val="0"/>
        </w:rPr>
        <w:t>总体</w:t>
      </w:r>
      <w:r>
        <w:rPr>
          <w:rFonts w:hint="eastAsia" w:eastAsia="黑体"/>
          <w:snapToGrid w:val="0"/>
          <w:kern w:val="0"/>
          <w:lang w:eastAsia="zh-CN"/>
        </w:rPr>
        <w:t>目标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333333"/>
          <w:kern w:val="0"/>
          <w:szCs w:val="32"/>
        </w:rPr>
      </w:pPr>
      <w:r>
        <w:rPr>
          <w:rFonts w:hint="eastAsia" w:ascii="仿宋_GB2312" w:hAnsi="仿宋_GB2312" w:eastAsia="仿宋_GB2312" w:cs="仿宋_GB2312"/>
          <w:snapToGrid w:val="0"/>
          <w:color w:val="333333"/>
          <w:kern w:val="0"/>
          <w:szCs w:val="32"/>
        </w:rPr>
        <w:t>深入贯彻落实</w:t>
      </w:r>
      <w:r>
        <w:rPr>
          <w:rFonts w:hint="eastAsia" w:ascii="仿宋_GB2312" w:hAnsi="仿宋_GB2312" w:eastAsia="仿宋_GB2312" w:cs="仿宋_GB2312"/>
          <w:snapToGrid w:val="0"/>
          <w:color w:val="333333"/>
          <w:kern w:val="0"/>
          <w:szCs w:val="32"/>
          <w:lang w:eastAsia="zh-CN"/>
        </w:rPr>
        <w:t>市</w:t>
      </w:r>
      <w:r>
        <w:rPr>
          <w:rFonts w:hint="eastAsia" w:ascii="仿宋_GB2312" w:hAnsi="仿宋_GB2312" w:eastAsia="仿宋_GB2312" w:cs="仿宋_GB2312"/>
          <w:snapToGrid w:val="0"/>
          <w:color w:val="333333"/>
          <w:kern w:val="0"/>
          <w:szCs w:val="32"/>
        </w:rPr>
        <w:t>委、</w:t>
      </w:r>
      <w:r>
        <w:rPr>
          <w:rFonts w:hint="eastAsia" w:ascii="仿宋_GB2312" w:hAnsi="仿宋_GB2312" w:eastAsia="仿宋_GB2312" w:cs="仿宋_GB2312"/>
          <w:snapToGrid w:val="0"/>
          <w:color w:val="333333"/>
          <w:kern w:val="0"/>
          <w:szCs w:val="32"/>
          <w:lang w:eastAsia="zh-CN"/>
        </w:rPr>
        <w:t>市</w:t>
      </w:r>
      <w:r>
        <w:rPr>
          <w:rFonts w:hint="eastAsia" w:ascii="仿宋_GB2312" w:hAnsi="仿宋_GB2312" w:eastAsia="仿宋_GB2312" w:cs="仿宋_GB2312"/>
          <w:snapToGrid w:val="0"/>
          <w:color w:val="333333"/>
          <w:kern w:val="0"/>
          <w:szCs w:val="32"/>
        </w:rPr>
        <w:t>政府优化提升营商环境有关会议和文件精神，以深化“放管服”改革为重要抓手，全面落实并持续深化《</w:t>
      </w:r>
      <w:r>
        <w:rPr>
          <w:rFonts w:hint="eastAsia" w:ascii="仿宋_GB2312" w:hAnsi="仿宋_GB2312" w:eastAsia="仿宋_GB2312" w:cs="仿宋_GB2312"/>
          <w:snapToGrid w:val="0"/>
          <w:color w:val="333333"/>
          <w:kern w:val="0"/>
          <w:szCs w:val="32"/>
          <w:lang w:eastAsia="zh-CN"/>
        </w:rPr>
        <w:t>太白县</w:t>
      </w:r>
      <w:r>
        <w:rPr>
          <w:rFonts w:hint="eastAsia" w:ascii="仿宋_GB2312" w:hAnsi="仿宋_GB2312" w:eastAsia="仿宋_GB2312" w:cs="仿宋_GB2312"/>
          <w:snapToGrid w:val="0"/>
          <w:color w:val="333333"/>
          <w:kern w:val="0"/>
          <w:szCs w:val="32"/>
        </w:rPr>
        <w:t>优化提升营商环境</w:t>
      </w:r>
      <w:r>
        <w:rPr>
          <w:rFonts w:hint="eastAsia" w:ascii="仿宋_GB2312" w:hAnsi="仿宋_GB2312" w:cs="仿宋_GB2312"/>
          <w:snapToGrid w:val="0"/>
          <w:color w:val="333333"/>
          <w:kern w:val="0"/>
          <w:szCs w:val="32"/>
          <w:lang w:eastAsia="zh-CN"/>
        </w:rPr>
        <w:t>“</w:t>
      </w:r>
      <w:r>
        <w:rPr>
          <w:rFonts w:hint="eastAsia" w:ascii="仿宋_GB2312" w:hAnsi="仿宋_GB2312" w:eastAsia="仿宋_GB2312" w:cs="仿宋_GB2312"/>
          <w:snapToGrid w:val="0"/>
          <w:color w:val="333333"/>
          <w:kern w:val="0"/>
          <w:szCs w:val="32"/>
        </w:rPr>
        <w:t>10+3</w:t>
      </w:r>
      <w:r>
        <w:rPr>
          <w:rFonts w:hint="eastAsia" w:ascii="仿宋_GB2312" w:hAnsi="仿宋_GB2312" w:cs="仿宋_GB2312"/>
          <w:snapToGrid w:val="0"/>
          <w:color w:val="333333"/>
          <w:kern w:val="0"/>
          <w:szCs w:val="32"/>
          <w:lang w:eastAsia="zh-CN"/>
        </w:rPr>
        <w:t>”</w:t>
      </w:r>
      <w:r>
        <w:rPr>
          <w:rFonts w:hint="eastAsia" w:ascii="仿宋_GB2312" w:hAnsi="仿宋_GB2312" w:eastAsia="仿宋_GB2312" w:cs="仿宋_GB2312"/>
          <w:snapToGrid w:val="0"/>
          <w:color w:val="333333"/>
          <w:kern w:val="0"/>
          <w:szCs w:val="32"/>
        </w:rPr>
        <w:t>行动方案》，明确任务清单、时间清单和责任清单，实现“一年重点突破，两年全面提升，三年争创一流”，力争通过三年左右的时间，推动我</w:t>
      </w:r>
      <w:r>
        <w:rPr>
          <w:rFonts w:hint="eastAsia" w:ascii="仿宋_GB2312" w:hAnsi="仿宋_GB2312" w:eastAsia="仿宋_GB2312" w:cs="仿宋_GB2312"/>
          <w:snapToGrid w:val="0"/>
          <w:color w:val="333333"/>
          <w:kern w:val="0"/>
          <w:szCs w:val="32"/>
          <w:lang w:eastAsia="zh-CN"/>
        </w:rPr>
        <w:t>县</w:t>
      </w:r>
      <w:r>
        <w:rPr>
          <w:rFonts w:hint="eastAsia" w:ascii="仿宋_GB2312" w:hAnsi="仿宋_GB2312" w:eastAsia="仿宋_GB2312" w:cs="仿宋_GB2312"/>
          <w:snapToGrid w:val="0"/>
          <w:color w:val="333333"/>
          <w:kern w:val="0"/>
          <w:szCs w:val="32"/>
        </w:rPr>
        <w:t>发展在更宽领域、更深层次、更高水平上实现追赶超越。</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eastAsia="黑体"/>
          <w:snapToGrid w:val="0"/>
          <w:kern w:val="0"/>
        </w:rPr>
      </w:pPr>
      <w:r>
        <w:rPr>
          <w:rFonts w:hint="eastAsia" w:eastAsia="黑体"/>
          <w:snapToGrid w:val="0"/>
          <w:kern w:val="0"/>
          <w:lang w:eastAsia="zh-CN"/>
        </w:rPr>
        <w:t>二、</w:t>
      </w:r>
      <w:r>
        <w:rPr>
          <w:rFonts w:eastAsia="黑体"/>
          <w:snapToGrid w:val="0"/>
          <w:kern w:val="0"/>
        </w:rPr>
        <w:t>基本原则</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ascii="仿宋" w:hAnsi="仿宋"/>
          <w:snapToGrid w:val="0"/>
          <w:color w:val="auto"/>
          <w:kern w:val="0"/>
          <w:szCs w:val="32"/>
        </w:rPr>
      </w:pPr>
      <w:r>
        <w:rPr>
          <w:rFonts w:hint="eastAsia" w:ascii="楷体_GB2312" w:hAnsi="楷体_GB2312" w:eastAsia="楷体_GB2312" w:cs="楷体_GB2312"/>
          <w:b/>
          <w:bCs/>
          <w:snapToGrid w:val="0"/>
          <w:color w:val="auto"/>
          <w:kern w:val="0"/>
          <w:szCs w:val="32"/>
        </w:rPr>
        <w:t>（一）</w:t>
      </w:r>
      <w:r>
        <w:rPr>
          <w:rFonts w:hint="eastAsia" w:ascii="楷体_GB2312" w:hAnsi="楷体_GB2312" w:eastAsia="楷体_GB2312" w:cs="楷体_GB2312"/>
          <w:b/>
          <w:bCs/>
          <w:snapToGrid w:val="0"/>
          <w:color w:val="auto"/>
          <w:kern w:val="0"/>
          <w:szCs w:val="32"/>
          <w:lang w:eastAsia="zh-CN"/>
        </w:rPr>
        <w:t>坚持问题导向</w:t>
      </w:r>
      <w:r>
        <w:rPr>
          <w:rFonts w:hint="eastAsia" w:ascii="楷体_GB2312" w:hAnsi="楷体_GB2312" w:eastAsia="楷体_GB2312" w:cs="楷体_GB2312"/>
          <w:b/>
          <w:bCs/>
          <w:snapToGrid w:val="0"/>
          <w:color w:val="auto"/>
          <w:kern w:val="0"/>
          <w:szCs w:val="32"/>
        </w:rPr>
        <w:t>。</w:t>
      </w:r>
      <w:r>
        <w:rPr>
          <w:rFonts w:hint="eastAsia" w:ascii="仿宋" w:hAnsi="仿宋"/>
          <w:snapToGrid w:val="0"/>
          <w:color w:val="auto"/>
          <w:kern w:val="0"/>
          <w:szCs w:val="32"/>
        </w:rPr>
        <w:t>紧紧围绕营商环境领域存在的影响企业发展的突出问题，减环节、减材料、降成本，并不断固化完善制度和程序，形成长效机制。</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ascii="仿宋" w:hAnsi="仿宋"/>
          <w:snapToGrid w:val="0"/>
          <w:color w:val="auto"/>
          <w:kern w:val="0"/>
          <w:szCs w:val="32"/>
        </w:rPr>
      </w:pPr>
      <w:r>
        <w:rPr>
          <w:rFonts w:hint="eastAsia" w:ascii="楷体_GB2312" w:hAnsi="楷体_GB2312" w:eastAsia="楷体_GB2312" w:cs="楷体_GB2312"/>
          <w:b/>
          <w:bCs/>
          <w:snapToGrid w:val="0"/>
          <w:color w:val="auto"/>
          <w:kern w:val="0"/>
          <w:szCs w:val="32"/>
        </w:rPr>
        <w:t>（</w:t>
      </w:r>
      <w:r>
        <w:rPr>
          <w:rFonts w:hint="eastAsia" w:ascii="楷体_GB2312" w:hAnsi="楷体_GB2312" w:eastAsia="楷体_GB2312" w:cs="楷体_GB2312"/>
          <w:b/>
          <w:bCs/>
          <w:snapToGrid w:val="0"/>
          <w:color w:val="auto"/>
          <w:kern w:val="0"/>
          <w:szCs w:val="32"/>
          <w:lang w:eastAsia="zh-CN"/>
        </w:rPr>
        <w:t>二</w:t>
      </w:r>
      <w:r>
        <w:rPr>
          <w:rFonts w:hint="eastAsia" w:ascii="楷体_GB2312" w:hAnsi="楷体_GB2312" w:eastAsia="楷体_GB2312" w:cs="楷体_GB2312"/>
          <w:b/>
          <w:bCs/>
          <w:snapToGrid w:val="0"/>
          <w:color w:val="auto"/>
          <w:kern w:val="0"/>
          <w:szCs w:val="32"/>
        </w:rPr>
        <w:t>）</w:t>
      </w:r>
      <w:r>
        <w:rPr>
          <w:rFonts w:hint="eastAsia" w:ascii="楷体_GB2312" w:hAnsi="楷体_GB2312" w:eastAsia="楷体_GB2312" w:cs="楷体_GB2312"/>
          <w:b/>
          <w:bCs/>
          <w:snapToGrid w:val="0"/>
          <w:color w:val="auto"/>
          <w:kern w:val="0"/>
          <w:szCs w:val="32"/>
          <w:lang w:eastAsia="zh-CN"/>
        </w:rPr>
        <w:t>深化</w:t>
      </w:r>
      <w:r>
        <w:rPr>
          <w:rFonts w:hint="eastAsia" w:ascii="楷体_GB2312" w:hAnsi="楷体_GB2312" w:eastAsia="楷体_GB2312" w:cs="楷体_GB2312"/>
          <w:b/>
          <w:bCs/>
          <w:snapToGrid w:val="0"/>
          <w:color w:val="auto"/>
          <w:kern w:val="0"/>
          <w:szCs w:val="32"/>
        </w:rPr>
        <w:t>依法</w:t>
      </w:r>
      <w:r>
        <w:rPr>
          <w:rFonts w:hint="eastAsia" w:ascii="楷体_GB2312" w:hAnsi="楷体_GB2312" w:eastAsia="楷体_GB2312" w:cs="楷体_GB2312"/>
          <w:b/>
          <w:bCs/>
          <w:snapToGrid w:val="0"/>
          <w:color w:val="auto"/>
          <w:kern w:val="0"/>
          <w:szCs w:val="32"/>
          <w:lang w:eastAsia="zh-CN"/>
        </w:rPr>
        <w:t>行政</w:t>
      </w:r>
      <w:r>
        <w:rPr>
          <w:rFonts w:hint="eastAsia" w:ascii="楷体_GB2312" w:hAnsi="楷体_GB2312" w:eastAsia="楷体_GB2312" w:cs="楷体_GB2312"/>
          <w:b/>
          <w:bCs/>
          <w:snapToGrid w:val="0"/>
          <w:color w:val="auto"/>
          <w:kern w:val="0"/>
          <w:szCs w:val="32"/>
        </w:rPr>
        <w:t>。</w:t>
      </w:r>
      <w:r>
        <w:rPr>
          <w:rFonts w:hint="eastAsia" w:ascii="仿宋" w:hAnsi="仿宋"/>
          <w:snapToGrid w:val="0"/>
          <w:color w:val="auto"/>
          <w:kern w:val="0"/>
          <w:szCs w:val="32"/>
        </w:rPr>
        <w:t>把依法行政、依法用权、依法办事贯穿于优化营商环境的全过程，切实做到法无授权不可为、法定职责必须为，营造法治化的营商环境。</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ascii="仿宋" w:hAnsi="仿宋"/>
          <w:snapToGrid w:val="0"/>
          <w:color w:val="auto"/>
          <w:kern w:val="0"/>
          <w:szCs w:val="32"/>
        </w:rPr>
      </w:pPr>
      <w:r>
        <w:rPr>
          <w:rFonts w:hint="eastAsia" w:ascii="楷体_GB2312" w:hAnsi="楷体_GB2312" w:eastAsia="楷体_GB2312" w:cs="楷体_GB2312"/>
          <w:b/>
          <w:bCs/>
          <w:snapToGrid w:val="0"/>
          <w:color w:val="auto"/>
          <w:kern w:val="0"/>
          <w:szCs w:val="32"/>
        </w:rPr>
        <w:t>（</w:t>
      </w:r>
      <w:r>
        <w:rPr>
          <w:rFonts w:hint="eastAsia" w:ascii="楷体_GB2312" w:hAnsi="楷体_GB2312" w:eastAsia="楷体_GB2312" w:cs="楷体_GB2312"/>
          <w:b/>
          <w:bCs/>
          <w:snapToGrid w:val="0"/>
          <w:color w:val="auto"/>
          <w:kern w:val="0"/>
          <w:szCs w:val="32"/>
          <w:lang w:eastAsia="zh-CN"/>
        </w:rPr>
        <w:t>三</w:t>
      </w:r>
      <w:r>
        <w:rPr>
          <w:rFonts w:hint="eastAsia" w:ascii="楷体_GB2312" w:hAnsi="楷体_GB2312" w:eastAsia="楷体_GB2312" w:cs="楷体_GB2312"/>
          <w:b/>
          <w:bCs/>
          <w:snapToGrid w:val="0"/>
          <w:color w:val="auto"/>
          <w:kern w:val="0"/>
          <w:szCs w:val="32"/>
        </w:rPr>
        <w:t>）</w:t>
      </w:r>
      <w:r>
        <w:rPr>
          <w:rFonts w:hint="eastAsia" w:ascii="楷体_GB2312" w:hAnsi="楷体_GB2312" w:eastAsia="楷体_GB2312" w:cs="楷体_GB2312"/>
          <w:b/>
          <w:bCs/>
          <w:snapToGrid w:val="0"/>
          <w:color w:val="auto"/>
          <w:kern w:val="0"/>
          <w:szCs w:val="32"/>
          <w:lang w:eastAsia="zh-CN"/>
        </w:rPr>
        <w:t>强化统筹推进</w:t>
      </w:r>
      <w:r>
        <w:rPr>
          <w:rFonts w:hint="eastAsia" w:ascii="楷体_GB2312" w:hAnsi="楷体_GB2312" w:eastAsia="楷体_GB2312" w:cs="楷体_GB2312"/>
          <w:b/>
          <w:bCs/>
          <w:snapToGrid w:val="0"/>
          <w:color w:val="auto"/>
          <w:kern w:val="0"/>
          <w:szCs w:val="32"/>
        </w:rPr>
        <w:t>。</w:t>
      </w:r>
      <w:r>
        <w:rPr>
          <w:rFonts w:hint="eastAsia" w:ascii="仿宋" w:hAnsi="仿宋"/>
          <w:snapToGrid w:val="0"/>
          <w:color w:val="auto"/>
          <w:kern w:val="0"/>
          <w:szCs w:val="32"/>
        </w:rPr>
        <w:t>充分调动和发挥行业主管部门的积极性和主动性，加强制度衔接，有效整合各方资源，促进纵横协同，构建一体化联合推进机制。</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eastAsia="黑体"/>
          <w:snapToGrid w:val="0"/>
          <w:kern w:val="0"/>
          <w:lang w:eastAsia="zh-CN"/>
        </w:rPr>
      </w:pPr>
      <w:r>
        <w:rPr>
          <w:rFonts w:hint="eastAsia" w:eastAsia="黑体"/>
          <w:snapToGrid w:val="0"/>
          <w:kern w:val="0"/>
          <w:lang w:eastAsia="zh-CN"/>
        </w:rPr>
        <w:t>三、重点任务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val="0"/>
          <w:color w:val="333333"/>
          <w:kern w:val="0"/>
          <w:szCs w:val="32"/>
        </w:rPr>
      </w:pPr>
      <w:r>
        <w:rPr>
          <w:rFonts w:hint="eastAsia" w:ascii="楷体_GB2312" w:hAnsi="楷体_GB2312" w:eastAsia="楷体_GB2312" w:cs="楷体_GB2312"/>
          <w:b/>
          <w:bCs/>
          <w:snapToGrid w:val="0"/>
          <w:color w:val="333333"/>
          <w:kern w:val="0"/>
          <w:szCs w:val="32"/>
        </w:rPr>
        <w:t>（一）简化企业开办注销程序。</w:t>
      </w:r>
      <w:r>
        <w:rPr>
          <w:rFonts w:hint="eastAsia" w:ascii="仿宋_GB2312" w:hAnsi="仿宋_GB2312" w:eastAsia="仿宋_GB2312" w:cs="仿宋_GB2312"/>
          <w:snapToGrid w:val="0"/>
          <w:kern w:val="0"/>
          <w:szCs w:val="32"/>
        </w:rPr>
        <w:t>将新设立企业办理营业执照、刻制公章、申请领用10万元（含）以下增值税专用发票和增值税普通发票、定额发票时限逐步压缩至3个工作日，2018年、2019年、2020年分别实现6个、4.5个、3个工作日办结。将符合条件的企业简易注销登记时限压缩至3个工作日。</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snapToGrid w:val="0"/>
          <w:kern w:val="0"/>
          <w:szCs w:val="32"/>
        </w:rPr>
      </w:pPr>
      <w:r>
        <w:rPr>
          <w:rFonts w:hint="eastAsia" w:ascii="楷体_GB2312" w:hAnsi="楷体_GB2312" w:eastAsia="楷体_GB2312" w:cs="楷体_GB2312"/>
          <w:b/>
          <w:bCs/>
          <w:snapToGrid w:val="0"/>
          <w:color w:val="333333"/>
          <w:kern w:val="0"/>
          <w:szCs w:val="32"/>
        </w:rPr>
        <w:t>（二）简化施工许可证办理。</w:t>
      </w:r>
      <w:r>
        <w:rPr>
          <w:rFonts w:hint="eastAsia" w:ascii="仿宋" w:hAnsi="仿宋"/>
          <w:snapToGrid w:val="0"/>
          <w:color w:val="auto"/>
          <w:kern w:val="0"/>
          <w:szCs w:val="32"/>
        </w:rPr>
        <w:t>全流程改革房屋建筑和城市基础设施等工程建设项目审批，覆盖行政许可等审批事项和技术审查、中介服务、市政公用服务及备案等其他类型事项，逐步实现政府投资的审批类建设项目审批时限</w:t>
      </w:r>
      <w:r>
        <w:rPr>
          <w:rFonts w:hint="eastAsia" w:ascii="仿宋_GB2312" w:hAnsi="仿宋_GB2312" w:eastAsia="仿宋_GB2312" w:cs="仿宋_GB2312"/>
          <w:snapToGrid w:val="0"/>
          <w:color w:val="auto"/>
          <w:kern w:val="0"/>
          <w:szCs w:val="32"/>
        </w:rPr>
        <w:t>压缩至120个工作日，其中行政许可等审批事项所用时间58个工作日；社会投</w:t>
      </w:r>
      <w:r>
        <w:rPr>
          <w:rFonts w:hint="eastAsia" w:ascii="仿宋" w:hAnsi="仿宋"/>
          <w:snapToGrid w:val="0"/>
          <w:color w:val="auto"/>
          <w:kern w:val="0"/>
          <w:szCs w:val="32"/>
        </w:rPr>
        <w:t>资的核准（备案）类建设项目审批时限压缩</w:t>
      </w:r>
      <w:r>
        <w:rPr>
          <w:rFonts w:hint="eastAsia" w:ascii="仿宋_GB2312" w:hAnsi="仿宋_GB2312" w:eastAsia="仿宋_GB2312" w:cs="仿宋_GB2312"/>
          <w:snapToGrid w:val="0"/>
          <w:color w:val="auto"/>
          <w:kern w:val="0"/>
          <w:szCs w:val="32"/>
        </w:rPr>
        <w:t>至90个工作日，其中行政许可等审批事项所用时间38个工作</w:t>
      </w:r>
      <w:r>
        <w:rPr>
          <w:rFonts w:hint="eastAsia" w:ascii="仿宋" w:hAnsi="仿宋"/>
          <w:snapToGrid w:val="0"/>
          <w:color w:val="auto"/>
          <w:kern w:val="0"/>
          <w:szCs w:val="32"/>
        </w:rPr>
        <w:t>日。</w:t>
      </w:r>
      <w:r>
        <w:rPr>
          <w:rFonts w:hint="eastAsia" w:ascii="仿宋_GB2312"/>
          <w:snapToGrid w:val="0"/>
          <w:kern w:val="0"/>
          <w:szCs w:val="32"/>
        </w:rPr>
        <w:t>2018年</w:t>
      </w:r>
      <w:r>
        <w:rPr>
          <w:rFonts w:hint="eastAsia" w:ascii="仿宋_GB2312"/>
          <w:snapToGrid w:val="0"/>
          <w:kern w:val="0"/>
          <w:szCs w:val="32"/>
          <w:lang w:eastAsia="zh-CN"/>
        </w:rPr>
        <w:t>底前</w:t>
      </w:r>
      <w:r>
        <w:rPr>
          <w:rFonts w:hint="eastAsia" w:ascii="仿宋_GB2312"/>
          <w:snapToGrid w:val="0"/>
          <w:kern w:val="0"/>
          <w:szCs w:val="32"/>
        </w:rPr>
        <w:t>，社会投资的核准（备案）类建设项目办理时限压缩至120个工作日</w:t>
      </w:r>
      <w:r>
        <w:rPr>
          <w:rFonts w:hint="eastAsia" w:ascii="仿宋_GB2312"/>
          <w:snapToGrid w:val="0"/>
          <w:kern w:val="0"/>
          <w:szCs w:val="32"/>
          <w:lang w:eastAsia="zh-CN"/>
        </w:rPr>
        <w:t>。</w:t>
      </w:r>
      <w:r>
        <w:rPr>
          <w:rFonts w:hint="eastAsia" w:ascii="仿宋_GB2312"/>
          <w:snapToGrid w:val="0"/>
          <w:kern w:val="0"/>
          <w:szCs w:val="32"/>
        </w:rPr>
        <w:t>2019年，所有建设项目压缩至120个工作日。2020年，</w:t>
      </w:r>
      <w:r>
        <w:rPr>
          <w:rFonts w:hint="eastAsia" w:ascii="仿宋_GB2312"/>
          <w:snapToGrid w:val="0"/>
          <w:kern w:val="0"/>
          <w:szCs w:val="32"/>
          <w:lang w:eastAsia="zh-CN"/>
        </w:rPr>
        <w:t>全县实现上述目标</w:t>
      </w:r>
      <w:r>
        <w:rPr>
          <w:rFonts w:hint="eastAsia" w:ascii="仿宋_GB2312"/>
          <w:snapToGrid w:val="0"/>
          <w:kern w:val="0"/>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snapToGrid w:val="0"/>
          <w:kern w:val="0"/>
          <w:szCs w:val="32"/>
        </w:rPr>
      </w:pPr>
      <w:r>
        <w:rPr>
          <w:rFonts w:hint="eastAsia" w:ascii="楷体_GB2312" w:hAnsi="楷体_GB2312" w:eastAsia="楷体_GB2312" w:cs="楷体_GB2312"/>
          <w:b/>
          <w:bCs/>
          <w:snapToGrid w:val="0"/>
          <w:color w:val="333333"/>
          <w:kern w:val="0"/>
          <w:szCs w:val="32"/>
        </w:rPr>
        <w:t>（三）方便企业获得水电气暖。</w:t>
      </w:r>
      <w:r>
        <w:rPr>
          <w:rFonts w:hint="eastAsia" w:ascii="仿宋_GB2312"/>
          <w:snapToGrid w:val="0"/>
          <w:kern w:val="0"/>
          <w:szCs w:val="32"/>
        </w:rPr>
        <w:t>在供电方面，2018年低压用电报装办理时限、高压单电源报装办理时限、高压双电源报装办理时限分别压缩至30、35、50个工作日</w:t>
      </w:r>
      <w:r>
        <w:rPr>
          <w:rFonts w:hint="eastAsia" w:ascii="仿宋_GB2312"/>
          <w:snapToGrid w:val="0"/>
          <w:kern w:val="0"/>
          <w:szCs w:val="32"/>
          <w:lang w:val="en-US" w:eastAsia="zh-CN"/>
        </w:rPr>
        <w:t>，</w:t>
      </w:r>
      <w:r>
        <w:rPr>
          <w:rFonts w:hint="eastAsia" w:ascii="仿宋_GB2312"/>
          <w:snapToGrid w:val="0"/>
          <w:kern w:val="0"/>
          <w:szCs w:val="32"/>
        </w:rPr>
        <w:t>2019年分别压缩至20、32、45个工作日</w:t>
      </w:r>
      <w:r>
        <w:rPr>
          <w:rFonts w:hint="eastAsia" w:ascii="仿宋_GB2312"/>
          <w:snapToGrid w:val="0"/>
          <w:kern w:val="0"/>
          <w:szCs w:val="32"/>
          <w:lang w:val="en-US" w:eastAsia="zh-CN"/>
        </w:rPr>
        <w:t>，</w:t>
      </w:r>
      <w:r>
        <w:rPr>
          <w:rFonts w:hint="eastAsia" w:ascii="仿宋_GB2312"/>
          <w:snapToGrid w:val="0"/>
          <w:kern w:val="0"/>
          <w:szCs w:val="32"/>
        </w:rPr>
        <w:t>2020年分别压缩至13、30、40个工作日；在供气方面，将用气报装办理时限（含施工审批）压缩至2018年40个工作日、2019年33个工作日、2020年23个工作日；在供水方面，县城报装时限压缩至2018年底23个工作日、2019年底20个工作日、2020年底13个工作日13个工作日；在供暖方面，将项目报装时限（含施工审批）压缩至2018年底50个工作日，2019年底36个工作日</w:t>
      </w:r>
      <w:r>
        <w:rPr>
          <w:rFonts w:hint="eastAsia" w:ascii="仿宋_GB2312"/>
          <w:snapToGrid w:val="0"/>
          <w:kern w:val="0"/>
          <w:szCs w:val="32"/>
          <w:lang w:eastAsia="zh-CN"/>
        </w:rPr>
        <w:t>、</w:t>
      </w:r>
      <w:r>
        <w:rPr>
          <w:rFonts w:hint="eastAsia" w:ascii="仿宋_GB2312"/>
          <w:snapToGrid w:val="0"/>
          <w:kern w:val="0"/>
          <w:szCs w:val="32"/>
        </w:rPr>
        <w:t>2020年底28个工作日。</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snapToGrid w:val="0"/>
          <w:kern w:val="0"/>
          <w:szCs w:val="32"/>
        </w:rPr>
      </w:pPr>
      <w:r>
        <w:rPr>
          <w:rFonts w:hint="eastAsia" w:ascii="楷体_GB2312" w:hAnsi="楷体_GB2312" w:eastAsia="楷体_GB2312" w:cs="楷体_GB2312"/>
          <w:b/>
          <w:bCs/>
          <w:snapToGrid w:val="0"/>
          <w:color w:val="333333"/>
          <w:kern w:val="0"/>
          <w:szCs w:val="32"/>
        </w:rPr>
        <w:t>（四）</w:t>
      </w:r>
      <w:r>
        <w:rPr>
          <w:rFonts w:hint="eastAsia" w:ascii="楷体_GB2312" w:hAnsi="楷体_GB2312" w:eastAsia="楷体_GB2312" w:cs="楷体_GB2312"/>
          <w:b/>
          <w:bCs/>
          <w:snapToGrid w:val="0"/>
          <w:color w:val="333333"/>
          <w:kern w:val="0"/>
          <w:szCs w:val="32"/>
          <w:lang w:eastAsia="zh-CN"/>
        </w:rPr>
        <w:t>推动</w:t>
      </w:r>
      <w:r>
        <w:rPr>
          <w:rFonts w:hint="eastAsia" w:ascii="楷体_GB2312" w:hAnsi="楷体_GB2312" w:eastAsia="楷体_GB2312" w:cs="楷体_GB2312"/>
          <w:b/>
          <w:bCs/>
          <w:snapToGrid w:val="0"/>
          <w:color w:val="333333"/>
          <w:kern w:val="0"/>
          <w:szCs w:val="32"/>
        </w:rPr>
        <w:t>不动产登记办理。</w:t>
      </w:r>
      <w:r>
        <w:rPr>
          <w:rFonts w:hint="eastAsia" w:ascii="仿宋_GB2312"/>
          <w:snapToGrid w:val="0"/>
          <w:kern w:val="0"/>
          <w:szCs w:val="32"/>
        </w:rPr>
        <w:t>2018年，基本实现复杂的不动产登记及大宗批量不动产登记15个工作日办结；在企业完成权籍调查、登记资料齐全、符合登记要求的前提下，将全部登记类型压缩至受理之日起5个工作日办结；查封登记、异议登记即时办结。2019年，全面实现复杂的不动产登记及大宗批量不动产登记15个工作日办结；抵押登记压缩至受理之日起3个工作日办结。2020年，巩固提升方便企业办理不动产登记各项事项，实现企业办理不动产登记业务全程网上办理。</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snapToGrid w:val="0"/>
          <w:kern w:val="0"/>
          <w:szCs w:val="32"/>
        </w:rPr>
      </w:pPr>
      <w:r>
        <w:rPr>
          <w:rFonts w:hint="eastAsia" w:ascii="楷体_GB2312" w:hAnsi="楷体_GB2312" w:eastAsia="楷体_GB2312" w:cs="楷体_GB2312"/>
          <w:b/>
          <w:bCs/>
          <w:snapToGrid w:val="0"/>
          <w:color w:val="333333"/>
          <w:kern w:val="0"/>
          <w:szCs w:val="32"/>
        </w:rPr>
        <w:t>（五）</w:t>
      </w:r>
      <w:r>
        <w:rPr>
          <w:rFonts w:hint="eastAsia" w:ascii="楷体_GB2312" w:hAnsi="楷体_GB2312" w:eastAsia="楷体_GB2312" w:cs="楷体_GB2312"/>
          <w:b/>
          <w:bCs/>
          <w:snapToGrid w:val="0"/>
          <w:color w:val="333333"/>
          <w:kern w:val="0"/>
          <w:szCs w:val="32"/>
          <w:lang w:eastAsia="zh-CN"/>
        </w:rPr>
        <w:t>提升企业信贷便利化</w:t>
      </w:r>
      <w:r>
        <w:rPr>
          <w:rFonts w:hint="eastAsia" w:ascii="楷体_GB2312" w:hAnsi="楷体_GB2312" w:eastAsia="楷体_GB2312" w:cs="楷体_GB2312"/>
          <w:b/>
          <w:bCs/>
          <w:snapToGrid w:val="0"/>
          <w:color w:val="333333"/>
          <w:kern w:val="0"/>
          <w:szCs w:val="32"/>
        </w:rPr>
        <w:t>。</w:t>
      </w:r>
      <w:r>
        <w:rPr>
          <w:rFonts w:hint="eastAsia" w:ascii="仿宋_GB2312"/>
          <w:snapToGrid w:val="0"/>
          <w:kern w:val="0"/>
          <w:szCs w:val="32"/>
        </w:rPr>
        <w:t>改造小微企业信贷流程和信用评价模型，优化小微企业贷款审批和发放的流程，提高信贷服务便利度。力争做到2018年统筹协调、2019年基本保障、2020年全面实现“三个不低于”的目标，即：小微企业贷款增速不低于各项贷款平均增速、小微企业贷款户数不低于上年同期户数、小微企业申贷获得率不低于上年同期水平。降低政府性融资担保机构的担保费率，力争实现年化担保费率原则上不超过1.5%。</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snapToGrid w:val="0"/>
          <w:kern w:val="0"/>
          <w:szCs w:val="32"/>
        </w:rPr>
      </w:pPr>
      <w:r>
        <w:rPr>
          <w:rFonts w:hint="eastAsia" w:ascii="楷体_GB2312" w:hAnsi="楷体_GB2312" w:eastAsia="楷体_GB2312" w:cs="楷体_GB2312"/>
          <w:b/>
          <w:bCs/>
          <w:snapToGrid w:val="0"/>
          <w:color w:val="333333"/>
          <w:kern w:val="0"/>
          <w:szCs w:val="32"/>
        </w:rPr>
        <w:t>（六）优化纳税服务。</w:t>
      </w:r>
      <w:r>
        <w:rPr>
          <w:rFonts w:hint="eastAsia" w:ascii="仿宋_GB2312"/>
          <w:snapToGrid w:val="0"/>
          <w:kern w:val="0"/>
          <w:szCs w:val="32"/>
        </w:rPr>
        <w:t>涉税资料报送2018年精简187项，2019年再精简21项，2020年再精简10项。纳税所需时间2018年底前缩短至0.4小时，2019年底前缩短至0.35小时，2020年底前缩短至0.3小时。2018年出口退税一类企业、二类企业、三类企业平均办理时间分别压缩至4、8、11个工作日；2019年出口退税一类企业、二类企业、三类企业平均办理时间分别压缩至3、7、10个工作日；2020年出口退税一类企业、二类企业、三类企业平均办理时间分别压缩至2、6、8个工作日。</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ascii="仿宋" w:hAnsi="仿宋"/>
          <w:snapToGrid w:val="0"/>
          <w:color w:val="333333"/>
          <w:kern w:val="0"/>
          <w:szCs w:val="32"/>
        </w:rPr>
      </w:pPr>
      <w:r>
        <w:rPr>
          <w:rFonts w:hint="eastAsia" w:ascii="楷体_GB2312" w:hAnsi="楷体_GB2312" w:eastAsia="楷体_GB2312" w:cs="楷体_GB2312"/>
          <w:b/>
          <w:bCs/>
          <w:snapToGrid w:val="0"/>
          <w:color w:val="333333"/>
          <w:kern w:val="0"/>
          <w:szCs w:val="32"/>
        </w:rPr>
        <w:t>（七）</w:t>
      </w:r>
      <w:r>
        <w:rPr>
          <w:rFonts w:hint="eastAsia" w:ascii="楷体_GB2312" w:hAnsi="楷体_GB2312" w:eastAsia="楷体_GB2312" w:cs="楷体_GB2312"/>
          <w:b/>
          <w:bCs/>
          <w:snapToGrid w:val="0"/>
          <w:color w:val="333333"/>
          <w:kern w:val="0"/>
          <w:szCs w:val="32"/>
          <w:lang w:eastAsia="zh-CN"/>
        </w:rPr>
        <w:t>推进</w:t>
      </w:r>
      <w:r>
        <w:rPr>
          <w:rFonts w:hint="eastAsia" w:ascii="楷体_GB2312" w:hAnsi="楷体_GB2312" w:eastAsia="楷体_GB2312" w:cs="楷体_GB2312"/>
          <w:b/>
          <w:bCs/>
          <w:snapToGrid w:val="0"/>
          <w:color w:val="333333"/>
          <w:kern w:val="0"/>
          <w:szCs w:val="32"/>
        </w:rPr>
        <w:t>跨境贸易便利化。</w:t>
      </w:r>
      <w:r>
        <w:rPr>
          <w:rFonts w:hint="eastAsia" w:ascii="仿宋_GB2312"/>
          <w:snapToGrid w:val="0"/>
          <w:kern w:val="0"/>
          <w:szCs w:val="32"/>
        </w:rPr>
        <w:t>企业申请办理对外贸易经营者备案、自理报检企业备案、原产地证申领人备案，一个工作日内办结。2018年底无纸化报检覆盖率达到90%以上。</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snapToGrid w:val="0"/>
          <w:kern w:val="0"/>
          <w:szCs w:val="32"/>
        </w:rPr>
      </w:pPr>
      <w:r>
        <w:rPr>
          <w:rFonts w:hint="eastAsia" w:ascii="楷体_GB2312" w:hAnsi="楷体_GB2312" w:eastAsia="楷体_GB2312" w:cs="楷体_GB2312"/>
          <w:b/>
          <w:bCs/>
          <w:snapToGrid w:val="0"/>
          <w:color w:val="333333"/>
          <w:kern w:val="0"/>
          <w:szCs w:val="32"/>
        </w:rPr>
        <w:t>（八）降低企业</w:t>
      </w:r>
      <w:r>
        <w:rPr>
          <w:rFonts w:hint="eastAsia" w:ascii="楷体_GB2312" w:hAnsi="楷体_GB2312" w:eastAsia="楷体_GB2312" w:cs="楷体_GB2312"/>
          <w:b/>
          <w:bCs/>
          <w:snapToGrid w:val="0"/>
          <w:color w:val="333333"/>
          <w:kern w:val="0"/>
          <w:szCs w:val="32"/>
          <w:lang w:eastAsia="zh-CN"/>
        </w:rPr>
        <w:t>营运</w:t>
      </w:r>
      <w:r>
        <w:rPr>
          <w:rFonts w:hint="eastAsia" w:ascii="楷体_GB2312" w:hAnsi="楷体_GB2312" w:eastAsia="楷体_GB2312" w:cs="楷体_GB2312"/>
          <w:b/>
          <w:bCs/>
          <w:snapToGrid w:val="0"/>
          <w:color w:val="333333"/>
          <w:kern w:val="0"/>
          <w:szCs w:val="32"/>
        </w:rPr>
        <w:t>成本。</w:t>
      </w:r>
      <w:r>
        <w:rPr>
          <w:rFonts w:hint="eastAsia" w:ascii="仿宋_GB2312"/>
          <w:snapToGrid w:val="0"/>
          <w:kern w:val="0"/>
          <w:szCs w:val="32"/>
        </w:rPr>
        <w:t>持续减轻企业负担，使企业税费、要素、用工等成本合理下降，盈利能力明显增强，营造优质高效的政府服务环境、规范有序的市场运行环境、健康稳定的企业发展环境。</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ascii="仿宋" w:hAnsi="仿宋"/>
          <w:snapToGrid w:val="0"/>
          <w:color w:val="333333"/>
          <w:kern w:val="0"/>
          <w:szCs w:val="32"/>
        </w:rPr>
      </w:pPr>
      <w:r>
        <w:rPr>
          <w:rFonts w:hint="eastAsia" w:eastAsia="黑体"/>
          <w:snapToGrid w:val="0"/>
          <w:kern w:val="0"/>
          <w:lang w:eastAsia="zh-CN"/>
        </w:rPr>
        <w:t>四、工作</w:t>
      </w:r>
      <w:r>
        <w:rPr>
          <w:rFonts w:hint="eastAsia" w:eastAsia="黑体"/>
          <w:snapToGrid w:val="0"/>
          <w:kern w:val="0"/>
        </w:rPr>
        <w:t>措施</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val="0"/>
          <w:color w:val="333333"/>
          <w:kern w:val="0"/>
          <w:szCs w:val="32"/>
        </w:rPr>
      </w:pPr>
      <w:r>
        <w:rPr>
          <w:rFonts w:hint="eastAsia" w:ascii="楷体_GB2312" w:hAnsi="楷体_GB2312" w:eastAsia="楷体_GB2312" w:cs="楷体_GB2312"/>
          <w:b/>
          <w:bCs/>
          <w:snapToGrid w:val="0"/>
          <w:color w:val="333333"/>
          <w:kern w:val="0"/>
          <w:szCs w:val="32"/>
        </w:rPr>
        <w:t>（一）简化企业开办注销程序。</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kern w:val="0"/>
          <w:szCs w:val="32"/>
        </w:rPr>
      </w:pPr>
      <w:r>
        <w:rPr>
          <w:rFonts w:hint="eastAsia" w:ascii="仿宋_GB2312"/>
          <w:b/>
          <w:bCs/>
          <w:snapToGrid w:val="0"/>
          <w:kern w:val="0"/>
          <w:szCs w:val="32"/>
        </w:rPr>
        <w:t>1.</w:t>
      </w:r>
      <w:r>
        <w:rPr>
          <w:rFonts w:hint="eastAsia" w:ascii="仿宋_GB2312"/>
          <w:b/>
          <w:bCs/>
          <w:snapToGrid w:val="0"/>
          <w:kern w:val="0"/>
          <w:szCs w:val="32"/>
          <w:lang w:eastAsia="zh-CN"/>
        </w:rPr>
        <w:t>现</w:t>
      </w:r>
      <w:r>
        <w:rPr>
          <w:rFonts w:hint="eastAsia" w:ascii="仿宋_GB2312"/>
          <w:b/>
          <w:bCs/>
          <w:snapToGrid w:val="0"/>
          <w:kern w:val="0"/>
          <w:szCs w:val="32"/>
        </w:rPr>
        <w:t>场核准企业名称。</w:t>
      </w:r>
      <w:r>
        <w:rPr>
          <w:rFonts w:hint="eastAsia" w:ascii="仿宋_GB2312"/>
          <w:snapToGrid w:val="0"/>
          <w:kern w:val="0"/>
          <w:szCs w:val="32"/>
        </w:rPr>
        <w:t>除涉及前置审批事项或国家市场监督管理总局核准的企业名称外，全面实现企业名称网上自主申报工作，简化审核程序，提高审核效能，实现企业名称当场核准。</w:t>
      </w:r>
      <w:r>
        <w:rPr>
          <w:rFonts w:hint="eastAsia" w:ascii="楷体_GB2312" w:hAnsi="楷体_GB2312" w:eastAsia="楷体_GB2312" w:cs="楷体_GB2312"/>
          <w:snapToGrid w:val="0"/>
          <w:kern w:val="0"/>
          <w:szCs w:val="32"/>
        </w:rPr>
        <w:t>（</w:t>
      </w:r>
      <w:r>
        <w:rPr>
          <w:rFonts w:hint="eastAsia" w:ascii="楷体_GB2312" w:hAnsi="楷体_GB2312" w:eastAsia="楷体_GB2312" w:cs="楷体_GB2312"/>
          <w:snapToGrid w:val="0"/>
          <w:kern w:val="0"/>
          <w:szCs w:val="32"/>
          <w:lang w:eastAsia="zh-CN"/>
        </w:rPr>
        <w:t>县市场监管局</w:t>
      </w:r>
      <w:r>
        <w:rPr>
          <w:rFonts w:hint="eastAsia" w:ascii="楷体_GB2312" w:hAnsi="楷体_GB2312" w:eastAsia="楷体_GB2312" w:cs="楷体_GB2312"/>
          <w:snapToGrid w:val="0"/>
          <w:kern w:val="0"/>
          <w:szCs w:val="32"/>
        </w:rPr>
        <w:t>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kern w:val="0"/>
          <w:szCs w:val="32"/>
          <w:lang w:eastAsia="zh-CN"/>
        </w:rPr>
      </w:pPr>
      <w:r>
        <w:rPr>
          <w:rFonts w:hint="eastAsia" w:ascii="仿宋_GB2312"/>
          <w:b/>
          <w:bCs/>
          <w:snapToGrid w:val="0"/>
          <w:kern w:val="0"/>
          <w:szCs w:val="32"/>
        </w:rPr>
        <w:t>2.推行“多证合一、一照一码”改革。</w:t>
      </w:r>
      <w:r>
        <w:rPr>
          <w:rFonts w:hint="eastAsia" w:ascii="仿宋_GB2312"/>
          <w:snapToGrid w:val="0"/>
          <w:kern w:val="0"/>
          <w:szCs w:val="32"/>
        </w:rPr>
        <w:t>全面执行全国统一的</w:t>
      </w:r>
      <w:r>
        <w:rPr>
          <w:rFonts w:ascii="仿宋_GB2312"/>
          <w:snapToGrid w:val="0"/>
          <w:kern w:val="0"/>
          <w:szCs w:val="32"/>
        </w:rPr>
        <w:t>“</w:t>
      </w:r>
      <w:r>
        <w:rPr>
          <w:rFonts w:hint="eastAsia" w:ascii="仿宋_GB2312"/>
          <w:snapToGrid w:val="0"/>
          <w:kern w:val="0"/>
          <w:szCs w:val="32"/>
        </w:rPr>
        <w:t>多证合一</w:t>
      </w:r>
      <w:r>
        <w:rPr>
          <w:rFonts w:ascii="仿宋_GB2312"/>
          <w:snapToGrid w:val="0"/>
          <w:kern w:val="0"/>
          <w:szCs w:val="32"/>
        </w:rPr>
        <w:t>”</w:t>
      </w:r>
      <w:r>
        <w:rPr>
          <w:rFonts w:hint="eastAsia" w:ascii="仿宋_GB2312"/>
          <w:snapToGrid w:val="0"/>
          <w:kern w:val="0"/>
          <w:szCs w:val="32"/>
        </w:rPr>
        <w:t>改革涉企证照事项目录，对符合登记、备案性质且运行情况良好的，继续推行；若不符合登记、备案性质，及时规范完善，降低市场主体创设的制度性交易成本。</w:t>
      </w:r>
      <w:r>
        <w:rPr>
          <w:rFonts w:hint="eastAsia" w:ascii="楷体_GB2312" w:hAnsi="楷体_GB2312" w:eastAsia="楷体_GB2312" w:cs="楷体_GB2312"/>
          <w:snapToGrid w:val="0"/>
          <w:kern w:val="0"/>
          <w:szCs w:val="32"/>
          <w:lang w:eastAsia="zh-CN"/>
        </w:rPr>
        <w:t>（县市场监管局牵头，县编办、发改局等相关部门按照职责分工负责）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kern w:val="0"/>
          <w:szCs w:val="32"/>
          <w:lang w:eastAsia="zh-CN"/>
        </w:rPr>
      </w:pPr>
      <w:r>
        <w:rPr>
          <w:rFonts w:hint="eastAsia" w:ascii="仿宋_GB2312"/>
          <w:b/>
          <w:bCs/>
          <w:snapToGrid w:val="0"/>
          <w:kern w:val="0"/>
          <w:szCs w:val="32"/>
        </w:rPr>
        <w:t>3.</w:t>
      </w:r>
      <w:r>
        <w:rPr>
          <w:rFonts w:hint="eastAsia" w:ascii="仿宋_GB2312"/>
          <w:b/>
          <w:bCs/>
          <w:snapToGrid w:val="0"/>
          <w:kern w:val="0"/>
          <w:szCs w:val="32"/>
          <w:lang w:eastAsia="zh-CN"/>
        </w:rPr>
        <w:t>加快</w:t>
      </w:r>
      <w:r>
        <w:rPr>
          <w:rFonts w:hint="eastAsia" w:ascii="仿宋_GB2312"/>
          <w:b/>
          <w:bCs/>
          <w:snapToGrid w:val="0"/>
          <w:kern w:val="0"/>
          <w:szCs w:val="32"/>
        </w:rPr>
        <w:t>“证照分离”改革试点工作。</w:t>
      </w:r>
      <w:r>
        <w:rPr>
          <w:rFonts w:hint="eastAsia" w:ascii="仿宋_GB2312"/>
          <w:snapToGrid w:val="0"/>
          <w:kern w:val="0"/>
          <w:szCs w:val="32"/>
        </w:rPr>
        <w:t>全面实施“双随机”抽查，实现“照后减证”，破解“准入不准营”等突出问题。</w:t>
      </w:r>
      <w:r>
        <w:rPr>
          <w:rFonts w:hint="eastAsia" w:ascii="楷体_GB2312" w:hAnsi="楷体_GB2312" w:eastAsia="楷体_GB2312" w:cs="楷体_GB2312"/>
          <w:snapToGrid w:val="0"/>
          <w:kern w:val="0"/>
          <w:szCs w:val="32"/>
          <w:lang w:eastAsia="zh-CN"/>
        </w:rPr>
        <w:t>（县编办、市场监管局按照职责分工负责）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kern w:val="0"/>
          <w:szCs w:val="32"/>
          <w:lang w:eastAsia="zh-CN"/>
        </w:rPr>
      </w:pPr>
      <w:r>
        <w:rPr>
          <w:rFonts w:hint="eastAsia" w:ascii="仿宋_GB2312"/>
          <w:b/>
          <w:bCs/>
          <w:snapToGrid w:val="0"/>
          <w:kern w:val="0"/>
          <w:szCs w:val="32"/>
        </w:rPr>
        <w:t>4.打破印章刻制行业垄断。</w:t>
      </w:r>
      <w:r>
        <w:rPr>
          <w:rFonts w:hint="eastAsia" w:ascii="仿宋_GB2312"/>
          <w:snapToGrid w:val="0"/>
          <w:kern w:val="0"/>
          <w:szCs w:val="32"/>
        </w:rPr>
        <w:t>2018年6月底前</w:t>
      </w:r>
      <w:r>
        <w:rPr>
          <w:rFonts w:hint="eastAsia" w:ascii="仿宋_GB2312"/>
          <w:snapToGrid w:val="0"/>
          <w:kern w:val="0"/>
          <w:szCs w:val="32"/>
          <w:lang w:eastAsia="zh-CN"/>
        </w:rPr>
        <w:t>，</w:t>
      </w:r>
      <w:r>
        <w:rPr>
          <w:rFonts w:hint="eastAsia" w:ascii="仿宋_GB2312"/>
          <w:snapToGrid w:val="0"/>
          <w:kern w:val="0"/>
          <w:szCs w:val="32"/>
        </w:rPr>
        <w:t>破除印章刻制行业垄断</w:t>
      </w:r>
      <w:r>
        <w:rPr>
          <w:rFonts w:hint="eastAsia" w:ascii="仿宋_GB2312"/>
          <w:snapToGrid w:val="0"/>
          <w:kern w:val="0"/>
          <w:szCs w:val="32"/>
          <w:lang w:eastAsia="zh-CN"/>
        </w:rPr>
        <w:t>，</w:t>
      </w:r>
      <w:r>
        <w:rPr>
          <w:rFonts w:hint="eastAsia" w:ascii="仿宋_GB2312"/>
          <w:snapToGrid w:val="0"/>
          <w:kern w:val="0"/>
          <w:szCs w:val="32"/>
        </w:rPr>
        <w:t>将具有防伪印章刻制特种行业许可证的企业全部纳入印章治安管理信息系统</w:t>
      </w:r>
      <w:r>
        <w:rPr>
          <w:rFonts w:hint="eastAsia" w:ascii="仿宋_GB2312"/>
          <w:snapToGrid w:val="0"/>
          <w:kern w:val="0"/>
          <w:szCs w:val="32"/>
          <w:lang w:eastAsia="zh-CN"/>
        </w:rPr>
        <w:t>，</w:t>
      </w:r>
      <w:r>
        <w:rPr>
          <w:rFonts w:hint="eastAsia" w:ascii="仿宋_GB2312"/>
          <w:snapToGrid w:val="0"/>
          <w:kern w:val="0"/>
          <w:szCs w:val="32"/>
        </w:rPr>
        <w:t>完善防伪印章刻制即时自动备案机制。公安部印章信息系统年内建成并全国联网后</w:t>
      </w:r>
      <w:r>
        <w:rPr>
          <w:rFonts w:hint="eastAsia" w:ascii="仿宋_GB2312"/>
          <w:snapToGrid w:val="0"/>
          <w:kern w:val="0"/>
          <w:szCs w:val="32"/>
          <w:lang w:eastAsia="zh-CN"/>
        </w:rPr>
        <w:t>，</w:t>
      </w:r>
      <w:r>
        <w:rPr>
          <w:rFonts w:hint="eastAsia" w:ascii="仿宋_GB2312"/>
          <w:snapToGrid w:val="0"/>
          <w:kern w:val="0"/>
          <w:szCs w:val="32"/>
        </w:rPr>
        <w:t>新开办企业凭营业执照即可选择全市范围内任何一家合法的防伪印章刻制企业现场刻制印章。从</w:t>
      </w:r>
      <w:r>
        <w:rPr>
          <w:rFonts w:ascii="仿宋_GB2312"/>
          <w:snapToGrid w:val="0"/>
          <w:kern w:val="0"/>
          <w:szCs w:val="32"/>
        </w:rPr>
        <w:t>2019</w:t>
      </w:r>
      <w:r>
        <w:rPr>
          <w:rFonts w:hint="eastAsia" w:ascii="仿宋_GB2312"/>
          <w:snapToGrid w:val="0"/>
          <w:kern w:val="0"/>
          <w:szCs w:val="32"/>
        </w:rPr>
        <w:t>年</w:t>
      </w:r>
      <w:r>
        <w:rPr>
          <w:rFonts w:ascii="仿宋_GB2312"/>
          <w:snapToGrid w:val="0"/>
          <w:kern w:val="0"/>
          <w:szCs w:val="32"/>
        </w:rPr>
        <w:t>7</w:t>
      </w:r>
      <w:r>
        <w:rPr>
          <w:rFonts w:hint="eastAsia" w:ascii="仿宋_GB2312"/>
          <w:snapToGrid w:val="0"/>
          <w:kern w:val="0"/>
          <w:szCs w:val="32"/>
        </w:rPr>
        <w:t>月开始</w:t>
      </w:r>
      <w:r>
        <w:rPr>
          <w:rFonts w:hint="eastAsia" w:ascii="仿宋_GB2312"/>
          <w:snapToGrid w:val="0"/>
          <w:kern w:val="0"/>
          <w:szCs w:val="32"/>
          <w:lang w:eastAsia="zh-CN"/>
        </w:rPr>
        <w:t>，</w:t>
      </w:r>
      <w:r>
        <w:rPr>
          <w:rFonts w:hint="eastAsia" w:ascii="仿宋_GB2312"/>
          <w:snapToGrid w:val="0"/>
          <w:kern w:val="0"/>
          <w:szCs w:val="32"/>
        </w:rPr>
        <w:t>通过政府购买服务的方式，为新开办企业免费提供刻制公章服务。</w:t>
      </w:r>
      <w:r>
        <w:rPr>
          <w:rFonts w:hint="eastAsia" w:ascii="楷体_GB2312" w:hAnsi="楷体_GB2312" w:eastAsia="楷体_GB2312" w:cs="楷体_GB2312"/>
          <w:snapToGrid w:val="0"/>
          <w:kern w:val="0"/>
          <w:szCs w:val="32"/>
          <w:lang w:eastAsia="zh-CN"/>
        </w:rPr>
        <w:t>（县公安局、财政局牵头，各镇按照职责分工负责）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kern w:val="0"/>
          <w:szCs w:val="32"/>
          <w:lang w:eastAsia="zh-CN"/>
        </w:rPr>
      </w:pPr>
      <w:r>
        <w:rPr>
          <w:rFonts w:hint="eastAsia" w:ascii="仿宋_GB2312"/>
          <w:b/>
          <w:bCs/>
          <w:snapToGrid w:val="0"/>
          <w:kern w:val="0"/>
          <w:szCs w:val="32"/>
          <w:lang w:val="en-US" w:eastAsia="zh-CN"/>
        </w:rPr>
        <w:t>5</w:t>
      </w:r>
      <w:r>
        <w:rPr>
          <w:rFonts w:hint="eastAsia" w:ascii="仿宋_GB2312"/>
          <w:b/>
          <w:bCs/>
          <w:snapToGrid w:val="0"/>
          <w:kern w:val="0"/>
          <w:szCs w:val="32"/>
        </w:rPr>
        <w:t>.推行企业简易注销登记改革。</w:t>
      </w:r>
      <w:r>
        <w:rPr>
          <w:rFonts w:hint="eastAsia" w:ascii="仿宋_GB2312"/>
          <w:snapToGrid w:val="0"/>
          <w:kern w:val="0"/>
          <w:szCs w:val="32"/>
        </w:rPr>
        <w:t>对领取营业执照后未开展经营活动、申请注销登记前未发生债权债务或已将债权债务清算完结的企业，实行简易注销，取消清算组备案环节，在国家企业信用信息公示系统（陕西）进行简易注销公告，不再在报纸上发布注销公告。在企业登记时向企业发放涉税事项告知书，提醒企业及时办理涉税事宜，且3日内办结企业简易注销</w:t>
      </w:r>
      <w:r>
        <w:rPr>
          <w:rFonts w:hint="eastAsia" w:ascii="仿宋_GB2312"/>
          <w:snapToGrid w:val="0"/>
          <w:kern w:val="0"/>
          <w:szCs w:val="32"/>
          <w:lang w:eastAsia="zh-CN"/>
        </w:rPr>
        <w:t>。</w:t>
      </w:r>
      <w:r>
        <w:rPr>
          <w:rFonts w:hint="eastAsia" w:ascii="楷体_GB2312" w:hAnsi="楷体_GB2312" w:eastAsia="楷体_GB2312" w:cs="楷体_GB2312"/>
          <w:snapToGrid w:val="0"/>
          <w:kern w:val="0"/>
          <w:szCs w:val="32"/>
          <w:lang w:eastAsia="zh-CN"/>
        </w:rPr>
        <w:t>（县市场监管局牵头，县发改局、人社局、交通运输局、税务局按照职责分工负责）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kern w:val="0"/>
          <w:szCs w:val="32"/>
          <w:lang w:eastAsia="zh-CN"/>
        </w:rPr>
      </w:pPr>
      <w:r>
        <w:rPr>
          <w:rFonts w:hint="eastAsia" w:ascii="仿宋_GB2312"/>
          <w:b/>
          <w:bCs/>
          <w:snapToGrid w:val="0"/>
          <w:kern w:val="0"/>
          <w:szCs w:val="32"/>
          <w:lang w:val="en-US" w:eastAsia="zh-CN"/>
        </w:rPr>
        <w:t>6</w:t>
      </w:r>
      <w:r>
        <w:rPr>
          <w:rFonts w:hint="eastAsia" w:ascii="仿宋_GB2312"/>
          <w:b/>
          <w:bCs/>
          <w:snapToGrid w:val="0"/>
          <w:kern w:val="0"/>
          <w:szCs w:val="32"/>
        </w:rPr>
        <w:t>.完善企业社会保险登记业务流程。</w:t>
      </w:r>
      <w:r>
        <w:rPr>
          <w:rFonts w:hint="eastAsia" w:ascii="仿宋_GB2312"/>
          <w:snapToGrid w:val="0"/>
          <w:kern w:val="0"/>
          <w:szCs w:val="32"/>
          <w:lang w:eastAsia="zh-CN"/>
        </w:rPr>
        <w:t>严格</w:t>
      </w:r>
      <w:r>
        <w:rPr>
          <w:rFonts w:hint="eastAsia" w:ascii="仿宋_GB2312"/>
          <w:snapToGrid w:val="0"/>
          <w:kern w:val="0"/>
          <w:szCs w:val="32"/>
        </w:rPr>
        <w:t>落实“多证合一、一照一码”改革效果，社保经办机构不再单独核发社会保险登记证，取消社会保险登记证的定期验证和换证制度，逐步采用统一社会信用代码进行登记管理。进一步完善数据共享和应用机制，做好企业社会保险登记和职工参保登记业务的衔接，推动职工参保登记业务网上办理，压缩办理时间，为企业提供更加便捷高效的登记服务。</w:t>
      </w:r>
      <w:r>
        <w:rPr>
          <w:rFonts w:hint="eastAsia" w:ascii="楷体_GB2312" w:hAnsi="楷体_GB2312" w:eastAsia="楷体_GB2312" w:cs="楷体_GB2312"/>
          <w:snapToGrid w:val="0"/>
          <w:kern w:val="0"/>
          <w:szCs w:val="32"/>
          <w:lang w:eastAsia="zh-CN"/>
        </w:rPr>
        <w:t>（县人社局负责）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val="0"/>
          <w:color w:val="333333"/>
          <w:kern w:val="0"/>
          <w:szCs w:val="32"/>
        </w:rPr>
      </w:pPr>
      <w:r>
        <w:rPr>
          <w:rFonts w:hint="eastAsia" w:ascii="楷体_GB2312" w:hAnsi="楷体_GB2312" w:eastAsia="楷体_GB2312" w:cs="楷体_GB2312"/>
          <w:b/>
          <w:bCs/>
          <w:snapToGrid w:val="0"/>
          <w:color w:val="333333"/>
          <w:kern w:val="0"/>
          <w:szCs w:val="32"/>
        </w:rPr>
        <w:t>（二）简化施工许可证办理。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val="0"/>
          <w:kern w:val="0"/>
          <w:szCs w:val="32"/>
          <w:lang w:eastAsia="zh-CN"/>
        </w:rPr>
      </w:pPr>
      <w:r>
        <w:rPr>
          <w:rFonts w:hint="eastAsia" w:ascii="仿宋_GB2312"/>
          <w:snapToGrid w:val="0"/>
          <w:kern w:val="0"/>
          <w:szCs w:val="32"/>
          <w:lang w:val="en-US" w:eastAsia="zh-CN"/>
        </w:rPr>
        <w:t>7</w:t>
      </w:r>
      <w:r>
        <w:rPr>
          <w:rFonts w:hint="eastAsia" w:ascii="仿宋_GB2312"/>
          <w:snapToGrid w:val="0"/>
          <w:kern w:val="0"/>
          <w:szCs w:val="32"/>
        </w:rPr>
        <w:t>.研究制定《</w:t>
      </w:r>
      <w:r>
        <w:rPr>
          <w:rFonts w:hint="eastAsia" w:ascii="仿宋_GB2312"/>
          <w:snapToGrid w:val="0"/>
          <w:kern w:val="0"/>
          <w:szCs w:val="32"/>
          <w:lang w:eastAsia="zh-CN"/>
        </w:rPr>
        <w:t>太白县</w:t>
      </w:r>
      <w:r>
        <w:rPr>
          <w:rFonts w:hint="eastAsia" w:ascii="仿宋_GB2312"/>
          <w:snapToGrid w:val="0"/>
          <w:kern w:val="0"/>
          <w:szCs w:val="32"/>
        </w:rPr>
        <w:t>简化施工许可证办理程序实施细则》，2018年6月底前，向社会公布简化施工许可证办事指南和办事流程，明确申报材料清单及各个环节办理时限</w:t>
      </w:r>
      <w:r>
        <w:rPr>
          <w:rFonts w:hint="eastAsia" w:ascii="仿宋_GB2312"/>
          <w:snapToGrid w:val="0"/>
          <w:kern w:val="0"/>
          <w:szCs w:val="32"/>
          <w:lang w:eastAsia="zh-CN"/>
        </w:rPr>
        <w:t>。</w:t>
      </w:r>
      <w:r>
        <w:rPr>
          <w:rFonts w:hint="eastAsia" w:ascii="楷体_GB2312" w:hAnsi="楷体_GB2312" w:eastAsia="楷体_GB2312" w:cs="楷体_GB2312"/>
          <w:snapToGrid w:val="0"/>
          <w:kern w:val="0"/>
          <w:szCs w:val="32"/>
          <w:lang w:eastAsia="zh-CN"/>
        </w:rPr>
        <w:t>（县住建局负责）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val="0"/>
          <w:kern w:val="0"/>
          <w:szCs w:val="32"/>
          <w:lang w:eastAsia="zh-CN"/>
        </w:rPr>
      </w:pPr>
      <w:r>
        <w:rPr>
          <w:rFonts w:hint="eastAsia" w:ascii="仿宋_GB2312"/>
          <w:snapToGrid w:val="0"/>
          <w:kern w:val="0"/>
          <w:szCs w:val="32"/>
          <w:lang w:val="en-US" w:eastAsia="zh-CN"/>
        </w:rPr>
        <w:t>8</w:t>
      </w:r>
      <w:r>
        <w:rPr>
          <w:rFonts w:hint="eastAsia" w:ascii="仿宋_GB2312"/>
          <w:snapToGrid w:val="0"/>
          <w:kern w:val="0"/>
          <w:szCs w:val="32"/>
        </w:rPr>
        <w:t>.2018年6月底前，对建设工程施工许可办理事项进行全面梳理，研究制订规划建设系统优化施工许可证办理程序的具体措施，提升建设项目审批的整体效率和便利化程度</w:t>
      </w:r>
      <w:r>
        <w:rPr>
          <w:rFonts w:hint="eastAsia" w:ascii="仿宋_GB2312"/>
          <w:snapToGrid w:val="0"/>
          <w:kern w:val="0"/>
          <w:szCs w:val="32"/>
          <w:lang w:eastAsia="zh-CN"/>
        </w:rPr>
        <w:t>。</w:t>
      </w:r>
      <w:r>
        <w:rPr>
          <w:rFonts w:hint="eastAsia" w:ascii="楷体_GB2312" w:hAnsi="楷体_GB2312" w:eastAsia="楷体_GB2312" w:cs="楷体_GB2312"/>
          <w:snapToGrid w:val="0"/>
          <w:kern w:val="0"/>
          <w:szCs w:val="32"/>
          <w:lang w:eastAsia="zh-CN"/>
        </w:rPr>
        <w:t>（县住建局负责）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val="0"/>
          <w:color w:val="333333"/>
          <w:kern w:val="0"/>
          <w:szCs w:val="32"/>
          <w:lang w:eastAsia="zh-CN"/>
        </w:rPr>
      </w:pPr>
      <w:r>
        <w:rPr>
          <w:rFonts w:hint="eastAsia" w:ascii="仿宋_GB2312"/>
          <w:snapToGrid w:val="0"/>
          <w:kern w:val="0"/>
          <w:szCs w:val="32"/>
          <w:lang w:val="en-US" w:eastAsia="zh-CN"/>
        </w:rPr>
        <w:t>9</w:t>
      </w:r>
      <w:r>
        <w:rPr>
          <w:rFonts w:hint="eastAsia" w:ascii="仿宋_GB2312"/>
          <w:snapToGrid w:val="0"/>
          <w:kern w:val="0"/>
          <w:szCs w:val="32"/>
        </w:rPr>
        <w:t>.2019年，建成施工许可证审批制度和管理系统，实现工程建设项目网上统一受理、并联审批、实时流转、跟踪督办、信息共享。</w:t>
      </w:r>
      <w:r>
        <w:rPr>
          <w:rFonts w:hint="eastAsia" w:ascii="楷体_GB2312" w:hAnsi="楷体_GB2312" w:eastAsia="楷体_GB2312" w:cs="楷体_GB2312"/>
          <w:snapToGrid w:val="0"/>
          <w:color w:val="333333"/>
          <w:kern w:val="0"/>
          <w:szCs w:val="32"/>
          <w:lang w:eastAsia="zh-CN"/>
        </w:rPr>
        <w:t>（县住建局牵头，各有关部门按照职责分工负责）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val="0"/>
          <w:color w:val="333333"/>
          <w:kern w:val="0"/>
          <w:szCs w:val="32"/>
          <w:lang w:eastAsia="zh-CN"/>
        </w:rPr>
      </w:pPr>
      <w:r>
        <w:rPr>
          <w:rFonts w:hint="eastAsia" w:ascii="仿宋_GB2312"/>
          <w:snapToGrid w:val="0"/>
          <w:kern w:val="0"/>
          <w:szCs w:val="32"/>
          <w:lang w:val="en-US" w:eastAsia="zh-CN"/>
        </w:rPr>
        <w:t>10</w:t>
      </w:r>
      <w:r>
        <w:rPr>
          <w:rFonts w:hint="eastAsia" w:ascii="仿宋_GB2312"/>
          <w:snapToGrid w:val="0"/>
          <w:kern w:val="0"/>
          <w:szCs w:val="32"/>
        </w:rPr>
        <w:t>.2019年底前，推行审批告知承诺制，公布实行告知承诺的事项清单及具体要求，由申请人按照要求作出书面承诺，审批部门直接作出审批决定</w:t>
      </w:r>
      <w:r>
        <w:rPr>
          <w:rFonts w:hint="eastAsia" w:ascii="仿宋_GB2312"/>
          <w:snapToGrid w:val="0"/>
          <w:kern w:val="0"/>
          <w:szCs w:val="32"/>
          <w:lang w:eastAsia="zh-CN"/>
        </w:rPr>
        <w:t>。</w:t>
      </w:r>
      <w:r>
        <w:rPr>
          <w:rFonts w:hint="eastAsia" w:ascii="楷体_GB2312" w:hAnsi="楷体_GB2312" w:eastAsia="楷体_GB2312" w:cs="楷体_GB2312"/>
          <w:snapToGrid w:val="0"/>
          <w:color w:val="333333"/>
          <w:kern w:val="0"/>
          <w:szCs w:val="32"/>
          <w:lang w:eastAsia="zh-CN"/>
        </w:rPr>
        <w:t>（县住建局牵头，各有关部门按照职责分工负责）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val="0"/>
          <w:color w:val="333333"/>
          <w:kern w:val="0"/>
          <w:szCs w:val="32"/>
          <w:lang w:eastAsia="zh-CN"/>
        </w:rPr>
      </w:pPr>
      <w:r>
        <w:rPr>
          <w:rFonts w:hint="eastAsia" w:ascii="仿宋_GB2312"/>
          <w:snapToGrid w:val="0"/>
          <w:kern w:val="0"/>
          <w:szCs w:val="32"/>
          <w:lang w:val="en-US" w:eastAsia="zh-CN"/>
        </w:rPr>
        <w:t>11</w:t>
      </w:r>
      <w:r>
        <w:rPr>
          <w:rFonts w:hint="eastAsia" w:ascii="仿宋_GB2312"/>
          <w:snapToGrid w:val="0"/>
          <w:kern w:val="0"/>
          <w:szCs w:val="32"/>
        </w:rPr>
        <w:t>.2020年，推行由政府统一组织开展的地震安全性评价、地质灾害危险性评估、环境影响评价、节能评价等试点，实现区域内所有投资建设项目共享评价结果，缩短项目落地时间</w:t>
      </w:r>
      <w:r>
        <w:rPr>
          <w:rFonts w:hint="eastAsia" w:ascii="仿宋_GB2312"/>
          <w:snapToGrid w:val="0"/>
          <w:kern w:val="0"/>
          <w:szCs w:val="32"/>
          <w:lang w:eastAsia="zh-CN"/>
        </w:rPr>
        <w:t>。</w:t>
      </w:r>
      <w:r>
        <w:rPr>
          <w:rFonts w:hint="eastAsia" w:ascii="楷体_GB2312" w:hAnsi="楷体_GB2312" w:eastAsia="楷体_GB2312" w:cs="楷体_GB2312"/>
          <w:snapToGrid w:val="0"/>
          <w:color w:val="333333"/>
          <w:kern w:val="0"/>
          <w:szCs w:val="32"/>
          <w:lang w:eastAsia="zh-CN"/>
        </w:rPr>
        <w:t>（县住建局牵头，各有关部门按照职责分工负责）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val="0"/>
          <w:color w:val="333333"/>
          <w:kern w:val="0"/>
          <w:szCs w:val="32"/>
        </w:rPr>
      </w:pPr>
      <w:r>
        <w:rPr>
          <w:rFonts w:hint="eastAsia" w:ascii="楷体_GB2312" w:hAnsi="楷体_GB2312" w:eastAsia="楷体_GB2312" w:cs="楷体_GB2312"/>
          <w:b/>
          <w:bCs/>
          <w:snapToGrid w:val="0"/>
          <w:color w:val="333333"/>
          <w:kern w:val="0"/>
          <w:szCs w:val="32"/>
        </w:rPr>
        <w:t>（三）方便企业获得水电气暖。</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b/>
          <w:bCs/>
          <w:snapToGrid w:val="0"/>
          <w:kern w:val="0"/>
          <w:szCs w:val="32"/>
        </w:rPr>
        <w:t>1</w:t>
      </w:r>
      <w:r>
        <w:rPr>
          <w:rFonts w:hint="eastAsia" w:ascii="仿宋_GB2312"/>
          <w:b/>
          <w:bCs/>
          <w:snapToGrid w:val="0"/>
          <w:kern w:val="0"/>
          <w:szCs w:val="32"/>
          <w:lang w:val="en-US" w:eastAsia="zh-CN"/>
        </w:rPr>
        <w:t>2</w:t>
      </w:r>
      <w:r>
        <w:rPr>
          <w:rFonts w:hint="eastAsia" w:ascii="仿宋_GB2312"/>
          <w:b/>
          <w:bCs/>
          <w:snapToGrid w:val="0"/>
          <w:kern w:val="0"/>
          <w:szCs w:val="32"/>
        </w:rPr>
        <w:t>.取消非必要前置事项。</w:t>
      </w:r>
      <w:r>
        <w:rPr>
          <w:rFonts w:hint="eastAsia" w:ascii="仿宋_GB2312"/>
          <w:snapToGrid w:val="0"/>
          <w:kern w:val="0"/>
          <w:szCs w:val="32"/>
        </w:rPr>
        <w:t>2018年底前，对涉及企业办理水电气暖报装前置事项进行全面清理，取消无法律法规依据的事项，废止一批规范性文件并向社会公布必须办理的前置审批事项清单。</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发改</w:t>
      </w:r>
      <w:r>
        <w:rPr>
          <w:rFonts w:hint="eastAsia" w:ascii="楷体_GB2312" w:hAnsi="楷体_GB2312" w:eastAsia="楷体_GB2312" w:cs="楷体_GB2312"/>
          <w:snapToGrid w:val="0"/>
          <w:color w:val="333333"/>
          <w:kern w:val="0"/>
          <w:szCs w:val="32"/>
          <w:lang w:eastAsia="zh-CN"/>
        </w:rPr>
        <w:t>局</w:t>
      </w:r>
      <w:r>
        <w:rPr>
          <w:rFonts w:hint="eastAsia" w:ascii="楷体_GB2312" w:hAnsi="楷体_GB2312" w:eastAsia="楷体_GB2312" w:cs="楷体_GB2312"/>
          <w:snapToGrid w:val="0"/>
          <w:color w:val="333333"/>
          <w:kern w:val="0"/>
          <w:szCs w:val="32"/>
        </w:rPr>
        <w:t>、住建局、水利局牵头，</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政府法制办</w:t>
      </w:r>
      <w:r>
        <w:rPr>
          <w:rFonts w:hint="eastAsia" w:ascii="楷体_GB2312" w:hAnsi="楷体_GB2312" w:eastAsia="楷体_GB2312" w:cs="楷体_GB2312"/>
          <w:snapToGrid w:val="0"/>
          <w:color w:val="333333"/>
          <w:kern w:val="0"/>
          <w:szCs w:val="32"/>
          <w:lang w:eastAsia="zh-CN"/>
        </w:rPr>
        <w:t>、</w:t>
      </w:r>
      <w:r>
        <w:rPr>
          <w:rFonts w:hint="eastAsia" w:ascii="楷体_GB2312" w:hAnsi="楷体_GB2312" w:eastAsia="楷体_GB2312" w:cs="楷体_GB2312"/>
          <w:snapToGrid w:val="0"/>
          <w:color w:val="333333"/>
          <w:kern w:val="0"/>
          <w:szCs w:val="32"/>
        </w:rPr>
        <w:t>各</w:t>
      </w:r>
      <w:r>
        <w:rPr>
          <w:rFonts w:hint="eastAsia" w:ascii="楷体_GB2312" w:hAnsi="楷体_GB2312" w:eastAsia="楷体_GB2312" w:cs="楷体_GB2312"/>
          <w:snapToGrid w:val="0"/>
          <w:color w:val="333333"/>
          <w:kern w:val="0"/>
          <w:szCs w:val="32"/>
          <w:lang w:eastAsia="zh-CN"/>
        </w:rPr>
        <w:t>镇按照职责分工</w:t>
      </w:r>
      <w:r>
        <w:rPr>
          <w:rFonts w:hint="eastAsia" w:ascii="楷体_GB2312" w:hAnsi="楷体_GB2312" w:eastAsia="楷体_GB2312" w:cs="楷体_GB2312"/>
          <w:snapToGrid w:val="0"/>
          <w:color w:val="333333"/>
          <w:kern w:val="0"/>
          <w:szCs w:val="32"/>
        </w:rPr>
        <w:t>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b/>
          <w:bCs/>
          <w:snapToGrid w:val="0"/>
          <w:kern w:val="0"/>
          <w:szCs w:val="32"/>
        </w:rPr>
        <w:t>1</w:t>
      </w:r>
      <w:r>
        <w:rPr>
          <w:rFonts w:hint="eastAsia" w:ascii="仿宋_GB2312"/>
          <w:b/>
          <w:bCs/>
          <w:snapToGrid w:val="0"/>
          <w:kern w:val="0"/>
          <w:szCs w:val="32"/>
          <w:lang w:val="en-US" w:eastAsia="zh-CN"/>
        </w:rPr>
        <w:t>3</w:t>
      </w:r>
      <w:r>
        <w:rPr>
          <w:rFonts w:hint="eastAsia" w:ascii="仿宋_GB2312"/>
          <w:b/>
          <w:bCs/>
          <w:snapToGrid w:val="0"/>
          <w:kern w:val="0"/>
          <w:szCs w:val="32"/>
        </w:rPr>
        <w:t>.优化办理流程。</w:t>
      </w:r>
      <w:r>
        <w:rPr>
          <w:rFonts w:hint="eastAsia" w:ascii="仿宋_GB2312"/>
          <w:snapToGrid w:val="0"/>
          <w:kern w:val="0"/>
          <w:szCs w:val="32"/>
        </w:rPr>
        <w:t>整合水电气暖供应企业内部办理流程，推行一窗受理、一次性告知服务机制。2018年底前，评选1</w:t>
      </w:r>
      <w:r>
        <w:rPr>
          <w:rFonts w:hint="eastAsia" w:ascii="仿宋_GB2312"/>
          <w:snapToGrid w:val="0"/>
          <w:kern w:val="0"/>
          <w:szCs w:val="32"/>
          <w:lang w:eastAsia="zh-CN"/>
        </w:rPr>
        <w:t>—</w:t>
      </w:r>
      <w:r>
        <w:rPr>
          <w:rFonts w:hint="eastAsia" w:ascii="仿宋_GB2312"/>
          <w:snapToGrid w:val="0"/>
          <w:kern w:val="0"/>
          <w:szCs w:val="32"/>
        </w:rPr>
        <w:t>2个标杆，向全</w:t>
      </w:r>
      <w:r>
        <w:rPr>
          <w:rFonts w:hint="eastAsia" w:ascii="仿宋_GB2312"/>
          <w:snapToGrid w:val="0"/>
          <w:kern w:val="0"/>
          <w:szCs w:val="32"/>
          <w:lang w:eastAsia="zh-CN"/>
        </w:rPr>
        <w:t>县</w:t>
      </w:r>
      <w:r>
        <w:rPr>
          <w:rFonts w:hint="eastAsia" w:ascii="仿宋_GB2312"/>
          <w:snapToGrid w:val="0"/>
          <w:kern w:val="0"/>
          <w:szCs w:val="32"/>
        </w:rPr>
        <w:t>推广经验。2019全部实现达标。供电方面：2018年底前，成立集中办公部门，推行“三个一”客户服务模式。供气方面：2018年底前，将企业用气办理业务简化为“一站式”“最多跑一次”“零跑腿”等三个类别15项事项。</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住建局、水利局牵头，各</w:t>
      </w:r>
      <w:r>
        <w:rPr>
          <w:rFonts w:hint="eastAsia" w:ascii="楷体_GB2312" w:hAnsi="楷体_GB2312" w:eastAsia="楷体_GB2312" w:cs="楷体_GB2312"/>
          <w:snapToGrid w:val="0"/>
          <w:color w:val="333333"/>
          <w:kern w:val="0"/>
          <w:szCs w:val="32"/>
          <w:lang w:eastAsia="zh-CN"/>
        </w:rPr>
        <w:t>镇、</w:t>
      </w:r>
      <w:r>
        <w:rPr>
          <w:rFonts w:hint="eastAsia" w:ascii="楷体_GB2312" w:hAnsi="楷体_GB2312" w:eastAsia="楷体_GB2312" w:cs="楷体_GB2312"/>
          <w:snapToGrid w:val="0"/>
          <w:color w:val="333333"/>
          <w:kern w:val="0"/>
          <w:szCs w:val="32"/>
        </w:rPr>
        <w:t>各水电气暖供应企业</w:t>
      </w:r>
      <w:r>
        <w:rPr>
          <w:rFonts w:hint="eastAsia" w:ascii="楷体_GB2312" w:hAnsi="楷体_GB2312" w:eastAsia="楷体_GB2312" w:cs="楷体_GB2312"/>
          <w:snapToGrid w:val="0"/>
          <w:color w:val="333333"/>
          <w:kern w:val="0"/>
          <w:szCs w:val="32"/>
          <w:lang w:eastAsia="zh-CN"/>
        </w:rPr>
        <w:t>按照职责分工负责</w:t>
      </w:r>
      <w:r>
        <w:rPr>
          <w:rFonts w:hint="eastAsia" w:ascii="楷体_GB2312" w:hAnsi="楷体_GB2312" w:eastAsia="楷体_GB2312" w:cs="楷体_GB2312"/>
          <w:snapToGrid w:val="0"/>
          <w:color w:val="333333"/>
          <w:kern w:val="0"/>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b/>
          <w:bCs/>
          <w:snapToGrid w:val="0"/>
          <w:kern w:val="0"/>
          <w:szCs w:val="32"/>
        </w:rPr>
        <w:t>1</w:t>
      </w:r>
      <w:r>
        <w:rPr>
          <w:rFonts w:hint="eastAsia" w:ascii="仿宋_GB2312"/>
          <w:b/>
          <w:bCs/>
          <w:snapToGrid w:val="0"/>
          <w:kern w:val="0"/>
          <w:szCs w:val="32"/>
          <w:lang w:val="en-US" w:eastAsia="zh-CN"/>
        </w:rPr>
        <w:t>4</w:t>
      </w:r>
      <w:r>
        <w:rPr>
          <w:rFonts w:hint="eastAsia" w:ascii="仿宋_GB2312"/>
          <w:b/>
          <w:bCs/>
          <w:snapToGrid w:val="0"/>
          <w:kern w:val="0"/>
          <w:szCs w:val="32"/>
        </w:rPr>
        <w:t>.并联办理事项。</w:t>
      </w:r>
      <w:r>
        <w:rPr>
          <w:rFonts w:hint="eastAsia" w:ascii="仿宋_GB2312"/>
          <w:snapToGrid w:val="0"/>
          <w:kern w:val="0"/>
          <w:szCs w:val="32"/>
        </w:rPr>
        <w:t>水电气暖施工过程中所需办理的规划许可、绿化许可、掘路许可、占路意见书等环节的并联审批、同步操作。2018年底前，审批办理时限由25个工作日压缩至15个工作日。到2020年，进一步将时限压缩至10个工作日。</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住建局</w:t>
      </w:r>
      <w:r>
        <w:rPr>
          <w:rFonts w:hint="eastAsia" w:ascii="楷体_GB2312" w:hAnsi="楷体_GB2312" w:eastAsia="楷体_GB2312" w:cs="楷体_GB2312"/>
          <w:snapToGrid w:val="0"/>
          <w:color w:val="333333"/>
          <w:kern w:val="0"/>
          <w:szCs w:val="32"/>
          <w:lang w:eastAsia="zh-CN"/>
        </w:rPr>
        <w:t>、</w:t>
      </w:r>
      <w:r>
        <w:rPr>
          <w:rFonts w:hint="eastAsia" w:ascii="楷体_GB2312" w:hAnsi="楷体_GB2312" w:eastAsia="楷体_GB2312" w:cs="楷体_GB2312"/>
          <w:snapToGrid w:val="0"/>
          <w:color w:val="333333"/>
          <w:kern w:val="0"/>
          <w:szCs w:val="32"/>
        </w:rPr>
        <w:t>国土资源局、公安局等牵头，各</w:t>
      </w:r>
      <w:r>
        <w:rPr>
          <w:rFonts w:hint="eastAsia" w:ascii="楷体_GB2312" w:hAnsi="楷体_GB2312" w:eastAsia="楷体_GB2312" w:cs="楷体_GB2312"/>
          <w:snapToGrid w:val="0"/>
          <w:color w:val="333333"/>
          <w:kern w:val="0"/>
          <w:szCs w:val="32"/>
          <w:lang w:eastAsia="zh-CN"/>
        </w:rPr>
        <w:t>镇、各</w:t>
      </w:r>
      <w:r>
        <w:rPr>
          <w:rFonts w:hint="eastAsia" w:ascii="楷体_GB2312" w:hAnsi="楷体_GB2312" w:eastAsia="楷体_GB2312" w:cs="楷体_GB2312"/>
          <w:snapToGrid w:val="0"/>
          <w:color w:val="333333"/>
          <w:kern w:val="0"/>
          <w:szCs w:val="32"/>
        </w:rPr>
        <w:t>水电气暖供应企业</w:t>
      </w:r>
      <w:r>
        <w:rPr>
          <w:rFonts w:hint="eastAsia" w:ascii="楷体_GB2312" w:hAnsi="楷体_GB2312" w:eastAsia="楷体_GB2312" w:cs="楷体_GB2312"/>
          <w:snapToGrid w:val="0"/>
          <w:color w:val="333333"/>
          <w:kern w:val="0"/>
          <w:szCs w:val="32"/>
          <w:lang w:eastAsia="zh-CN"/>
        </w:rPr>
        <w:t>按照职责分工负责</w:t>
      </w:r>
      <w:r>
        <w:rPr>
          <w:rFonts w:hint="eastAsia" w:ascii="楷体_GB2312" w:hAnsi="楷体_GB2312" w:eastAsia="楷体_GB2312" w:cs="楷体_GB2312"/>
          <w:snapToGrid w:val="0"/>
          <w:color w:val="333333"/>
          <w:kern w:val="0"/>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b/>
          <w:bCs/>
          <w:snapToGrid w:val="0"/>
          <w:kern w:val="0"/>
          <w:szCs w:val="32"/>
        </w:rPr>
        <w:t>1</w:t>
      </w:r>
      <w:r>
        <w:rPr>
          <w:rFonts w:hint="eastAsia" w:ascii="仿宋_GB2312"/>
          <w:b/>
          <w:bCs/>
          <w:snapToGrid w:val="0"/>
          <w:kern w:val="0"/>
          <w:szCs w:val="32"/>
          <w:lang w:val="en-US" w:eastAsia="zh-CN"/>
        </w:rPr>
        <w:t>5</w:t>
      </w:r>
      <w:r>
        <w:rPr>
          <w:rFonts w:hint="eastAsia" w:ascii="仿宋_GB2312"/>
          <w:b/>
          <w:bCs/>
          <w:snapToGrid w:val="0"/>
          <w:kern w:val="0"/>
          <w:szCs w:val="32"/>
        </w:rPr>
        <w:t>.</w:t>
      </w:r>
      <w:r>
        <w:rPr>
          <w:rFonts w:hint="eastAsia" w:ascii="仿宋_GB2312"/>
          <w:b/>
          <w:bCs/>
          <w:snapToGrid w:val="0"/>
          <w:kern w:val="0"/>
          <w:szCs w:val="32"/>
          <w:lang w:eastAsia="zh-CN"/>
        </w:rPr>
        <w:t>推行</w:t>
      </w:r>
      <w:r>
        <w:rPr>
          <w:rFonts w:hint="eastAsia" w:ascii="仿宋_GB2312"/>
          <w:b/>
          <w:bCs/>
          <w:snapToGrid w:val="0"/>
          <w:kern w:val="0"/>
          <w:szCs w:val="32"/>
        </w:rPr>
        <w:t>一次性告知。</w:t>
      </w:r>
      <w:r>
        <w:rPr>
          <w:rFonts w:hint="eastAsia" w:ascii="仿宋_GB2312"/>
          <w:snapToGrid w:val="0"/>
          <w:kern w:val="0"/>
          <w:szCs w:val="32"/>
        </w:rPr>
        <w:t>完成报装“一次性告知书”修订工作，在各营业厅、门户网站等建立“一事一卡”告知机制，依据客户类别制作差异化的事项办理信息卡，将不同客户需办理的各事项的办理流程图、所需材料等信息，一次性告知客户。</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发改</w:t>
      </w:r>
      <w:r>
        <w:rPr>
          <w:rFonts w:hint="eastAsia" w:ascii="楷体_GB2312" w:hAnsi="楷体_GB2312" w:eastAsia="楷体_GB2312" w:cs="楷体_GB2312"/>
          <w:snapToGrid w:val="0"/>
          <w:color w:val="333333"/>
          <w:kern w:val="0"/>
          <w:szCs w:val="32"/>
          <w:lang w:eastAsia="zh-CN"/>
        </w:rPr>
        <w:t>局</w:t>
      </w:r>
      <w:r>
        <w:rPr>
          <w:rFonts w:hint="eastAsia" w:ascii="楷体_GB2312" w:hAnsi="楷体_GB2312" w:eastAsia="楷体_GB2312" w:cs="楷体_GB2312"/>
          <w:snapToGrid w:val="0"/>
          <w:color w:val="333333"/>
          <w:kern w:val="0"/>
          <w:szCs w:val="32"/>
        </w:rPr>
        <w:t>、住建局、水利局牵头，</w:t>
      </w:r>
      <w:r>
        <w:rPr>
          <w:rFonts w:hint="eastAsia" w:ascii="楷体_GB2312" w:hAnsi="楷体_GB2312" w:eastAsia="楷体_GB2312" w:cs="楷体_GB2312"/>
          <w:snapToGrid w:val="0"/>
          <w:color w:val="333333"/>
          <w:kern w:val="0"/>
          <w:szCs w:val="32"/>
          <w:lang w:eastAsia="zh-CN"/>
        </w:rPr>
        <w:t>各</w:t>
      </w:r>
      <w:r>
        <w:rPr>
          <w:rFonts w:hint="eastAsia" w:ascii="楷体_GB2312" w:hAnsi="楷体_GB2312" w:eastAsia="楷体_GB2312" w:cs="楷体_GB2312"/>
          <w:snapToGrid w:val="0"/>
          <w:color w:val="333333"/>
          <w:kern w:val="0"/>
          <w:szCs w:val="32"/>
        </w:rPr>
        <w:t>水电气暖供应企业</w:t>
      </w:r>
      <w:r>
        <w:rPr>
          <w:rFonts w:hint="eastAsia" w:ascii="楷体_GB2312" w:hAnsi="楷体_GB2312" w:eastAsia="楷体_GB2312" w:cs="楷体_GB2312"/>
          <w:snapToGrid w:val="0"/>
          <w:color w:val="333333"/>
          <w:kern w:val="0"/>
          <w:szCs w:val="32"/>
          <w:lang w:eastAsia="zh-CN"/>
        </w:rPr>
        <w:t>按照职责分工负责</w:t>
      </w:r>
      <w:r>
        <w:rPr>
          <w:rFonts w:hint="eastAsia" w:ascii="楷体_GB2312" w:hAnsi="楷体_GB2312" w:eastAsia="楷体_GB2312" w:cs="楷体_GB2312"/>
          <w:snapToGrid w:val="0"/>
          <w:color w:val="333333"/>
          <w:kern w:val="0"/>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b/>
          <w:bCs/>
          <w:snapToGrid w:val="0"/>
          <w:kern w:val="0"/>
          <w:szCs w:val="32"/>
        </w:rPr>
        <w:t>1</w:t>
      </w:r>
      <w:r>
        <w:rPr>
          <w:rFonts w:hint="eastAsia" w:ascii="仿宋_GB2312"/>
          <w:b/>
          <w:bCs/>
          <w:snapToGrid w:val="0"/>
          <w:kern w:val="0"/>
          <w:szCs w:val="32"/>
          <w:lang w:val="en-US" w:eastAsia="zh-CN"/>
        </w:rPr>
        <w:t>6</w:t>
      </w:r>
      <w:r>
        <w:rPr>
          <w:rFonts w:hint="eastAsia" w:ascii="仿宋_GB2312"/>
          <w:b/>
          <w:bCs/>
          <w:snapToGrid w:val="0"/>
          <w:kern w:val="0"/>
          <w:szCs w:val="32"/>
        </w:rPr>
        <w:t>.创新“互联网+”服务手段。</w:t>
      </w:r>
      <w:r>
        <w:rPr>
          <w:rFonts w:hint="eastAsia" w:ascii="仿宋_GB2312"/>
          <w:snapToGrid w:val="0"/>
          <w:kern w:val="0"/>
          <w:szCs w:val="32"/>
        </w:rPr>
        <w:t>2018年底前，开通微信、支付宝等电子支付平台，丰富手机客户端功能，建立微信公众号等互联网服务渠道，及时公布业务流程、办理时限、收费标准和相关政策。2019年，全面推行“最多跑一次”“我跑你不跑”“零跑腿”等服务模式，运行“互联网+服务”平台，实现客户从报装到缴费一次性网上办理。供电方面：2018年底前，建设一体化缴费平台，进一步拓展客户缴费渠道，持续丰富移动支付功能。</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发改</w:t>
      </w:r>
      <w:r>
        <w:rPr>
          <w:rFonts w:hint="eastAsia" w:ascii="楷体_GB2312" w:hAnsi="楷体_GB2312" w:eastAsia="楷体_GB2312" w:cs="楷体_GB2312"/>
          <w:snapToGrid w:val="0"/>
          <w:color w:val="333333"/>
          <w:kern w:val="0"/>
          <w:szCs w:val="32"/>
          <w:lang w:eastAsia="zh-CN"/>
        </w:rPr>
        <w:t>局</w:t>
      </w:r>
      <w:r>
        <w:rPr>
          <w:rFonts w:hint="eastAsia" w:ascii="楷体_GB2312" w:hAnsi="楷体_GB2312" w:eastAsia="楷体_GB2312" w:cs="楷体_GB2312"/>
          <w:snapToGrid w:val="0"/>
          <w:color w:val="333333"/>
          <w:kern w:val="0"/>
          <w:szCs w:val="32"/>
        </w:rPr>
        <w:t>、住建局、水利局牵头，各水电气暖供应企业</w:t>
      </w:r>
      <w:r>
        <w:rPr>
          <w:rFonts w:hint="eastAsia" w:ascii="楷体_GB2312" w:hAnsi="楷体_GB2312" w:eastAsia="楷体_GB2312" w:cs="楷体_GB2312"/>
          <w:snapToGrid w:val="0"/>
          <w:color w:val="333333"/>
          <w:kern w:val="0"/>
          <w:szCs w:val="32"/>
          <w:lang w:eastAsia="zh-CN"/>
        </w:rPr>
        <w:t>按照职责分工负责</w:t>
      </w:r>
      <w:r>
        <w:rPr>
          <w:rFonts w:hint="eastAsia" w:ascii="楷体_GB2312" w:hAnsi="楷体_GB2312" w:eastAsia="楷体_GB2312" w:cs="楷体_GB2312"/>
          <w:snapToGrid w:val="0"/>
          <w:color w:val="333333"/>
          <w:kern w:val="0"/>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val="0"/>
          <w:color w:val="333333"/>
          <w:kern w:val="0"/>
          <w:szCs w:val="32"/>
        </w:rPr>
      </w:pPr>
      <w:r>
        <w:rPr>
          <w:rFonts w:hint="eastAsia" w:ascii="楷体_GB2312" w:hAnsi="楷体_GB2312" w:eastAsia="楷体_GB2312" w:cs="楷体_GB2312"/>
          <w:b/>
          <w:bCs/>
          <w:snapToGrid w:val="0"/>
          <w:color w:val="333333"/>
          <w:kern w:val="0"/>
          <w:szCs w:val="32"/>
        </w:rPr>
        <w:t>（四）</w:t>
      </w:r>
      <w:r>
        <w:rPr>
          <w:rFonts w:hint="eastAsia" w:ascii="楷体_GB2312" w:hAnsi="楷体_GB2312" w:eastAsia="楷体_GB2312" w:cs="楷体_GB2312"/>
          <w:b/>
          <w:bCs/>
          <w:snapToGrid w:val="0"/>
          <w:color w:val="333333"/>
          <w:kern w:val="0"/>
          <w:szCs w:val="32"/>
          <w:lang w:eastAsia="zh-CN"/>
        </w:rPr>
        <w:t>推动</w:t>
      </w:r>
      <w:r>
        <w:rPr>
          <w:rFonts w:hint="eastAsia" w:ascii="楷体_GB2312" w:hAnsi="楷体_GB2312" w:eastAsia="楷体_GB2312" w:cs="楷体_GB2312"/>
          <w:b/>
          <w:bCs/>
          <w:snapToGrid w:val="0"/>
          <w:color w:val="333333"/>
          <w:kern w:val="0"/>
          <w:szCs w:val="32"/>
        </w:rPr>
        <w:t>不动产登记办理。</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b/>
          <w:bCs/>
          <w:snapToGrid w:val="0"/>
          <w:kern w:val="0"/>
          <w:szCs w:val="32"/>
        </w:rPr>
        <w:t>1</w:t>
      </w:r>
      <w:r>
        <w:rPr>
          <w:rFonts w:hint="eastAsia" w:ascii="仿宋_GB2312"/>
          <w:b/>
          <w:bCs/>
          <w:snapToGrid w:val="0"/>
          <w:kern w:val="0"/>
          <w:szCs w:val="32"/>
          <w:lang w:val="en-US" w:eastAsia="zh-CN"/>
        </w:rPr>
        <w:t>7</w:t>
      </w:r>
      <w:r>
        <w:rPr>
          <w:rFonts w:hint="eastAsia" w:ascii="仿宋_GB2312"/>
          <w:b/>
          <w:bCs/>
          <w:snapToGrid w:val="0"/>
          <w:kern w:val="0"/>
          <w:szCs w:val="32"/>
        </w:rPr>
        <w:t>.完善不动产登记信息平台建设。</w:t>
      </w:r>
      <w:r>
        <w:rPr>
          <w:rFonts w:hint="eastAsia" w:ascii="仿宋_GB2312"/>
          <w:snapToGrid w:val="0"/>
          <w:kern w:val="0"/>
          <w:szCs w:val="32"/>
        </w:rPr>
        <w:t>发挥信息平台功能，推动房屋交易、税务、不动产登记、婚姻登记、房屋征收、公安等部门实现信息资源互认共享。2018年力争实现100%利用信息平台办理登记业务，全</w:t>
      </w:r>
      <w:r>
        <w:rPr>
          <w:rFonts w:hint="eastAsia" w:ascii="仿宋_GB2312"/>
          <w:snapToGrid w:val="0"/>
          <w:kern w:val="0"/>
          <w:szCs w:val="32"/>
          <w:lang w:eastAsia="zh-CN"/>
        </w:rPr>
        <w:t>县</w:t>
      </w:r>
      <w:r>
        <w:rPr>
          <w:rFonts w:hint="eastAsia" w:ascii="仿宋_GB2312"/>
          <w:snapToGrid w:val="0"/>
          <w:kern w:val="0"/>
          <w:szCs w:val="32"/>
        </w:rPr>
        <w:t>要基本完成不动产交易、缴税与登记信息的交换共享，实现全网办理。</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不动产登记局牵头，</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级有关部门</w:t>
      </w:r>
      <w:r>
        <w:rPr>
          <w:rFonts w:hint="eastAsia" w:ascii="楷体_GB2312" w:hAnsi="楷体_GB2312" w:eastAsia="楷体_GB2312" w:cs="楷体_GB2312"/>
          <w:snapToGrid w:val="0"/>
          <w:color w:val="333333"/>
          <w:kern w:val="0"/>
          <w:szCs w:val="32"/>
          <w:lang w:eastAsia="zh-CN"/>
        </w:rPr>
        <w:t>、</w:t>
      </w:r>
      <w:r>
        <w:rPr>
          <w:rFonts w:hint="eastAsia" w:ascii="楷体_GB2312" w:hAnsi="楷体_GB2312" w:eastAsia="楷体_GB2312" w:cs="楷体_GB2312"/>
          <w:snapToGrid w:val="0"/>
          <w:color w:val="333333"/>
          <w:kern w:val="0"/>
          <w:szCs w:val="32"/>
        </w:rPr>
        <w:t>各</w:t>
      </w:r>
      <w:r>
        <w:rPr>
          <w:rFonts w:hint="eastAsia" w:ascii="楷体_GB2312" w:hAnsi="楷体_GB2312" w:eastAsia="楷体_GB2312" w:cs="楷体_GB2312"/>
          <w:snapToGrid w:val="0"/>
          <w:color w:val="333333"/>
          <w:kern w:val="0"/>
          <w:szCs w:val="32"/>
          <w:lang w:eastAsia="zh-CN"/>
        </w:rPr>
        <w:t>镇按照职责分工</w:t>
      </w:r>
      <w:r>
        <w:rPr>
          <w:rFonts w:hint="eastAsia" w:ascii="楷体_GB2312" w:hAnsi="楷体_GB2312" w:eastAsia="楷体_GB2312" w:cs="楷体_GB2312"/>
          <w:snapToGrid w:val="0"/>
          <w:color w:val="333333"/>
          <w:kern w:val="0"/>
          <w:szCs w:val="32"/>
        </w:rPr>
        <w:t>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b/>
          <w:bCs/>
          <w:snapToGrid w:val="0"/>
          <w:kern w:val="0"/>
          <w:szCs w:val="32"/>
        </w:rPr>
        <w:t>1</w:t>
      </w:r>
      <w:r>
        <w:rPr>
          <w:rFonts w:hint="eastAsia" w:ascii="仿宋_GB2312"/>
          <w:b/>
          <w:bCs/>
          <w:snapToGrid w:val="0"/>
          <w:kern w:val="0"/>
          <w:szCs w:val="32"/>
          <w:lang w:val="en-US" w:eastAsia="zh-CN"/>
        </w:rPr>
        <w:t>8</w:t>
      </w:r>
      <w:r>
        <w:rPr>
          <w:rFonts w:hint="eastAsia" w:ascii="仿宋_GB2312"/>
          <w:b/>
          <w:bCs/>
          <w:snapToGrid w:val="0"/>
          <w:kern w:val="0"/>
          <w:szCs w:val="32"/>
        </w:rPr>
        <w:t>.</w:t>
      </w:r>
      <w:r>
        <w:rPr>
          <w:rFonts w:hint="eastAsia" w:ascii="仿宋_GB2312"/>
          <w:b/>
          <w:bCs/>
          <w:snapToGrid w:val="0"/>
          <w:kern w:val="0"/>
          <w:szCs w:val="32"/>
          <w:lang w:eastAsia="zh-CN"/>
        </w:rPr>
        <w:t>简</w:t>
      </w:r>
      <w:r>
        <w:rPr>
          <w:rFonts w:hint="eastAsia" w:ascii="仿宋_GB2312"/>
          <w:b/>
          <w:bCs/>
          <w:snapToGrid w:val="0"/>
          <w:kern w:val="0"/>
          <w:szCs w:val="32"/>
        </w:rPr>
        <w:t>化工作流程。</w:t>
      </w:r>
      <w:r>
        <w:rPr>
          <w:rFonts w:hint="eastAsia" w:ascii="仿宋_GB2312"/>
          <w:snapToGrid w:val="0"/>
          <w:kern w:val="0"/>
          <w:szCs w:val="32"/>
        </w:rPr>
        <w:t>采取“互联网+不动产登记”的工作模式，优化不动产登记申请、受理、审核、登簿、发证等业务流程，向权利人、利害关系人、相关部门提供便捷、顺畅的登记信息共享和登记资料查询服务，2018年底，全力实现企业办理不动产登记“最多跑一次”</w:t>
      </w:r>
      <w:r>
        <w:rPr>
          <w:rFonts w:hint="eastAsia" w:ascii="仿宋_GB2312"/>
          <w:snapToGrid w:val="0"/>
          <w:kern w:val="0"/>
          <w:szCs w:val="32"/>
          <w:lang w:eastAsia="zh-CN"/>
        </w:rPr>
        <w:t>。</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不动产登记局、住建局牵头，各</w:t>
      </w:r>
      <w:r>
        <w:rPr>
          <w:rFonts w:hint="eastAsia" w:ascii="楷体_GB2312" w:hAnsi="楷体_GB2312" w:eastAsia="楷体_GB2312" w:cs="楷体_GB2312"/>
          <w:snapToGrid w:val="0"/>
          <w:color w:val="333333"/>
          <w:kern w:val="0"/>
          <w:szCs w:val="32"/>
          <w:lang w:eastAsia="zh-CN"/>
        </w:rPr>
        <w:t>镇按照职责分工</w:t>
      </w:r>
      <w:r>
        <w:rPr>
          <w:rFonts w:hint="eastAsia" w:ascii="楷体_GB2312" w:hAnsi="楷体_GB2312" w:eastAsia="楷体_GB2312" w:cs="楷体_GB2312"/>
          <w:snapToGrid w:val="0"/>
          <w:color w:val="333333"/>
          <w:kern w:val="0"/>
          <w:szCs w:val="32"/>
        </w:rPr>
        <w:t>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cs="仿宋_GB2312"/>
          <w:b/>
          <w:bCs/>
          <w:snapToGrid w:val="0"/>
          <w:color w:val="333333"/>
          <w:kern w:val="0"/>
          <w:szCs w:val="32"/>
          <w:lang w:val="en-US" w:eastAsia="zh-CN"/>
        </w:rPr>
        <w:t>19.</w:t>
      </w:r>
      <w:r>
        <w:rPr>
          <w:rFonts w:hint="eastAsia" w:ascii="仿宋_GB2312" w:hAnsi="仿宋_GB2312" w:eastAsia="仿宋_GB2312" w:cs="仿宋_GB2312"/>
          <w:b/>
          <w:bCs/>
          <w:snapToGrid w:val="0"/>
          <w:color w:val="333333"/>
          <w:kern w:val="0"/>
          <w:szCs w:val="32"/>
        </w:rPr>
        <w:t>排查解决问题。</w:t>
      </w:r>
      <w:r>
        <w:rPr>
          <w:rFonts w:hint="eastAsia" w:ascii="仿宋_GB2312" w:hAnsi="仿宋_GB2312" w:eastAsia="仿宋_GB2312" w:cs="仿宋_GB2312"/>
          <w:snapToGrid w:val="0"/>
          <w:color w:val="333333"/>
          <w:kern w:val="0"/>
          <w:szCs w:val="32"/>
        </w:rPr>
        <w:t>全面排查不动产登记“中梗阻”问题，及时出台相关政策，解决好历史遗留问题，防止久拖不决，帮助企业及时解决正常办证需求。</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不动产登记局、住建局牵头，各</w:t>
      </w:r>
      <w:r>
        <w:rPr>
          <w:rFonts w:hint="eastAsia" w:ascii="楷体_GB2312" w:hAnsi="楷体_GB2312" w:eastAsia="楷体_GB2312" w:cs="楷体_GB2312"/>
          <w:snapToGrid w:val="0"/>
          <w:color w:val="333333"/>
          <w:kern w:val="0"/>
          <w:szCs w:val="32"/>
          <w:lang w:eastAsia="zh-CN"/>
        </w:rPr>
        <w:t>镇按照职责分工</w:t>
      </w:r>
      <w:r>
        <w:rPr>
          <w:rFonts w:hint="eastAsia" w:ascii="楷体_GB2312" w:hAnsi="楷体_GB2312" w:eastAsia="楷体_GB2312" w:cs="楷体_GB2312"/>
          <w:snapToGrid w:val="0"/>
          <w:color w:val="333333"/>
          <w:kern w:val="0"/>
          <w:szCs w:val="32"/>
        </w:rPr>
        <w:t>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val="0"/>
          <w:color w:val="333333"/>
          <w:kern w:val="0"/>
          <w:szCs w:val="32"/>
        </w:rPr>
      </w:pPr>
      <w:r>
        <w:rPr>
          <w:rFonts w:hint="eastAsia" w:ascii="楷体_GB2312" w:hAnsi="楷体_GB2312" w:eastAsia="楷体_GB2312" w:cs="楷体_GB2312"/>
          <w:b/>
          <w:bCs/>
          <w:snapToGrid w:val="0"/>
          <w:color w:val="333333"/>
          <w:kern w:val="0"/>
          <w:szCs w:val="32"/>
        </w:rPr>
        <w:t>（五）</w:t>
      </w:r>
      <w:r>
        <w:rPr>
          <w:rFonts w:hint="eastAsia" w:ascii="楷体_GB2312" w:hAnsi="楷体_GB2312" w:eastAsia="楷体_GB2312" w:cs="楷体_GB2312"/>
          <w:b/>
          <w:bCs/>
          <w:snapToGrid w:val="0"/>
          <w:color w:val="333333"/>
          <w:kern w:val="0"/>
          <w:szCs w:val="32"/>
          <w:lang w:eastAsia="zh-CN"/>
        </w:rPr>
        <w:t>提升企业信贷便利化</w:t>
      </w:r>
      <w:r>
        <w:rPr>
          <w:rFonts w:hint="eastAsia" w:ascii="楷体_GB2312" w:hAnsi="楷体_GB2312" w:eastAsia="楷体_GB2312" w:cs="楷体_GB2312"/>
          <w:b/>
          <w:bCs/>
          <w:snapToGrid w:val="0"/>
          <w:color w:val="333333"/>
          <w:kern w:val="0"/>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b/>
          <w:bCs/>
          <w:snapToGrid w:val="0"/>
          <w:color w:val="333333"/>
          <w:kern w:val="0"/>
          <w:szCs w:val="32"/>
        </w:rPr>
        <w:t>2</w:t>
      </w:r>
      <w:r>
        <w:rPr>
          <w:rFonts w:hint="eastAsia" w:ascii="仿宋_GB2312" w:hAnsi="仿宋_GB2312" w:cs="仿宋_GB2312"/>
          <w:b/>
          <w:bCs/>
          <w:snapToGrid w:val="0"/>
          <w:color w:val="333333"/>
          <w:kern w:val="0"/>
          <w:szCs w:val="32"/>
          <w:lang w:val="en-US" w:eastAsia="zh-CN"/>
        </w:rPr>
        <w:t>0</w:t>
      </w:r>
      <w:r>
        <w:rPr>
          <w:rFonts w:hint="eastAsia" w:ascii="仿宋_GB2312" w:hAnsi="仿宋_GB2312" w:eastAsia="仿宋_GB2312" w:cs="仿宋_GB2312"/>
          <w:b/>
          <w:bCs/>
          <w:snapToGrid w:val="0"/>
          <w:color w:val="333333"/>
          <w:kern w:val="0"/>
          <w:szCs w:val="32"/>
        </w:rPr>
        <w:t>.降低成本费用。</w:t>
      </w:r>
      <w:r>
        <w:rPr>
          <w:rFonts w:hint="eastAsia" w:ascii="仿宋_GB2312" w:hAnsi="仿宋_GB2312" w:eastAsia="仿宋_GB2312" w:cs="仿宋_GB2312"/>
          <w:snapToGrid w:val="0"/>
          <w:color w:val="333333"/>
          <w:kern w:val="0"/>
          <w:szCs w:val="32"/>
        </w:rPr>
        <w:t>引导金融机构合理定价；通过降低服务成本、引导合作银行让利等途径，减少小微企业在融资中产生的公证、评估等各类费用。落实应收账款融资行动工作方案，推广应收账款融资平台，有效盘活企业存量资产。</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金融办牵头）</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b/>
          <w:bCs/>
          <w:snapToGrid w:val="0"/>
          <w:color w:val="333333"/>
          <w:kern w:val="0"/>
          <w:szCs w:val="32"/>
        </w:rPr>
        <w:t>2</w:t>
      </w:r>
      <w:r>
        <w:rPr>
          <w:rFonts w:hint="eastAsia" w:ascii="仿宋_GB2312" w:hAnsi="仿宋_GB2312" w:cs="仿宋_GB2312"/>
          <w:b/>
          <w:bCs/>
          <w:snapToGrid w:val="0"/>
          <w:color w:val="333333"/>
          <w:kern w:val="0"/>
          <w:szCs w:val="32"/>
          <w:lang w:val="en-US" w:eastAsia="zh-CN"/>
        </w:rPr>
        <w:t>1</w:t>
      </w:r>
      <w:r>
        <w:rPr>
          <w:rFonts w:hint="eastAsia" w:ascii="仿宋_GB2312" w:hAnsi="仿宋_GB2312" w:eastAsia="仿宋_GB2312" w:cs="仿宋_GB2312"/>
          <w:b/>
          <w:bCs/>
          <w:snapToGrid w:val="0"/>
          <w:color w:val="333333"/>
          <w:kern w:val="0"/>
          <w:szCs w:val="32"/>
        </w:rPr>
        <w:t>.</w:t>
      </w:r>
      <w:r>
        <w:rPr>
          <w:rFonts w:hint="eastAsia" w:ascii="仿宋_GB2312" w:hAnsi="仿宋_GB2312" w:cs="仿宋_GB2312"/>
          <w:b/>
          <w:bCs/>
          <w:snapToGrid w:val="0"/>
          <w:color w:val="333333"/>
          <w:kern w:val="0"/>
          <w:szCs w:val="32"/>
          <w:lang w:eastAsia="zh-CN"/>
        </w:rPr>
        <w:t>加</w:t>
      </w:r>
      <w:r>
        <w:rPr>
          <w:rFonts w:hint="eastAsia" w:ascii="仿宋_GB2312" w:hAnsi="仿宋_GB2312" w:eastAsia="仿宋_GB2312" w:cs="仿宋_GB2312"/>
          <w:b/>
          <w:bCs/>
          <w:snapToGrid w:val="0"/>
          <w:color w:val="333333"/>
          <w:kern w:val="0"/>
          <w:szCs w:val="32"/>
        </w:rPr>
        <w:t>强产品创新。</w:t>
      </w:r>
      <w:r>
        <w:rPr>
          <w:rFonts w:hint="eastAsia" w:ascii="仿宋_GB2312" w:hAnsi="仿宋_GB2312" w:eastAsia="仿宋_GB2312" w:cs="仿宋_GB2312"/>
          <w:snapToGrid w:val="0"/>
          <w:color w:val="333333"/>
          <w:kern w:val="0"/>
          <w:szCs w:val="32"/>
        </w:rPr>
        <w:t>引导银行业金融机构创新金融产品和服务。推动股权、商标权、林权、大型农机具等抵质押贷款，抓好“两权”抵押贷款试点工作；扩大信用贷款范围，通过“诚信纳税贷”帮助诚信企业生产经营周转。积极推动“循环贷”等无还本续贷业务产品落实。</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金融办、</w:t>
      </w:r>
      <w:r>
        <w:rPr>
          <w:rFonts w:hint="eastAsia" w:ascii="楷体_GB2312" w:hAnsi="楷体_GB2312" w:eastAsia="楷体_GB2312" w:cs="楷体_GB2312"/>
          <w:snapToGrid w:val="0"/>
          <w:color w:val="333333"/>
          <w:kern w:val="0"/>
          <w:szCs w:val="32"/>
          <w:lang w:eastAsia="zh-CN"/>
        </w:rPr>
        <w:t>县市场监管局、税务局</w:t>
      </w:r>
      <w:r>
        <w:rPr>
          <w:rFonts w:hint="eastAsia" w:ascii="楷体_GB2312" w:hAnsi="楷体_GB2312" w:eastAsia="楷体_GB2312" w:cs="楷体_GB2312"/>
          <w:snapToGrid w:val="0"/>
          <w:color w:val="333333"/>
          <w:kern w:val="0"/>
          <w:szCs w:val="32"/>
        </w:rPr>
        <w:t>按</w:t>
      </w:r>
      <w:r>
        <w:rPr>
          <w:rFonts w:hint="eastAsia" w:ascii="楷体_GB2312" w:hAnsi="楷体_GB2312" w:eastAsia="楷体_GB2312" w:cs="楷体_GB2312"/>
          <w:snapToGrid w:val="0"/>
          <w:color w:val="333333"/>
          <w:kern w:val="0"/>
          <w:szCs w:val="32"/>
          <w:lang w:eastAsia="zh-CN"/>
        </w:rPr>
        <w:t>照</w:t>
      </w:r>
      <w:r>
        <w:rPr>
          <w:rFonts w:hint="eastAsia" w:ascii="楷体_GB2312" w:hAnsi="楷体_GB2312" w:eastAsia="楷体_GB2312" w:cs="楷体_GB2312"/>
          <w:snapToGrid w:val="0"/>
          <w:color w:val="333333"/>
          <w:kern w:val="0"/>
          <w:szCs w:val="32"/>
        </w:rPr>
        <w:t>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b/>
          <w:bCs/>
          <w:snapToGrid w:val="0"/>
          <w:color w:val="333333"/>
          <w:kern w:val="0"/>
          <w:szCs w:val="32"/>
        </w:rPr>
        <w:t>2</w:t>
      </w:r>
      <w:r>
        <w:rPr>
          <w:rFonts w:hint="eastAsia" w:ascii="仿宋_GB2312" w:hAnsi="仿宋_GB2312" w:cs="仿宋_GB2312"/>
          <w:b/>
          <w:bCs/>
          <w:snapToGrid w:val="0"/>
          <w:color w:val="333333"/>
          <w:kern w:val="0"/>
          <w:szCs w:val="32"/>
          <w:lang w:val="en-US" w:eastAsia="zh-CN"/>
        </w:rPr>
        <w:t>2</w:t>
      </w:r>
      <w:r>
        <w:rPr>
          <w:rFonts w:hint="eastAsia" w:ascii="仿宋_GB2312" w:hAnsi="仿宋_GB2312" w:eastAsia="仿宋_GB2312" w:cs="仿宋_GB2312"/>
          <w:b/>
          <w:bCs/>
          <w:snapToGrid w:val="0"/>
          <w:color w:val="333333"/>
          <w:kern w:val="0"/>
          <w:szCs w:val="32"/>
        </w:rPr>
        <w:t>.</w:t>
      </w:r>
      <w:r>
        <w:rPr>
          <w:rFonts w:hint="eastAsia" w:ascii="仿宋_GB2312" w:hAnsi="仿宋_GB2312" w:cs="仿宋_GB2312"/>
          <w:b/>
          <w:bCs/>
          <w:snapToGrid w:val="0"/>
          <w:color w:val="333333"/>
          <w:kern w:val="0"/>
          <w:szCs w:val="32"/>
          <w:lang w:eastAsia="zh-CN"/>
        </w:rPr>
        <w:t>建立融资新模式</w:t>
      </w:r>
      <w:r>
        <w:rPr>
          <w:rFonts w:hint="eastAsia" w:ascii="仿宋_GB2312" w:hAnsi="仿宋_GB2312" w:eastAsia="仿宋_GB2312" w:cs="仿宋_GB2312"/>
          <w:b/>
          <w:bCs/>
          <w:snapToGrid w:val="0"/>
          <w:color w:val="333333"/>
          <w:kern w:val="0"/>
          <w:szCs w:val="32"/>
        </w:rPr>
        <w:t>。</w:t>
      </w:r>
      <w:r>
        <w:rPr>
          <w:rFonts w:hint="eastAsia" w:ascii="仿宋_GB2312" w:hAnsi="仿宋_GB2312" w:eastAsia="仿宋_GB2312" w:cs="仿宋_GB2312"/>
          <w:snapToGrid w:val="0"/>
          <w:color w:val="333333"/>
          <w:kern w:val="0"/>
          <w:szCs w:val="32"/>
        </w:rPr>
        <w:t>在2018年底前，试行企业名牌、专利、商标等知识产权信用贷款，大范围推行供应链融资、融资租赁等新型融资模式。</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金融办牵头）</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b/>
          <w:bCs/>
          <w:snapToGrid w:val="0"/>
          <w:color w:val="333333"/>
          <w:kern w:val="0"/>
          <w:szCs w:val="32"/>
        </w:rPr>
        <w:t>2</w:t>
      </w:r>
      <w:r>
        <w:rPr>
          <w:rFonts w:hint="eastAsia" w:ascii="仿宋_GB2312" w:hAnsi="仿宋_GB2312" w:cs="仿宋_GB2312"/>
          <w:b/>
          <w:bCs/>
          <w:snapToGrid w:val="0"/>
          <w:color w:val="333333"/>
          <w:kern w:val="0"/>
          <w:szCs w:val="32"/>
          <w:lang w:val="en-US" w:eastAsia="zh-CN"/>
        </w:rPr>
        <w:t>3</w:t>
      </w:r>
      <w:r>
        <w:rPr>
          <w:rFonts w:hint="eastAsia" w:ascii="仿宋_GB2312" w:hAnsi="仿宋_GB2312" w:eastAsia="仿宋_GB2312" w:cs="仿宋_GB2312"/>
          <w:b/>
          <w:bCs/>
          <w:snapToGrid w:val="0"/>
          <w:color w:val="333333"/>
          <w:kern w:val="0"/>
          <w:szCs w:val="32"/>
        </w:rPr>
        <w:t>.</w:t>
      </w:r>
      <w:r>
        <w:rPr>
          <w:rFonts w:hint="eastAsia" w:ascii="仿宋_GB2312" w:hAnsi="仿宋_GB2312" w:cs="仿宋_GB2312"/>
          <w:b/>
          <w:bCs/>
          <w:snapToGrid w:val="0"/>
          <w:color w:val="333333"/>
          <w:kern w:val="0"/>
          <w:szCs w:val="32"/>
          <w:lang w:eastAsia="zh-CN"/>
        </w:rPr>
        <w:t>创新</w:t>
      </w:r>
      <w:r>
        <w:rPr>
          <w:rFonts w:hint="eastAsia" w:ascii="仿宋_GB2312" w:hAnsi="仿宋_GB2312" w:eastAsia="仿宋_GB2312" w:cs="仿宋_GB2312"/>
          <w:b/>
          <w:bCs/>
          <w:snapToGrid w:val="0"/>
          <w:color w:val="333333"/>
          <w:kern w:val="0"/>
          <w:szCs w:val="32"/>
        </w:rPr>
        <w:t>知识产权融资模式。</w:t>
      </w:r>
      <w:r>
        <w:rPr>
          <w:rFonts w:hint="eastAsia" w:ascii="仿宋_GB2312" w:hAnsi="仿宋_GB2312" w:eastAsia="仿宋_GB2312" w:cs="仿宋_GB2312"/>
          <w:snapToGrid w:val="0"/>
          <w:color w:val="333333"/>
          <w:kern w:val="0"/>
          <w:szCs w:val="32"/>
        </w:rPr>
        <w:t>对于拥有知识产权的科创类企业，加快推进知识产权质押贷款，鼓励投贷联动试点银行通过“股权+债权”予以支持。</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金融办牵头）</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val="0"/>
          <w:color w:val="333333"/>
          <w:kern w:val="0"/>
          <w:szCs w:val="32"/>
        </w:rPr>
      </w:pPr>
      <w:r>
        <w:rPr>
          <w:rFonts w:hint="eastAsia" w:ascii="楷体_GB2312" w:hAnsi="楷体_GB2312" w:eastAsia="楷体_GB2312" w:cs="楷体_GB2312"/>
          <w:b/>
          <w:bCs/>
          <w:snapToGrid w:val="0"/>
          <w:color w:val="333333"/>
          <w:kern w:val="0"/>
          <w:szCs w:val="32"/>
        </w:rPr>
        <w:t>（六）优化纳税服务。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b/>
          <w:bCs/>
          <w:snapToGrid w:val="0"/>
          <w:color w:val="333333"/>
          <w:kern w:val="0"/>
          <w:szCs w:val="32"/>
        </w:rPr>
        <w:t>2</w:t>
      </w:r>
      <w:r>
        <w:rPr>
          <w:rFonts w:hint="eastAsia" w:ascii="仿宋_GB2312" w:hAnsi="仿宋_GB2312" w:cs="仿宋_GB2312"/>
          <w:b/>
          <w:bCs/>
          <w:snapToGrid w:val="0"/>
          <w:color w:val="333333"/>
          <w:kern w:val="0"/>
          <w:szCs w:val="32"/>
          <w:lang w:val="en-US" w:eastAsia="zh-CN"/>
        </w:rPr>
        <w:t>4</w:t>
      </w:r>
      <w:r>
        <w:rPr>
          <w:rFonts w:hint="eastAsia" w:ascii="仿宋_GB2312" w:hAnsi="仿宋_GB2312" w:eastAsia="仿宋_GB2312" w:cs="仿宋_GB2312"/>
          <w:b/>
          <w:bCs/>
          <w:snapToGrid w:val="0"/>
          <w:color w:val="333333"/>
          <w:kern w:val="0"/>
          <w:szCs w:val="32"/>
        </w:rPr>
        <w:t>.</w:t>
      </w:r>
      <w:r>
        <w:rPr>
          <w:rFonts w:hint="eastAsia" w:ascii="仿宋_GB2312" w:hAnsi="仿宋_GB2312" w:cs="仿宋_GB2312"/>
          <w:b/>
          <w:bCs/>
          <w:snapToGrid w:val="0"/>
          <w:color w:val="333333"/>
          <w:kern w:val="0"/>
          <w:szCs w:val="32"/>
          <w:lang w:eastAsia="zh-CN"/>
        </w:rPr>
        <w:t>优化办税流程</w:t>
      </w:r>
      <w:r>
        <w:rPr>
          <w:rFonts w:hint="eastAsia" w:ascii="仿宋_GB2312" w:hAnsi="仿宋_GB2312" w:eastAsia="仿宋_GB2312" w:cs="仿宋_GB2312"/>
          <w:b/>
          <w:bCs/>
          <w:snapToGrid w:val="0"/>
          <w:color w:val="333333"/>
          <w:kern w:val="0"/>
          <w:szCs w:val="32"/>
        </w:rPr>
        <w:t>。</w:t>
      </w:r>
      <w:r>
        <w:rPr>
          <w:rFonts w:hint="eastAsia" w:ascii="仿宋_GB2312" w:hAnsi="仿宋_GB2312" w:eastAsia="仿宋_GB2312" w:cs="仿宋_GB2312"/>
          <w:snapToGrid w:val="0"/>
          <w:color w:val="333333"/>
          <w:kern w:val="0"/>
          <w:szCs w:val="32"/>
        </w:rPr>
        <w:t>推进电子税务局升级，2019年底，改造完成国地税一体的电子税务局。按照国家税务总局工作部署，简并涉税表单，优化办税流程，逐步实现非税收入统筹征缴一张报表、一次申报。大力推行网上办税、就近办税。推行包括10大类315项办税事项的“最多跑一次”清单</w:t>
      </w:r>
      <w:r>
        <w:rPr>
          <w:rFonts w:hint="eastAsia" w:ascii="仿宋_GB2312" w:hAnsi="仿宋_GB2312" w:cs="仿宋_GB2312"/>
          <w:snapToGrid w:val="0"/>
          <w:color w:val="333333"/>
          <w:kern w:val="0"/>
          <w:szCs w:val="32"/>
          <w:lang w:eastAsia="zh-CN"/>
        </w:rPr>
        <w:t>。</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税</w:t>
      </w:r>
      <w:r>
        <w:rPr>
          <w:rFonts w:hint="eastAsia" w:ascii="楷体_GB2312" w:hAnsi="楷体_GB2312" w:eastAsia="楷体_GB2312" w:cs="楷体_GB2312"/>
          <w:snapToGrid w:val="0"/>
          <w:color w:val="333333"/>
          <w:kern w:val="0"/>
          <w:szCs w:val="32"/>
          <w:lang w:eastAsia="zh-CN"/>
        </w:rPr>
        <w:t>务</w:t>
      </w:r>
      <w:r>
        <w:rPr>
          <w:rFonts w:hint="eastAsia" w:ascii="楷体_GB2312" w:hAnsi="楷体_GB2312" w:eastAsia="楷体_GB2312" w:cs="楷体_GB2312"/>
          <w:snapToGrid w:val="0"/>
          <w:color w:val="333333"/>
          <w:kern w:val="0"/>
          <w:szCs w:val="32"/>
        </w:rPr>
        <w:t>局负责）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b/>
          <w:bCs/>
          <w:snapToGrid w:val="0"/>
          <w:color w:val="333333"/>
          <w:kern w:val="0"/>
          <w:szCs w:val="32"/>
        </w:rPr>
        <w:t>2</w:t>
      </w:r>
      <w:r>
        <w:rPr>
          <w:rFonts w:hint="eastAsia" w:ascii="仿宋_GB2312" w:hAnsi="仿宋_GB2312" w:cs="仿宋_GB2312"/>
          <w:b/>
          <w:bCs/>
          <w:snapToGrid w:val="0"/>
          <w:color w:val="333333"/>
          <w:kern w:val="0"/>
          <w:szCs w:val="32"/>
          <w:lang w:val="en-US" w:eastAsia="zh-CN"/>
        </w:rPr>
        <w:t>5</w:t>
      </w:r>
      <w:r>
        <w:rPr>
          <w:rFonts w:hint="eastAsia" w:ascii="仿宋_GB2312" w:hAnsi="仿宋_GB2312" w:eastAsia="仿宋_GB2312" w:cs="仿宋_GB2312"/>
          <w:b/>
          <w:bCs/>
          <w:snapToGrid w:val="0"/>
          <w:color w:val="333333"/>
          <w:kern w:val="0"/>
          <w:szCs w:val="32"/>
        </w:rPr>
        <w:t>.压缩</w:t>
      </w:r>
      <w:r>
        <w:rPr>
          <w:rFonts w:hint="eastAsia" w:ascii="仿宋_GB2312" w:hAnsi="仿宋_GB2312" w:cs="仿宋_GB2312"/>
          <w:b/>
          <w:bCs/>
          <w:snapToGrid w:val="0"/>
          <w:color w:val="333333"/>
          <w:kern w:val="0"/>
          <w:szCs w:val="32"/>
          <w:lang w:eastAsia="zh-CN"/>
        </w:rPr>
        <w:t>办税时限</w:t>
      </w:r>
      <w:r>
        <w:rPr>
          <w:rFonts w:hint="eastAsia" w:ascii="仿宋_GB2312" w:hAnsi="仿宋_GB2312" w:eastAsia="仿宋_GB2312" w:cs="仿宋_GB2312"/>
          <w:b/>
          <w:bCs/>
          <w:snapToGrid w:val="0"/>
          <w:color w:val="333333"/>
          <w:kern w:val="0"/>
          <w:szCs w:val="32"/>
        </w:rPr>
        <w:t>。</w:t>
      </w:r>
      <w:r>
        <w:rPr>
          <w:rFonts w:hint="eastAsia" w:ascii="仿宋_GB2312" w:hAnsi="仿宋_GB2312" w:eastAsia="仿宋_GB2312" w:cs="仿宋_GB2312"/>
          <w:snapToGrid w:val="0"/>
          <w:color w:val="333333"/>
          <w:kern w:val="0"/>
          <w:szCs w:val="32"/>
        </w:rPr>
        <w:t>简化涉税资料报送、发票业务及纳税人迁移手续，便利申报纳税，大力推行网上办税、就近办税，压缩限办事项办理时限，纳税人平均完成一次纳税所需时间2018年12月底前缩短至0.4小时，2019年12月底前缩短至0.35小时，2020年12月底前缩短至0.3小时。</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税</w:t>
      </w:r>
      <w:r>
        <w:rPr>
          <w:rFonts w:hint="eastAsia" w:ascii="楷体_GB2312" w:hAnsi="楷体_GB2312" w:eastAsia="楷体_GB2312" w:cs="楷体_GB2312"/>
          <w:snapToGrid w:val="0"/>
          <w:color w:val="333333"/>
          <w:kern w:val="0"/>
          <w:szCs w:val="32"/>
          <w:lang w:eastAsia="zh-CN"/>
        </w:rPr>
        <w:t>务</w:t>
      </w:r>
      <w:r>
        <w:rPr>
          <w:rFonts w:hint="eastAsia" w:ascii="楷体_GB2312" w:hAnsi="楷体_GB2312" w:eastAsia="楷体_GB2312" w:cs="楷体_GB2312"/>
          <w:snapToGrid w:val="0"/>
          <w:color w:val="333333"/>
          <w:kern w:val="0"/>
          <w:szCs w:val="32"/>
        </w:rPr>
        <w:t>局负责）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b/>
          <w:bCs/>
          <w:snapToGrid w:val="0"/>
          <w:color w:val="333333"/>
          <w:kern w:val="0"/>
          <w:szCs w:val="32"/>
        </w:rPr>
        <w:t>2</w:t>
      </w:r>
      <w:r>
        <w:rPr>
          <w:rFonts w:hint="eastAsia" w:ascii="仿宋_GB2312" w:hAnsi="仿宋_GB2312" w:cs="仿宋_GB2312"/>
          <w:b/>
          <w:bCs/>
          <w:snapToGrid w:val="0"/>
          <w:color w:val="333333"/>
          <w:kern w:val="0"/>
          <w:szCs w:val="32"/>
          <w:lang w:val="en-US" w:eastAsia="zh-CN"/>
        </w:rPr>
        <w:t>6</w:t>
      </w:r>
      <w:r>
        <w:rPr>
          <w:rFonts w:hint="eastAsia" w:ascii="仿宋_GB2312" w:hAnsi="仿宋_GB2312" w:eastAsia="仿宋_GB2312" w:cs="仿宋_GB2312"/>
          <w:b/>
          <w:bCs/>
          <w:snapToGrid w:val="0"/>
          <w:color w:val="333333"/>
          <w:kern w:val="0"/>
          <w:szCs w:val="32"/>
        </w:rPr>
        <w:t>.优化事项办理。</w:t>
      </w:r>
      <w:r>
        <w:rPr>
          <w:rFonts w:hint="eastAsia" w:ascii="仿宋_GB2312" w:hAnsi="仿宋_GB2312" w:eastAsia="仿宋_GB2312" w:cs="仿宋_GB2312"/>
          <w:snapToGrid w:val="0"/>
          <w:color w:val="333333"/>
          <w:kern w:val="0"/>
          <w:szCs w:val="32"/>
        </w:rPr>
        <w:t>通过信息共享获取工商登记信息，不再重复采集。税种认定无需提供相关资料，由税务机关依职权即时办理。企业申请领用十万元（含）以下增值税专用发票和增值税普通发票、定额发票，由税务机关当场受理，即时办结。加快完善“电子税务局”系统，一次性办结多个涉税事项，压缩办理时间。</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县税务局</w:t>
      </w:r>
      <w:r>
        <w:rPr>
          <w:rFonts w:hint="eastAsia" w:ascii="楷体_GB2312" w:hAnsi="楷体_GB2312" w:eastAsia="楷体_GB2312" w:cs="楷体_GB2312"/>
          <w:snapToGrid w:val="0"/>
          <w:color w:val="333333"/>
          <w:kern w:val="0"/>
          <w:szCs w:val="32"/>
        </w:rPr>
        <w:t>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b/>
          <w:bCs/>
          <w:snapToGrid w:val="0"/>
          <w:color w:val="333333"/>
          <w:kern w:val="0"/>
          <w:szCs w:val="32"/>
        </w:rPr>
        <w:t>2</w:t>
      </w:r>
      <w:r>
        <w:rPr>
          <w:rFonts w:hint="eastAsia" w:ascii="仿宋_GB2312" w:hAnsi="仿宋_GB2312" w:cs="仿宋_GB2312"/>
          <w:b/>
          <w:bCs/>
          <w:snapToGrid w:val="0"/>
          <w:color w:val="333333"/>
          <w:kern w:val="0"/>
          <w:szCs w:val="32"/>
          <w:lang w:val="en-US" w:eastAsia="zh-CN"/>
        </w:rPr>
        <w:t>7</w:t>
      </w:r>
      <w:r>
        <w:rPr>
          <w:rFonts w:hint="eastAsia" w:ascii="仿宋_GB2312" w:hAnsi="仿宋_GB2312" w:eastAsia="仿宋_GB2312" w:cs="仿宋_GB2312"/>
          <w:b/>
          <w:bCs/>
          <w:snapToGrid w:val="0"/>
          <w:color w:val="333333"/>
          <w:kern w:val="0"/>
          <w:szCs w:val="32"/>
        </w:rPr>
        <w:t>.优惠办理。</w:t>
      </w:r>
      <w:r>
        <w:rPr>
          <w:rFonts w:hint="eastAsia" w:ascii="仿宋_GB2312" w:hAnsi="仿宋_GB2312" w:eastAsia="仿宋_GB2312" w:cs="仿宋_GB2312"/>
          <w:snapToGrid w:val="0"/>
          <w:color w:val="333333"/>
          <w:kern w:val="0"/>
          <w:szCs w:val="32"/>
        </w:rPr>
        <w:t>改进各税种优惠备案方式，逐步推行电子化备案，基本实现税收优惠资料由报送税务机关改为纳税人留存备查。逐步扩大农产品增值税进项税核定扣除范围。帮助企业避免或消除双重征税，提高税收确定性，促进经济和投资增长。</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县税务局</w:t>
      </w:r>
      <w:r>
        <w:rPr>
          <w:rFonts w:hint="eastAsia" w:ascii="楷体_GB2312" w:hAnsi="楷体_GB2312" w:eastAsia="楷体_GB2312" w:cs="楷体_GB2312"/>
          <w:snapToGrid w:val="0"/>
          <w:color w:val="333333"/>
          <w:kern w:val="0"/>
          <w:szCs w:val="32"/>
        </w:rPr>
        <w:t>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val="0"/>
          <w:color w:val="333333"/>
          <w:kern w:val="0"/>
          <w:szCs w:val="32"/>
        </w:rPr>
      </w:pPr>
      <w:r>
        <w:rPr>
          <w:rFonts w:hint="eastAsia" w:ascii="楷体_GB2312" w:hAnsi="楷体_GB2312" w:eastAsia="楷体_GB2312" w:cs="楷体_GB2312"/>
          <w:b/>
          <w:bCs/>
          <w:snapToGrid w:val="0"/>
          <w:color w:val="333333"/>
          <w:kern w:val="0"/>
          <w:szCs w:val="32"/>
        </w:rPr>
        <w:t>（七）</w:t>
      </w:r>
      <w:r>
        <w:rPr>
          <w:rFonts w:hint="eastAsia" w:ascii="楷体_GB2312" w:hAnsi="楷体_GB2312" w:eastAsia="楷体_GB2312" w:cs="楷体_GB2312"/>
          <w:b/>
          <w:bCs/>
          <w:snapToGrid w:val="0"/>
          <w:color w:val="333333"/>
          <w:kern w:val="0"/>
          <w:szCs w:val="32"/>
          <w:lang w:eastAsia="zh-CN"/>
        </w:rPr>
        <w:t>方便</w:t>
      </w:r>
      <w:r>
        <w:rPr>
          <w:rFonts w:hint="eastAsia" w:ascii="楷体_GB2312" w:hAnsi="楷体_GB2312" w:eastAsia="楷体_GB2312" w:cs="楷体_GB2312"/>
          <w:b/>
          <w:bCs/>
          <w:snapToGrid w:val="0"/>
          <w:color w:val="333333"/>
          <w:kern w:val="0"/>
          <w:szCs w:val="32"/>
        </w:rPr>
        <w:t>企业跨境</w:t>
      </w:r>
      <w:r>
        <w:rPr>
          <w:rFonts w:hint="eastAsia" w:ascii="楷体_GB2312" w:hAnsi="楷体_GB2312" w:eastAsia="楷体_GB2312" w:cs="楷体_GB2312"/>
          <w:b/>
          <w:bCs/>
          <w:snapToGrid w:val="0"/>
          <w:color w:val="333333"/>
          <w:kern w:val="0"/>
          <w:szCs w:val="32"/>
          <w:lang w:eastAsia="zh-CN"/>
        </w:rPr>
        <w:t>贸易</w:t>
      </w:r>
      <w:r>
        <w:rPr>
          <w:rFonts w:hint="eastAsia" w:ascii="楷体_GB2312" w:hAnsi="楷体_GB2312" w:eastAsia="楷体_GB2312" w:cs="楷体_GB2312"/>
          <w:b/>
          <w:bCs/>
          <w:snapToGrid w:val="0"/>
          <w:color w:val="333333"/>
          <w:kern w:val="0"/>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cs="仿宋_GB2312"/>
          <w:b/>
          <w:bCs/>
          <w:snapToGrid w:val="0"/>
          <w:kern w:val="0"/>
          <w:lang w:val="en-US" w:eastAsia="zh-CN"/>
        </w:rPr>
        <w:t>28</w:t>
      </w:r>
      <w:r>
        <w:rPr>
          <w:rFonts w:hint="eastAsia" w:ascii="仿宋_GB2312" w:hAnsi="仿宋_GB2312" w:eastAsia="仿宋_GB2312" w:cs="仿宋_GB2312"/>
          <w:b/>
          <w:bCs/>
          <w:snapToGrid w:val="0"/>
          <w:kern w:val="0"/>
        </w:rPr>
        <w:t>.提速办理时限。</w:t>
      </w:r>
      <w:r>
        <w:rPr>
          <w:rFonts w:hint="eastAsia" w:ascii="仿宋_GB2312" w:hAnsi="仿宋_GB2312" w:eastAsia="仿宋_GB2312" w:cs="仿宋_GB2312"/>
          <w:snapToGrid w:val="0"/>
          <w:kern w:val="0"/>
        </w:rPr>
        <w:t>企业申请办理的对外贸易经营者备案、原产地证申领人备案等</w:t>
      </w:r>
      <w:r>
        <w:rPr>
          <w:rFonts w:hint="eastAsia" w:ascii="仿宋_GB2312" w:hAnsi="仿宋_GB2312" w:cs="仿宋_GB2312"/>
          <w:snapToGrid w:val="0"/>
          <w:kern w:val="0"/>
          <w:lang w:eastAsia="zh-CN"/>
        </w:rPr>
        <w:t>，</w:t>
      </w:r>
      <w:r>
        <w:rPr>
          <w:rFonts w:hint="eastAsia" w:ascii="仿宋_GB2312" w:hAnsi="仿宋_GB2312" w:eastAsia="仿宋_GB2312" w:cs="仿宋_GB2312"/>
          <w:snapToGrid w:val="0"/>
          <w:kern w:val="0"/>
        </w:rPr>
        <w:t>依据行业管理规定</w:t>
      </w:r>
      <w:r>
        <w:rPr>
          <w:rFonts w:hint="eastAsia" w:ascii="仿宋_GB2312" w:hAnsi="仿宋_GB2312" w:cs="仿宋_GB2312"/>
          <w:snapToGrid w:val="0"/>
          <w:kern w:val="0"/>
          <w:lang w:eastAsia="zh-CN"/>
        </w:rPr>
        <w:t>，</w:t>
      </w:r>
      <w:r>
        <w:rPr>
          <w:rFonts w:hint="eastAsia" w:ascii="仿宋_GB2312" w:hAnsi="仿宋_GB2312" w:eastAsia="仿宋_GB2312" w:cs="仿宋_GB2312"/>
          <w:snapToGrid w:val="0"/>
          <w:kern w:val="0"/>
        </w:rPr>
        <w:t>在企业提交的主要材料完备的情况下当天办结相关单证</w:t>
      </w:r>
      <w:r>
        <w:rPr>
          <w:rFonts w:hint="eastAsia" w:ascii="仿宋_GB2312" w:hAnsi="仿宋_GB2312" w:cs="仿宋_GB2312"/>
          <w:snapToGrid w:val="0"/>
          <w:kern w:val="0"/>
          <w:lang w:eastAsia="zh-CN"/>
        </w:rPr>
        <w:t>，</w:t>
      </w:r>
      <w:r>
        <w:rPr>
          <w:rFonts w:hint="eastAsia" w:ascii="仿宋_GB2312" w:hAnsi="仿宋_GB2312" w:eastAsia="仿宋_GB2312" w:cs="仿宋_GB2312"/>
          <w:snapToGrid w:val="0"/>
          <w:kern w:val="0"/>
        </w:rPr>
        <w:t xml:space="preserve"> 而后再补齐相关材料。</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县交通运输局（商务和工信局）</w:t>
      </w:r>
      <w:r>
        <w:rPr>
          <w:rFonts w:hint="eastAsia" w:ascii="楷体_GB2312" w:hAnsi="楷体_GB2312" w:eastAsia="楷体_GB2312" w:cs="楷体_GB2312"/>
          <w:snapToGrid w:val="0"/>
          <w:color w:val="333333"/>
          <w:kern w:val="0"/>
          <w:szCs w:val="32"/>
        </w:rPr>
        <w:t>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val="0"/>
          <w:bCs w:val="0"/>
          <w:snapToGrid w:val="0"/>
          <w:color w:val="333333"/>
          <w:kern w:val="0"/>
          <w:szCs w:val="32"/>
        </w:rPr>
      </w:pPr>
      <w:r>
        <w:rPr>
          <w:rFonts w:hint="eastAsia" w:ascii="仿宋_GB2312" w:hAnsi="仿宋_GB2312" w:cs="仿宋_GB2312"/>
          <w:b/>
          <w:bCs/>
          <w:snapToGrid w:val="0"/>
          <w:kern w:val="0"/>
          <w:szCs w:val="22"/>
          <w:lang w:val="en-US" w:eastAsia="zh-CN"/>
        </w:rPr>
        <w:t>29</w:t>
      </w:r>
      <w:r>
        <w:rPr>
          <w:rFonts w:hint="eastAsia" w:ascii="仿宋_GB2312" w:hAnsi="仿宋_GB2312" w:eastAsia="仿宋_GB2312" w:cs="仿宋_GB2312"/>
          <w:b/>
          <w:bCs/>
          <w:snapToGrid w:val="0"/>
          <w:kern w:val="0"/>
          <w:szCs w:val="22"/>
        </w:rPr>
        <w:t>.出口退（免）税无纸化申报。</w:t>
      </w:r>
      <w:r>
        <w:rPr>
          <w:rFonts w:hint="eastAsia" w:ascii="仿宋_GB2312" w:hAnsi="仿宋_GB2312" w:eastAsia="仿宋_GB2312" w:cs="仿宋_GB2312"/>
          <w:snapToGrid w:val="0"/>
          <w:kern w:val="0"/>
          <w:szCs w:val="22"/>
        </w:rPr>
        <w:t>对符合条件且自愿参与试点的纳税人进行专题培训，帮助企业适应最新退税管理模式，让信息多跑路，让企业少跑路，降低办税成本，提高退税效率和企业资金周转效率。到2018年底前实现：一类出口企业4个工作日、二类出口企业8个工作日、三类出口企业11个工作日内办结出口退（免）税手续；到2020年底前实现：一类出口企业2个工作日、二类出口企业6个工作日、三类出口企业8个工作日内办结出口退（免）税手续。</w:t>
      </w:r>
      <w:r>
        <w:rPr>
          <w:rFonts w:hint="eastAsia" w:ascii="楷体_GB2312" w:hAnsi="楷体_GB2312" w:eastAsia="楷体_GB2312" w:cs="楷体_GB2312"/>
          <w:b w:val="0"/>
          <w:bCs w:val="0"/>
          <w:snapToGrid w:val="0"/>
          <w:color w:val="333333"/>
          <w:kern w:val="0"/>
          <w:szCs w:val="32"/>
        </w:rPr>
        <w:t>（</w:t>
      </w:r>
      <w:r>
        <w:rPr>
          <w:rFonts w:hint="eastAsia" w:ascii="楷体_GB2312" w:hAnsi="楷体_GB2312" w:eastAsia="楷体_GB2312" w:cs="楷体_GB2312"/>
          <w:b w:val="0"/>
          <w:bCs w:val="0"/>
          <w:snapToGrid w:val="0"/>
          <w:color w:val="333333"/>
          <w:kern w:val="0"/>
          <w:szCs w:val="32"/>
          <w:lang w:eastAsia="zh-CN"/>
        </w:rPr>
        <w:t>县</w:t>
      </w:r>
      <w:r>
        <w:rPr>
          <w:rFonts w:hint="eastAsia" w:ascii="楷体_GB2312" w:hAnsi="楷体_GB2312" w:eastAsia="楷体_GB2312" w:cs="楷体_GB2312"/>
          <w:b w:val="0"/>
          <w:bCs w:val="0"/>
          <w:snapToGrid w:val="0"/>
          <w:color w:val="333333"/>
          <w:kern w:val="0"/>
          <w:szCs w:val="32"/>
        </w:rPr>
        <w:t>税</w:t>
      </w:r>
      <w:r>
        <w:rPr>
          <w:rFonts w:hint="eastAsia" w:ascii="楷体_GB2312" w:hAnsi="楷体_GB2312" w:eastAsia="楷体_GB2312" w:cs="楷体_GB2312"/>
          <w:b w:val="0"/>
          <w:bCs w:val="0"/>
          <w:snapToGrid w:val="0"/>
          <w:color w:val="333333"/>
          <w:kern w:val="0"/>
          <w:szCs w:val="32"/>
          <w:lang w:eastAsia="zh-CN"/>
        </w:rPr>
        <w:t>务</w:t>
      </w:r>
      <w:r>
        <w:rPr>
          <w:rFonts w:hint="eastAsia" w:ascii="楷体_GB2312" w:hAnsi="楷体_GB2312" w:eastAsia="楷体_GB2312" w:cs="楷体_GB2312"/>
          <w:b w:val="0"/>
          <w:bCs w:val="0"/>
          <w:snapToGrid w:val="0"/>
          <w:color w:val="333333"/>
          <w:kern w:val="0"/>
          <w:szCs w:val="32"/>
        </w:rPr>
        <w:t>局负责）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val="0"/>
          <w:bCs w:val="0"/>
          <w:snapToGrid w:val="0"/>
          <w:color w:val="333333"/>
          <w:kern w:val="0"/>
          <w:szCs w:val="32"/>
          <w:lang w:eastAsia="zh-CN"/>
        </w:rPr>
      </w:pPr>
      <w:r>
        <w:rPr>
          <w:rFonts w:hint="eastAsia" w:ascii="仿宋_GB2312" w:hAnsi="仿宋_GB2312" w:cs="仿宋_GB2312"/>
          <w:b/>
          <w:bCs/>
          <w:snapToGrid w:val="0"/>
          <w:kern w:val="0"/>
          <w:szCs w:val="22"/>
          <w:lang w:val="en-US" w:eastAsia="zh-CN"/>
        </w:rPr>
        <w:t>30</w:t>
      </w:r>
      <w:r>
        <w:rPr>
          <w:rFonts w:hint="eastAsia" w:ascii="仿宋_GB2312" w:hAnsi="仿宋_GB2312" w:eastAsia="仿宋_GB2312" w:cs="仿宋_GB2312"/>
          <w:b/>
          <w:bCs/>
          <w:snapToGrid w:val="0"/>
          <w:kern w:val="0"/>
          <w:szCs w:val="22"/>
        </w:rPr>
        <w:t>.市场准入和对外开放扩大范围。</w:t>
      </w:r>
      <w:r>
        <w:rPr>
          <w:rFonts w:hint="eastAsia" w:ascii="仿宋_GB2312" w:hAnsi="仿宋_GB2312" w:eastAsia="仿宋_GB2312" w:cs="仿宋_GB2312"/>
          <w:snapToGrid w:val="0"/>
          <w:kern w:val="0"/>
          <w:szCs w:val="22"/>
        </w:rPr>
        <w:t>全面实施准入前国民待遇加负面清单管理制度。</w:t>
      </w:r>
      <w:r>
        <w:rPr>
          <w:rFonts w:hint="eastAsia" w:ascii="楷体_GB2312" w:hAnsi="楷体_GB2312" w:eastAsia="楷体_GB2312" w:cs="楷体_GB2312"/>
          <w:b w:val="0"/>
          <w:bCs w:val="0"/>
          <w:snapToGrid w:val="0"/>
          <w:color w:val="333333"/>
          <w:kern w:val="0"/>
          <w:szCs w:val="32"/>
        </w:rPr>
        <w:t>(</w:t>
      </w:r>
      <w:r>
        <w:rPr>
          <w:rFonts w:hint="eastAsia" w:ascii="楷体_GB2312" w:hAnsi="楷体_GB2312" w:eastAsia="楷体_GB2312" w:cs="楷体_GB2312"/>
          <w:b w:val="0"/>
          <w:bCs w:val="0"/>
          <w:snapToGrid w:val="0"/>
          <w:color w:val="333333"/>
          <w:kern w:val="0"/>
          <w:szCs w:val="32"/>
          <w:lang w:eastAsia="zh-CN"/>
        </w:rPr>
        <w:t>县交通运输局（</w:t>
      </w:r>
      <w:r>
        <w:rPr>
          <w:rFonts w:hint="eastAsia" w:ascii="楷体_GB2312" w:hAnsi="楷体_GB2312" w:eastAsia="楷体_GB2312" w:cs="楷体_GB2312"/>
          <w:b w:val="0"/>
          <w:bCs w:val="0"/>
          <w:snapToGrid w:val="0"/>
          <w:color w:val="333333"/>
          <w:kern w:val="0"/>
          <w:szCs w:val="32"/>
        </w:rPr>
        <w:t>商务</w:t>
      </w:r>
      <w:r>
        <w:rPr>
          <w:rFonts w:hint="eastAsia" w:ascii="楷体_GB2312" w:hAnsi="楷体_GB2312" w:eastAsia="楷体_GB2312" w:cs="楷体_GB2312"/>
          <w:b w:val="0"/>
          <w:bCs w:val="0"/>
          <w:snapToGrid w:val="0"/>
          <w:color w:val="333333"/>
          <w:kern w:val="0"/>
          <w:szCs w:val="32"/>
          <w:lang w:eastAsia="zh-CN"/>
        </w:rPr>
        <w:t>和工信</w:t>
      </w:r>
      <w:r>
        <w:rPr>
          <w:rFonts w:hint="eastAsia" w:ascii="楷体_GB2312" w:hAnsi="楷体_GB2312" w:eastAsia="楷体_GB2312" w:cs="楷体_GB2312"/>
          <w:b w:val="0"/>
          <w:bCs w:val="0"/>
          <w:snapToGrid w:val="0"/>
          <w:color w:val="333333"/>
          <w:kern w:val="0"/>
          <w:szCs w:val="32"/>
        </w:rPr>
        <w:t>局</w:t>
      </w:r>
      <w:r>
        <w:rPr>
          <w:rFonts w:hint="eastAsia" w:ascii="楷体_GB2312" w:hAnsi="楷体_GB2312" w:eastAsia="楷体_GB2312" w:cs="楷体_GB2312"/>
          <w:b w:val="0"/>
          <w:bCs w:val="0"/>
          <w:snapToGrid w:val="0"/>
          <w:color w:val="333333"/>
          <w:kern w:val="0"/>
          <w:szCs w:val="32"/>
          <w:lang w:eastAsia="zh-CN"/>
        </w:rPr>
        <w:t>）</w:t>
      </w:r>
      <w:r>
        <w:rPr>
          <w:rFonts w:hint="eastAsia" w:ascii="楷体_GB2312" w:hAnsi="楷体_GB2312" w:eastAsia="楷体_GB2312" w:cs="楷体_GB2312"/>
          <w:b w:val="0"/>
          <w:bCs w:val="0"/>
          <w:snapToGrid w:val="0"/>
          <w:color w:val="333333"/>
          <w:kern w:val="0"/>
          <w:szCs w:val="32"/>
        </w:rPr>
        <w:t>负责</w:t>
      </w:r>
      <w:r>
        <w:rPr>
          <w:rFonts w:hint="eastAsia" w:ascii="楷体_GB2312" w:hAnsi="楷体_GB2312" w:eastAsia="楷体_GB2312" w:cs="楷体_GB2312"/>
          <w:b w:val="0"/>
          <w:bCs w:val="0"/>
          <w:snapToGrid w:val="0"/>
          <w:color w:val="333333"/>
          <w:kern w:val="0"/>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napToGrid w:val="0"/>
          <w:color w:val="333333"/>
          <w:kern w:val="0"/>
          <w:szCs w:val="32"/>
        </w:rPr>
      </w:pPr>
      <w:r>
        <w:rPr>
          <w:rFonts w:hint="eastAsia" w:ascii="楷体_GB2312" w:hAnsi="楷体_GB2312" w:eastAsia="楷体_GB2312" w:cs="楷体_GB2312"/>
          <w:b/>
          <w:bCs/>
          <w:snapToGrid w:val="0"/>
          <w:color w:val="333333"/>
          <w:kern w:val="0"/>
          <w:szCs w:val="32"/>
        </w:rPr>
        <w:t>（八）降低企业运行成本。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snapToGrid w:val="0"/>
          <w:kern w:val="0"/>
          <w:szCs w:val="22"/>
          <w:lang w:val="en-US" w:eastAsia="zh-CN"/>
        </w:rPr>
        <w:t>3</w:t>
      </w:r>
      <w:r>
        <w:rPr>
          <w:rFonts w:hint="eastAsia" w:ascii="仿宋_GB2312" w:hAnsi="仿宋_GB2312" w:cs="仿宋_GB2312"/>
          <w:snapToGrid w:val="0"/>
          <w:kern w:val="0"/>
          <w:szCs w:val="22"/>
          <w:lang w:val="en-US" w:eastAsia="zh-CN"/>
        </w:rPr>
        <w:t>1</w:t>
      </w:r>
      <w:r>
        <w:rPr>
          <w:rFonts w:hint="eastAsia" w:ascii="仿宋_GB2312" w:hAnsi="仿宋_GB2312" w:eastAsia="仿宋_GB2312" w:cs="仿宋_GB2312"/>
          <w:snapToGrid w:val="0"/>
          <w:kern w:val="0"/>
          <w:szCs w:val="22"/>
          <w:lang w:val="en-US" w:eastAsia="zh-CN"/>
        </w:rPr>
        <w:t>.</w:t>
      </w:r>
      <w:r>
        <w:rPr>
          <w:rFonts w:hint="eastAsia" w:ascii="仿宋_GB2312" w:hAnsi="仿宋_GB2312" w:eastAsia="仿宋_GB2312" w:cs="仿宋_GB2312"/>
          <w:snapToGrid w:val="0"/>
          <w:kern w:val="0"/>
          <w:szCs w:val="22"/>
        </w:rPr>
        <w:t>坚持收费项目清单制管理和公示制度，降低企业非税负担，持续开展减税降费行动，2018年底，实现</w:t>
      </w:r>
      <w:r>
        <w:rPr>
          <w:rFonts w:hint="eastAsia" w:ascii="仿宋_GB2312" w:hAnsi="仿宋_GB2312" w:eastAsia="仿宋_GB2312" w:cs="仿宋_GB2312"/>
          <w:snapToGrid w:val="0"/>
          <w:kern w:val="0"/>
          <w:szCs w:val="22"/>
          <w:lang w:eastAsia="zh-CN"/>
        </w:rPr>
        <w:t>县</w:t>
      </w:r>
      <w:r>
        <w:rPr>
          <w:rFonts w:hint="eastAsia" w:ascii="仿宋_GB2312" w:hAnsi="仿宋_GB2312" w:eastAsia="仿宋_GB2312" w:cs="仿宋_GB2312"/>
          <w:snapToGrid w:val="0"/>
          <w:kern w:val="0"/>
          <w:szCs w:val="22"/>
        </w:rPr>
        <w:t>级涉企“零收费”的目标。</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财政局、物价局按</w:t>
      </w:r>
      <w:r>
        <w:rPr>
          <w:rFonts w:hint="eastAsia" w:ascii="楷体_GB2312" w:hAnsi="楷体_GB2312" w:eastAsia="楷体_GB2312" w:cs="楷体_GB2312"/>
          <w:snapToGrid w:val="0"/>
          <w:color w:val="333333"/>
          <w:kern w:val="0"/>
          <w:szCs w:val="32"/>
          <w:lang w:eastAsia="zh-CN"/>
        </w:rPr>
        <w:t>照</w:t>
      </w:r>
      <w:r>
        <w:rPr>
          <w:rFonts w:hint="eastAsia" w:ascii="楷体_GB2312" w:hAnsi="楷体_GB2312" w:eastAsia="楷体_GB2312" w:cs="楷体_GB2312"/>
          <w:snapToGrid w:val="0"/>
          <w:color w:val="333333"/>
          <w:kern w:val="0"/>
          <w:szCs w:val="32"/>
        </w:rPr>
        <w:t>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snapToGrid w:val="0"/>
          <w:kern w:val="0"/>
          <w:szCs w:val="22"/>
          <w:lang w:val="en-US" w:eastAsia="zh-CN"/>
        </w:rPr>
        <w:t>3</w:t>
      </w:r>
      <w:r>
        <w:rPr>
          <w:rFonts w:hint="eastAsia" w:ascii="仿宋_GB2312" w:hAnsi="仿宋_GB2312" w:cs="仿宋_GB2312"/>
          <w:snapToGrid w:val="0"/>
          <w:kern w:val="0"/>
          <w:szCs w:val="22"/>
          <w:lang w:val="en-US" w:eastAsia="zh-CN"/>
        </w:rPr>
        <w:t>2</w:t>
      </w:r>
      <w:r>
        <w:rPr>
          <w:rFonts w:hint="eastAsia" w:ascii="仿宋_GB2312" w:hAnsi="仿宋_GB2312" w:eastAsia="仿宋_GB2312" w:cs="仿宋_GB2312"/>
          <w:snapToGrid w:val="0"/>
          <w:kern w:val="0"/>
          <w:szCs w:val="22"/>
          <w:lang w:val="en-US" w:eastAsia="zh-CN"/>
        </w:rPr>
        <w:t>.严格涉企保证金清单制管理，中省市清单之外的保证金、保障金、抵押金和担保金等一律不得收取。2018年8月前，公布涉企保证金目录清单并实行常态化公示和年度动态更新。</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县交通运输局（商务和</w:t>
      </w:r>
      <w:r>
        <w:rPr>
          <w:rFonts w:hint="eastAsia" w:ascii="楷体_GB2312" w:hAnsi="楷体_GB2312" w:eastAsia="楷体_GB2312" w:cs="楷体_GB2312"/>
          <w:snapToGrid w:val="0"/>
          <w:color w:val="333333"/>
          <w:kern w:val="0"/>
          <w:szCs w:val="32"/>
        </w:rPr>
        <w:t>工信局</w:t>
      </w:r>
      <w:r>
        <w:rPr>
          <w:rFonts w:hint="eastAsia" w:ascii="楷体_GB2312" w:hAnsi="楷体_GB2312" w:eastAsia="楷体_GB2312" w:cs="楷体_GB2312"/>
          <w:snapToGrid w:val="0"/>
          <w:color w:val="333333"/>
          <w:kern w:val="0"/>
          <w:szCs w:val="32"/>
          <w:lang w:val="en-US" w:eastAsia="zh-CN"/>
        </w:rPr>
        <w:t>)</w:t>
      </w:r>
      <w:r>
        <w:rPr>
          <w:rFonts w:hint="eastAsia" w:ascii="楷体_GB2312" w:hAnsi="楷体_GB2312" w:eastAsia="楷体_GB2312" w:cs="楷体_GB2312"/>
          <w:snapToGrid w:val="0"/>
          <w:color w:val="333333"/>
          <w:kern w:val="0"/>
          <w:szCs w:val="32"/>
        </w:rPr>
        <w:t>、财政局按</w:t>
      </w:r>
      <w:r>
        <w:rPr>
          <w:rFonts w:hint="eastAsia" w:ascii="楷体_GB2312" w:hAnsi="楷体_GB2312" w:eastAsia="楷体_GB2312" w:cs="楷体_GB2312"/>
          <w:snapToGrid w:val="0"/>
          <w:color w:val="333333"/>
          <w:kern w:val="0"/>
          <w:szCs w:val="32"/>
          <w:lang w:eastAsia="zh-CN"/>
        </w:rPr>
        <w:t>照</w:t>
      </w:r>
      <w:r>
        <w:rPr>
          <w:rFonts w:hint="eastAsia" w:ascii="楷体_GB2312" w:hAnsi="楷体_GB2312" w:eastAsia="楷体_GB2312" w:cs="楷体_GB2312"/>
          <w:snapToGrid w:val="0"/>
          <w:color w:val="333333"/>
          <w:kern w:val="0"/>
          <w:szCs w:val="32"/>
        </w:rPr>
        <w:t>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snapToGrid w:val="0"/>
          <w:kern w:val="0"/>
          <w:szCs w:val="22"/>
          <w:lang w:val="en-US" w:eastAsia="zh-CN"/>
        </w:rPr>
        <w:t>3</w:t>
      </w:r>
      <w:r>
        <w:rPr>
          <w:rFonts w:hint="eastAsia" w:ascii="仿宋_GB2312" w:hAnsi="仿宋_GB2312" w:cs="仿宋_GB2312"/>
          <w:snapToGrid w:val="0"/>
          <w:kern w:val="0"/>
          <w:szCs w:val="22"/>
          <w:lang w:val="en-US" w:eastAsia="zh-CN"/>
        </w:rPr>
        <w:t>3</w:t>
      </w:r>
      <w:r>
        <w:rPr>
          <w:rFonts w:hint="eastAsia" w:ascii="仿宋_GB2312" w:hAnsi="仿宋_GB2312" w:eastAsia="仿宋_GB2312" w:cs="仿宋_GB2312"/>
          <w:snapToGrid w:val="0"/>
          <w:kern w:val="0"/>
          <w:szCs w:val="22"/>
          <w:lang w:val="en-US" w:eastAsia="zh-CN"/>
        </w:rPr>
        <w:t>.加强人才引进和培育奖励工作，全县从2018年起落实人才引进和培育奖励，鼓励企业吸引省内外高层次人才。</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财政局、人社局牵头负责，</w:t>
      </w:r>
      <w:r>
        <w:rPr>
          <w:rFonts w:hint="eastAsia" w:ascii="楷体_GB2312" w:hAnsi="楷体_GB2312" w:eastAsia="楷体_GB2312" w:cs="楷体_GB2312"/>
          <w:snapToGrid w:val="0"/>
          <w:color w:val="333333"/>
          <w:kern w:val="0"/>
          <w:szCs w:val="32"/>
          <w:lang w:eastAsia="zh-CN"/>
        </w:rPr>
        <w:t>各镇、</w:t>
      </w:r>
      <w:r>
        <w:rPr>
          <w:rFonts w:hint="eastAsia" w:ascii="楷体_GB2312" w:hAnsi="楷体_GB2312" w:eastAsia="楷体_GB2312" w:cs="楷体_GB2312"/>
          <w:snapToGrid w:val="0"/>
          <w:color w:val="333333"/>
          <w:kern w:val="0"/>
          <w:szCs w:val="32"/>
        </w:rPr>
        <w:t>各相关</w:t>
      </w:r>
      <w:r>
        <w:rPr>
          <w:rFonts w:hint="eastAsia" w:ascii="楷体_GB2312" w:hAnsi="楷体_GB2312" w:eastAsia="楷体_GB2312" w:cs="楷体_GB2312"/>
          <w:snapToGrid w:val="0"/>
          <w:color w:val="333333"/>
          <w:kern w:val="0"/>
          <w:szCs w:val="32"/>
          <w:lang w:eastAsia="zh-CN"/>
        </w:rPr>
        <w:t>部门</w:t>
      </w:r>
      <w:r>
        <w:rPr>
          <w:rFonts w:hint="eastAsia" w:ascii="楷体_GB2312" w:hAnsi="楷体_GB2312" w:eastAsia="楷体_GB2312" w:cs="楷体_GB2312"/>
          <w:snapToGrid w:val="0"/>
          <w:color w:val="333333"/>
          <w:kern w:val="0"/>
          <w:szCs w:val="32"/>
        </w:rPr>
        <w:t>按</w:t>
      </w:r>
      <w:r>
        <w:rPr>
          <w:rFonts w:hint="eastAsia" w:ascii="楷体_GB2312" w:hAnsi="楷体_GB2312" w:eastAsia="楷体_GB2312" w:cs="楷体_GB2312"/>
          <w:snapToGrid w:val="0"/>
          <w:color w:val="333333"/>
          <w:kern w:val="0"/>
          <w:szCs w:val="32"/>
          <w:lang w:eastAsia="zh-CN"/>
        </w:rPr>
        <w:t>照</w:t>
      </w:r>
      <w:r>
        <w:rPr>
          <w:rFonts w:hint="eastAsia" w:ascii="楷体_GB2312" w:hAnsi="楷体_GB2312" w:eastAsia="楷体_GB2312" w:cs="楷体_GB2312"/>
          <w:snapToGrid w:val="0"/>
          <w:color w:val="333333"/>
          <w:kern w:val="0"/>
          <w:szCs w:val="32"/>
        </w:rPr>
        <w:t>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b/>
          <w:bCs/>
          <w:snapToGrid w:val="0"/>
          <w:kern w:val="0"/>
          <w:szCs w:val="22"/>
          <w:lang w:val="en-US" w:eastAsia="zh-CN"/>
        </w:rPr>
        <w:t>3</w:t>
      </w:r>
      <w:r>
        <w:rPr>
          <w:rFonts w:hint="eastAsia" w:ascii="仿宋_GB2312" w:hAnsi="仿宋_GB2312" w:cs="仿宋_GB2312"/>
          <w:b/>
          <w:bCs/>
          <w:snapToGrid w:val="0"/>
          <w:kern w:val="0"/>
          <w:szCs w:val="22"/>
          <w:lang w:val="en-US" w:eastAsia="zh-CN"/>
        </w:rPr>
        <w:t>4</w:t>
      </w:r>
      <w:r>
        <w:rPr>
          <w:rFonts w:hint="eastAsia" w:ascii="仿宋_GB2312" w:hAnsi="仿宋_GB2312" w:eastAsia="仿宋_GB2312" w:cs="仿宋_GB2312"/>
          <w:b/>
          <w:bCs/>
          <w:snapToGrid w:val="0"/>
          <w:kern w:val="0"/>
          <w:szCs w:val="22"/>
          <w:lang w:val="en-US" w:eastAsia="zh-CN"/>
        </w:rPr>
        <w:t>.扩大直供电交易规模。</w:t>
      </w:r>
      <w:r>
        <w:rPr>
          <w:rFonts w:hint="eastAsia" w:ascii="仿宋_GB2312" w:hAnsi="仿宋_GB2312" w:eastAsia="仿宋_GB2312" w:cs="仿宋_GB2312"/>
          <w:snapToGrid w:val="0"/>
          <w:kern w:val="0"/>
          <w:szCs w:val="22"/>
          <w:lang w:val="en-US" w:eastAsia="zh-CN"/>
        </w:rPr>
        <w:t>持续降低企业用能成本，严格执行中省电力价格调整政策和峰谷阶段电价政策。</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发改</w:t>
      </w:r>
      <w:r>
        <w:rPr>
          <w:rFonts w:hint="eastAsia" w:ascii="楷体_GB2312" w:hAnsi="楷体_GB2312" w:eastAsia="楷体_GB2312" w:cs="楷体_GB2312"/>
          <w:snapToGrid w:val="0"/>
          <w:color w:val="333333"/>
          <w:kern w:val="0"/>
          <w:szCs w:val="32"/>
          <w:lang w:eastAsia="zh-CN"/>
        </w:rPr>
        <w:t>局</w:t>
      </w:r>
      <w:r>
        <w:rPr>
          <w:rFonts w:hint="eastAsia" w:ascii="楷体_GB2312" w:hAnsi="楷体_GB2312" w:eastAsia="楷体_GB2312" w:cs="楷体_GB2312"/>
          <w:snapToGrid w:val="0"/>
          <w:color w:val="333333"/>
          <w:kern w:val="0"/>
          <w:szCs w:val="32"/>
        </w:rPr>
        <w:t>、住建局、物价局按</w:t>
      </w:r>
      <w:r>
        <w:rPr>
          <w:rFonts w:hint="eastAsia" w:ascii="楷体_GB2312" w:hAnsi="楷体_GB2312" w:eastAsia="楷体_GB2312" w:cs="楷体_GB2312"/>
          <w:snapToGrid w:val="0"/>
          <w:color w:val="333333"/>
          <w:kern w:val="0"/>
          <w:szCs w:val="32"/>
          <w:lang w:eastAsia="zh-CN"/>
        </w:rPr>
        <w:t>照</w:t>
      </w:r>
      <w:r>
        <w:rPr>
          <w:rFonts w:hint="eastAsia" w:ascii="楷体_GB2312" w:hAnsi="楷体_GB2312" w:eastAsia="楷体_GB2312" w:cs="楷体_GB2312"/>
          <w:snapToGrid w:val="0"/>
          <w:color w:val="333333"/>
          <w:kern w:val="0"/>
          <w:szCs w:val="32"/>
        </w:rPr>
        <w:t>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b/>
          <w:bCs/>
          <w:snapToGrid w:val="0"/>
          <w:kern w:val="0"/>
          <w:szCs w:val="22"/>
          <w:lang w:val="en-US" w:eastAsia="zh-CN"/>
        </w:rPr>
        <w:t>3</w:t>
      </w:r>
      <w:r>
        <w:rPr>
          <w:rFonts w:hint="eastAsia" w:ascii="仿宋_GB2312" w:hAnsi="仿宋_GB2312" w:cs="仿宋_GB2312"/>
          <w:b/>
          <w:bCs/>
          <w:snapToGrid w:val="0"/>
          <w:kern w:val="0"/>
          <w:szCs w:val="22"/>
          <w:lang w:val="en-US" w:eastAsia="zh-CN"/>
        </w:rPr>
        <w:t>5</w:t>
      </w:r>
      <w:r>
        <w:rPr>
          <w:rFonts w:hint="eastAsia" w:ascii="仿宋_GB2312" w:hAnsi="仿宋_GB2312" w:eastAsia="仿宋_GB2312" w:cs="仿宋_GB2312"/>
          <w:b/>
          <w:bCs/>
          <w:snapToGrid w:val="0"/>
          <w:kern w:val="0"/>
          <w:szCs w:val="22"/>
          <w:lang w:val="en-US" w:eastAsia="zh-CN"/>
        </w:rPr>
        <w:t>.加强社会组织管理。</w:t>
      </w:r>
      <w:r>
        <w:rPr>
          <w:rFonts w:hint="eastAsia" w:ascii="仿宋_GB2312" w:hAnsi="仿宋_GB2312" w:eastAsia="仿宋_GB2312" w:cs="仿宋_GB2312"/>
          <w:snapToGrid w:val="0"/>
          <w:kern w:val="0"/>
          <w:szCs w:val="22"/>
          <w:lang w:val="en-US" w:eastAsia="zh-CN"/>
        </w:rPr>
        <w:t>严格执行行政许可中介服务收费目录清单管理，公布《太白县行政许可中介服务收费目录清单》和举报电话，实行常态化公示和年度动态更新。</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民政局、发改</w:t>
      </w:r>
      <w:r>
        <w:rPr>
          <w:rFonts w:hint="eastAsia" w:ascii="楷体_GB2312" w:hAnsi="楷体_GB2312" w:eastAsia="楷体_GB2312" w:cs="楷体_GB2312"/>
          <w:snapToGrid w:val="0"/>
          <w:color w:val="333333"/>
          <w:kern w:val="0"/>
          <w:szCs w:val="32"/>
          <w:lang w:eastAsia="zh-CN"/>
        </w:rPr>
        <w:t>局</w:t>
      </w:r>
      <w:r>
        <w:rPr>
          <w:rFonts w:hint="eastAsia" w:ascii="楷体_GB2312" w:hAnsi="楷体_GB2312" w:eastAsia="楷体_GB2312" w:cs="楷体_GB2312"/>
          <w:snapToGrid w:val="0"/>
          <w:color w:val="333333"/>
          <w:kern w:val="0"/>
          <w:szCs w:val="32"/>
        </w:rPr>
        <w:t>按</w:t>
      </w:r>
      <w:r>
        <w:rPr>
          <w:rFonts w:hint="eastAsia" w:ascii="楷体_GB2312" w:hAnsi="楷体_GB2312" w:eastAsia="楷体_GB2312" w:cs="楷体_GB2312"/>
          <w:snapToGrid w:val="0"/>
          <w:color w:val="333333"/>
          <w:kern w:val="0"/>
          <w:szCs w:val="32"/>
          <w:lang w:eastAsia="zh-CN"/>
        </w:rPr>
        <w:t>照职责</w:t>
      </w:r>
      <w:r>
        <w:rPr>
          <w:rFonts w:hint="eastAsia" w:ascii="楷体_GB2312" w:hAnsi="楷体_GB2312" w:eastAsia="楷体_GB2312" w:cs="楷体_GB2312"/>
          <w:snapToGrid w:val="0"/>
          <w:color w:val="333333"/>
          <w:kern w:val="0"/>
          <w:szCs w:val="32"/>
        </w:rPr>
        <w:t>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仿宋_GB2312" w:hAnsi="仿宋_GB2312" w:eastAsia="仿宋_GB2312" w:cs="仿宋_GB2312"/>
          <w:b/>
          <w:bCs/>
          <w:snapToGrid w:val="0"/>
          <w:kern w:val="0"/>
          <w:szCs w:val="22"/>
          <w:lang w:val="en-US" w:eastAsia="zh-CN"/>
        </w:rPr>
        <w:t>3</w:t>
      </w:r>
      <w:r>
        <w:rPr>
          <w:rFonts w:hint="eastAsia" w:ascii="仿宋_GB2312" w:hAnsi="仿宋_GB2312" w:cs="仿宋_GB2312"/>
          <w:b/>
          <w:bCs/>
          <w:snapToGrid w:val="0"/>
          <w:kern w:val="0"/>
          <w:szCs w:val="22"/>
          <w:lang w:val="en-US" w:eastAsia="zh-CN"/>
        </w:rPr>
        <w:t>6</w:t>
      </w:r>
      <w:r>
        <w:rPr>
          <w:rFonts w:hint="eastAsia" w:ascii="仿宋_GB2312" w:hAnsi="仿宋_GB2312" w:eastAsia="仿宋_GB2312" w:cs="仿宋_GB2312"/>
          <w:b/>
          <w:bCs/>
          <w:snapToGrid w:val="0"/>
          <w:kern w:val="0"/>
          <w:szCs w:val="22"/>
          <w:lang w:val="en-US" w:eastAsia="zh-CN"/>
        </w:rPr>
        <w:t>.加大清理偿还政府欠款工作力度。</w:t>
      </w:r>
      <w:r>
        <w:rPr>
          <w:rFonts w:hint="eastAsia" w:ascii="仿宋_GB2312" w:hAnsi="仿宋_GB2312" w:eastAsia="仿宋_GB2312" w:cs="仿宋_GB2312"/>
          <w:snapToGrid w:val="0"/>
          <w:kern w:val="0"/>
          <w:szCs w:val="22"/>
          <w:lang w:val="en-US" w:eastAsia="zh-CN"/>
        </w:rPr>
        <w:t>全面梳理政府和部门拖欠企业的工程款和物资采购款，汇总后制定偿还计划，明确时间节点，两年内偿还到位。</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财政局、住建局、</w:t>
      </w:r>
      <w:r>
        <w:rPr>
          <w:rFonts w:hint="eastAsia" w:ascii="楷体_GB2312" w:hAnsi="楷体_GB2312" w:eastAsia="楷体_GB2312" w:cs="楷体_GB2312"/>
          <w:snapToGrid w:val="0"/>
          <w:color w:val="333333"/>
          <w:kern w:val="0"/>
          <w:szCs w:val="32"/>
          <w:lang w:eastAsia="zh-CN"/>
        </w:rPr>
        <w:t>交通运输局（商务和</w:t>
      </w:r>
      <w:r>
        <w:rPr>
          <w:rFonts w:hint="eastAsia" w:ascii="楷体_GB2312" w:hAnsi="楷体_GB2312" w:eastAsia="楷体_GB2312" w:cs="楷体_GB2312"/>
          <w:snapToGrid w:val="0"/>
          <w:color w:val="333333"/>
          <w:kern w:val="0"/>
          <w:szCs w:val="32"/>
        </w:rPr>
        <w:t>工信局</w:t>
      </w:r>
      <w:r>
        <w:rPr>
          <w:rFonts w:hint="eastAsia" w:ascii="楷体_GB2312" w:hAnsi="楷体_GB2312" w:eastAsia="楷体_GB2312" w:cs="楷体_GB2312"/>
          <w:snapToGrid w:val="0"/>
          <w:color w:val="333333"/>
          <w:kern w:val="0"/>
          <w:szCs w:val="32"/>
          <w:lang w:val="en-US" w:eastAsia="zh-CN"/>
        </w:rPr>
        <w:t>)</w:t>
      </w:r>
      <w:r>
        <w:rPr>
          <w:rFonts w:hint="eastAsia" w:ascii="楷体_GB2312" w:hAnsi="楷体_GB2312" w:eastAsia="楷体_GB2312" w:cs="楷体_GB2312"/>
          <w:snapToGrid w:val="0"/>
          <w:color w:val="333333"/>
          <w:kern w:val="0"/>
          <w:szCs w:val="32"/>
        </w:rPr>
        <w:t>、发改</w:t>
      </w:r>
      <w:r>
        <w:rPr>
          <w:rFonts w:hint="eastAsia" w:ascii="楷体_GB2312" w:hAnsi="楷体_GB2312" w:eastAsia="楷体_GB2312" w:cs="楷体_GB2312"/>
          <w:snapToGrid w:val="0"/>
          <w:color w:val="333333"/>
          <w:kern w:val="0"/>
          <w:szCs w:val="32"/>
          <w:lang w:eastAsia="zh-CN"/>
        </w:rPr>
        <w:t>局</w:t>
      </w:r>
      <w:r>
        <w:rPr>
          <w:rFonts w:hint="eastAsia" w:ascii="楷体_GB2312" w:hAnsi="楷体_GB2312" w:eastAsia="楷体_GB2312" w:cs="楷体_GB2312"/>
          <w:snapToGrid w:val="0"/>
          <w:color w:val="333333"/>
          <w:kern w:val="0"/>
          <w:szCs w:val="32"/>
        </w:rPr>
        <w:t>、各</w:t>
      </w:r>
      <w:r>
        <w:rPr>
          <w:rFonts w:hint="eastAsia" w:ascii="楷体_GB2312" w:hAnsi="楷体_GB2312" w:eastAsia="楷体_GB2312" w:cs="楷体_GB2312"/>
          <w:snapToGrid w:val="0"/>
          <w:color w:val="333333"/>
          <w:kern w:val="0"/>
          <w:szCs w:val="32"/>
          <w:lang w:eastAsia="zh-CN"/>
        </w:rPr>
        <w:t>镇</w:t>
      </w:r>
      <w:r>
        <w:rPr>
          <w:rFonts w:hint="eastAsia" w:ascii="楷体_GB2312" w:hAnsi="楷体_GB2312" w:eastAsia="楷体_GB2312" w:cs="楷体_GB2312"/>
          <w:snapToGrid w:val="0"/>
          <w:color w:val="333333"/>
          <w:kern w:val="0"/>
          <w:szCs w:val="32"/>
        </w:rPr>
        <w:t>按</w:t>
      </w:r>
      <w:r>
        <w:rPr>
          <w:rFonts w:hint="eastAsia" w:ascii="楷体_GB2312" w:hAnsi="楷体_GB2312" w:eastAsia="楷体_GB2312" w:cs="楷体_GB2312"/>
          <w:snapToGrid w:val="0"/>
          <w:color w:val="333333"/>
          <w:kern w:val="0"/>
          <w:szCs w:val="32"/>
          <w:lang w:eastAsia="zh-CN"/>
        </w:rPr>
        <w:t>照职责</w:t>
      </w:r>
      <w:r>
        <w:rPr>
          <w:rFonts w:hint="eastAsia" w:ascii="楷体_GB2312" w:hAnsi="楷体_GB2312" w:eastAsia="楷体_GB2312" w:cs="楷体_GB2312"/>
          <w:snapToGrid w:val="0"/>
          <w:color w:val="333333"/>
          <w:kern w:val="0"/>
          <w:szCs w:val="32"/>
        </w:rPr>
        <w:t>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ascii="仿宋" w:hAnsi="仿宋"/>
          <w:snapToGrid w:val="0"/>
          <w:color w:val="333333"/>
          <w:kern w:val="0"/>
          <w:szCs w:val="32"/>
        </w:rPr>
      </w:pPr>
      <w:r>
        <w:rPr>
          <w:rFonts w:hint="eastAsia" w:eastAsia="黑体"/>
          <w:snapToGrid w:val="0"/>
          <w:kern w:val="0"/>
          <w:lang w:eastAsia="zh-CN"/>
        </w:rPr>
        <w:t>五</w:t>
      </w:r>
      <w:r>
        <w:rPr>
          <w:rFonts w:hint="eastAsia" w:eastAsia="黑体"/>
          <w:snapToGrid w:val="0"/>
          <w:kern w:val="0"/>
        </w:rPr>
        <w:t>、</w:t>
      </w:r>
      <w:r>
        <w:rPr>
          <w:rFonts w:hint="eastAsia" w:eastAsia="黑体"/>
          <w:snapToGrid w:val="0"/>
          <w:kern w:val="0"/>
          <w:lang w:eastAsia="zh-CN"/>
        </w:rPr>
        <w:t>工作</w:t>
      </w:r>
      <w:r>
        <w:rPr>
          <w:rFonts w:hint="eastAsia" w:eastAsia="黑体"/>
          <w:snapToGrid w:val="0"/>
          <w:kern w:val="0"/>
        </w:rPr>
        <w:t>保障</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楷体_GB2312" w:hAnsi="楷体_GB2312" w:eastAsia="楷体_GB2312" w:cs="楷体_GB2312"/>
          <w:b/>
          <w:bCs/>
          <w:snapToGrid w:val="0"/>
          <w:color w:val="333333"/>
          <w:kern w:val="0"/>
          <w:szCs w:val="32"/>
        </w:rPr>
        <w:t>（一）加强组织领导</w:t>
      </w:r>
      <w:r>
        <w:rPr>
          <w:rFonts w:hint="eastAsia" w:ascii="楷体_GB2312" w:hAnsi="楷体_GB2312" w:eastAsia="楷体_GB2312" w:cs="楷体_GB2312"/>
          <w:b/>
          <w:bCs/>
          <w:snapToGrid w:val="0"/>
          <w:color w:val="333333"/>
          <w:kern w:val="0"/>
          <w:szCs w:val="32"/>
          <w:lang w:eastAsia="zh-CN"/>
        </w:rPr>
        <w:t>，夯实工作责任</w:t>
      </w:r>
      <w:r>
        <w:rPr>
          <w:rFonts w:hint="eastAsia" w:ascii="楷体_GB2312" w:hAnsi="楷体_GB2312" w:eastAsia="楷体_GB2312" w:cs="楷体_GB2312"/>
          <w:b/>
          <w:bCs/>
          <w:snapToGrid w:val="0"/>
          <w:color w:val="333333"/>
          <w:kern w:val="0"/>
          <w:szCs w:val="32"/>
        </w:rPr>
        <w:t>。</w:t>
      </w:r>
      <w:r>
        <w:rPr>
          <w:rFonts w:hint="eastAsia" w:ascii="仿宋_GB2312"/>
          <w:snapToGrid w:val="0"/>
          <w:kern w:val="0"/>
          <w:szCs w:val="32"/>
        </w:rPr>
        <w:t>各部门</w:t>
      </w:r>
      <w:r>
        <w:rPr>
          <w:rFonts w:hint="eastAsia" w:ascii="仿宋_GB2312"/>
          <w:snapToGrid w:val="0"/>
          <w:kern w:val="0"/>
          <w:szCs w:val="32"/>
          <w:lang w:eastAsia="zh-CN"/>
        </w:rPr>
        <w:t>要</w:t>
      </w:r>
      <w:r>
        <w:rPr>
          <w:rFonts w:hint="eastAsia" w:ascii="仿宋_GB2312"/>
          <w:snapToGrid w:val="0"/>
          <w:kern w:val="0"/>
          <w:szCs w:val="32"/>
        </w:rPr>
        <w:t>切实加强组织领导，明确任务分工，落实工作责任</w:t>
      </w:r>
      <w:r>
        <w:rPr>
          <w:rFonts w:hint="eastAsia" w:ascii="仿宋_GB2312"/>
          <w:snapToGrid w:val="0"/>
          <w:kern w:val="0"/>
          <w:szCs w:val="32"/>
          <w:lang w:eastAsia="zh-CN"/>
        </w:rPr>
        <w:t>，</w:t>
      </w:r>
      <w:r>
        <w:rPr>
          <w:rFonts w:hint="eastAsia" w:ascii="仿宋_GB2312"/>
          <w:snapToGrid w:val="0"/>
          <w:kern w:val="0"/>
          <w:szCs w:val="32"/>
        </w:rPr>
        <w:t>聚焦营商环境的“痛点”“堵点”“难点”问题，列出清单，分类、分层、分责限期挂账整改，确保取得实效。</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各</w:t>
      </w:r>
      <w:r>
        <w:rPr>
          <w:rFonts w:hint="eastAsia" w:ascii="楷体_GB2312" w:hAnsi="楷体_GB2312" w:eastAsia="楷体_GB2312" w:cs="楷体_GB2312"/>
          <w:snapToGrid w:val="0"/>
          <w:color w:val="333333"/>
          <w:kern w:val="0"/>
          <w:szCs w:val="32"/>
        </w:rPr>
        <w:t>有关部门按职责分工负责）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楷体_GB2312" w:hAnsi="楷体_GB2312" w:eastAsia="楷体_GB2312" w:cs="楷体_GB2312"/>
          <w:b/>
          <w:bCs/>
          <w:snapToGrid w:val="0"/>
          <w:color w:val="333333"/>
          <w:kern w:val="0"/>
          <w:szCs w:val="32"/>
        </w:rPr>
        <w:t>（二）</w:t>
      </w:r>
      <w:r>
        <w:rPr>
          <w:rFonts w:hint="eastAsia" w:ascii="楷体_GB2312" w:hAnsi="楷体_GB2312" w:eastAsia="楷体_GB2312" w:cs="楷体_GB2312"/>
          <w:b/>
          <w:bCs/>
          <w:snapToGrid w:val="0"/>
          <w:color w:val="333333"/>
          <w:kern w:val="0"/>
          <w:szCs w:val="32"/>
          <w:lang w:eastAsia="zh-CN"/>
        </w:rPr>
        <w:t>瞄准关键环节，健全制度机制</w:t>
      </w:r>
      <w:r>
        <w:rPr>
          <w:rFonts w:hint="eastAsia" w:ascii="楷体_GB2312" w:hAnsi="楷体_GB2312" w:eastAsia="楷体_GB2312" w:cs="楷体_GB2312"/>
          <w:b/>
          <w:bCs/>
          <w:snapToGrid w:val="0"/>
          <w:color w:val="333333"/>
          <w:kern w:val="0"/>
          <w:szCs w:val="32"/>
        </w:rPr>
        <w:t>。</w:t>
      </w:r>
      <w:r>
        <w:rPr>
          <w:rFonts w:hint="eastAsia" w:ascii="仿宋_GB2312"/>
          <w:snapToGrid w:val="0"/>
          <w:kern w:val="0"/>
          <w:szCs w:val="32"/>
          <w:lang w:eastAsia="zh-CN"/>
        </w:rPr>
        <w:t>县</w:t>
      </w:r>
      <w:r>
        <w:rPr>
          <w:rFonts w:hint="eastAsia" w:ascii="仿宋_GB2312"/>
          <w:snapToGrid w:val="0"/>
          <w:kern w:val="0"/>
          <w:szCs w:val="32"/>
        </w:rPr>
        <w:t>优化提升营商环境工作领导小组及“八办四组”要建立“</w:t>
      </w:r>
      <w:r>
        <w:rPr>
          <w:rFonts w:hint="eastAsia" w:ascii="仿宋_GB2312"/>
          <w:snapToGrid w:val="0"/>
          <w:kern w:val="0"/>
          <w:szCs w:val="32"/>
          <w:lang w:eastAsia="zh-CN"/>
        </w:rPr>
        <w:t>半年、全年开展</w:t>
      </w:r>
      <w:r>
        <w:rPr>
          <w:rFonts w:hint="eastAsia" w:ascii="仿宋_GB2312"/>
          <w:snapToGrid w:val="0"/>
          <w:kern w:val="0"/>
          <w:szCs w:val="32"/>
        </w:rPr>
        <w:t>点评</w:t>
      </w:r>
      <w:r>
        <w:rPr>
          <w:rFonts w:hint="eastAsia" w:ascii="仿宋_GB2312"/>
          <w:snapToGrid w:val="0"/>
          <w:kern w:val="0"/>
          <w:szCs w:val="32"/>
          <w:lang w:eastAsia="zh-CN"/>
        </w:rPr>
        <w:t>、</w:t>
      </w:r>
      <w:r>
        <w:rPr>
          <w:rFonts w:hint="eastAsia" w:ascii="仿宋_GB2312"/>
          <w:snapToGrid w:val="0"/>
          <w:kern w:val="0"/>
          <w:szCs w:val="32"/>
        </w:rPr>
        <w:t>总结</w:t>
      </w:r>
      <w:r>
        <w:rPr>
          <w:rFonts w:hint="eastAsia" w:ascii="仿宋_GB2312"/>
          <w:snapToGrid w:val="0"/>
          <w:kern w:val="0"/>
          <w:szCs w:val="32"/>
          <w:lang w:eastAsia="zh-CN"/>
        </w:rPr>
        <w:t>、考核</w:t>
      </w:r>
      <w:r>
        <w:rPr>
          <w:rFonts w:hint="eastAsia" w:ascii="仿宋_GB2312"/>
          <w:snapToGrid w:val="0"/>
          <w:kern w:val="0"/>
          <w:szCs w:val="32"/>
        </w:rPr>
        <w:t>”和定期会商、定期通报机制</w:t>
      </w:r>
      <w:r>
        <w:rPr>
          <w:rFonts w:hint="eastAsia" w:ascii="仿宋_GB2312"/>
          <w:snapToGrid w:val="0"/>
          <w:kern w:val="0"/>
          <w:szCs w:val="32"/>
          <w:lang w:eastAsia="zh-CN"/>
        </w:rPr>
        <w:t>，</w:t>
      </w:r>
      <w:r>
        <w:rPr>
          <w:rFonts w:hint="eastAsia" w:ascii="仿宋_GB2312"/>
          <w:snapToGrid w:val="0"/>
          <w:kern w:val="0"/>
          <w:szCs w:val="32"/>
        </w:rPr>
        <w:t>不断细化工作</w:t>
      </w:r>
      <w:r>
        <w:rPr>
          <w:rFonts w:hint="eastAsia" w:ascii="仿宋" w:hAnsi="仿宋"/>
          <w:snapToGrid w:val="0"/>
          <w:color w:val="333333"/>
          <w:kern w:val="0"/>
          <w:szCs w:val="32"/>
        </w:rPr>
        <w:t>方案。</w:t>
      </w:r>
      <w:r>
        <w:rPr>
          <w:rFonts w:hint="eastAsia" w:ascii="仿宋" w:hAnsi="仿宋"/>
          <w:snapToGrid w:val="0"/>
          <w:color w:val="333333"/>
          <w:kern w:val="0"/>
          <w:szCs w:val="32"/>
          <w:lang w:eastAsia="zh-CN"/>
        </w:rPr>
        <w:t>重点</w:t>
      </w:r>
      <w:r>
        <w:rPr>
          <w:rFonts w:hint="eastAsia" w:ascii="仿宋" w:hAnsi="仿宋"/>
          <w:snapToGrid w:val="0"/>
          <w:color w:val="333333"/>
          <w:kern w:val="0"/>
          <w:szCs w:val="32"/>
        </w:rPr>
        <w:t>聚焦企业开办、办理施工许可、获得水电气暖、办理不动产登记、获得信贷、纳税、跨境贸易、降低企业运行成本等</w:t>
      </w:r>
      <w:r>
        <w:rPr>
          <w:rFonts w:hint="eastAsia" w:ascii="仿宋" w:hAnsi="仿宋"/>
          <w:snapToGrid w:val="0"/>
          <w:color w:val="333333"/>
          <w:kern w:val="0"/>
          <w:szCs w:val="32"/>
          <w:lang w:eastAsia="zh-CN"/>
        </w:rPr>
        <w:t>关键</w:t>
      </w:r>
      <w:r>
        <w:rPr>
          <w:rFonts w:hint="eastAsia" w:ascii="仿宋" w:hAnsi="仿宋"/>
          <w:snapToGrid w:val="0"/>
          <w:color w:val="333333"/>
          <w:kern w:val="0"/>
          <w:szCs w:val="32"/>
        </w:rPr>
        <w:t>环节，</w:t>
      </w:r>
      <w:r>
        <w:rPr>
          <w:rFonts w:hint="eastAsia" w:ascii="仿宋" w:hAnsi="仿宋"/>
          <w:snapToGrid w:val="0"/>
          <w:color w:val="333333"/>
          <w:kern w:val="0"/>
          <w:szCs w:val="32"/>
          <w:lang w:eastAsia="zh-CN"/>
        </w:rPr>
        <w:t>完善制度机制，加大攻坚力度，</w:t>
      </w:r>
      <w:r>
        <w:rPr>
          <w:rFonts w:hint="eastAsia" w:ascii="仿宋" w:hAnsi="仿宋"/>
          <w:snapToGrid w:val="0"/>
          <w:color w:val="333333"/>
          <w:kern w:val="0"/>
          <w:szCs w:val="32"/>
        </w:rPr>
        <w:t>努力为企业发展提供</w:t>
      </w:r>
      <w:r>
        <w:rPr>
          <w:rFonts w:hint="eastAsia" w:ascii="仿宋" w:hAnsi="仿宋"/>
          <w:snapToGrid w:val="0"/>
          <w:color w:val="333333"/>
          <w:kern w:val="0"/>
          <w:szCs w:val="32"/>
          <w:lang w:eastAsia="zh-CN"/>
        </w:rPr>
        <w:t>便捷</w:t>
      </w:r>
      <w:r>
        <w:rPr>
          <w:rFonts w:hint="eastAsia" w:ascii="仿宋" w:hAnsi="仿宋"/>
          <w:snapToGrid w:val="0"/>
          <w:color w:val="333333"/>
          <w:kern w:val="0"/>
          <w:szCs w:val="32"/>
        </w:rPr>
        <w:t>服务。</w:t>
      </w:r>
      <w:r>
        <w:rPr>
          <w:rFonts w:hint="eastAsia" w:ascii="楷体_GB2312" w:hAnsi="楷体_GB2312" w:eastAsia="楷体_GB2312" w:cs="楷体_GB2312"/>
          <w:snapToGrid w:val="0"/>
          <w:color w:val="333333"/>
          <w:kern w:val="0"/>
          <w:szCs w:val="32"/>
        </w:rPr>
        <w:t>（各有关部门按</w:t>
      </w:r>
      <w:r>
        <w:rPr>
          <w:rFonts w:hint="eastAsia" w:ascii="楷体_GB2312" w:hAnsi="楷体_GB2312" w:eastAsia="楷体_GB2312" w:cs="楷体_GB2312"/>
          <w:snapToGrid w:val="0"/>
          <w:color w:val="333333"/>
          <w:kern w:val="0"/>
          <w:szCs w:val="32"/>
          <w:lang w:eastAsia="zh-CN"/>
        </w:rPr>
        <w:t>照</w:t>
      </w:r>
      <w:r>
        <w:rPr>
          <w:rFonts w:hint="eastAsia" w:ascii="楷体_GB2312" w:hAnsi="楷体_GB2312" w:eastAsia="楷体_GB2312" w:cs="楷体_GB2312"/>
          <w:snapToGrid w:val="0"/>
          <w:color w:val="333333"/>
          <w:kern w:val="0"/>
          <w:szCs w:val="32"/>
        </w:rPr>
        <w:t>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楷体_GB2312" w:hAnsi="楷体_GB2312" w:eastAsia="楷体_GB2312" w:cs="楷体_GB2312"/>
          <w:b/>
          <w:bCs/>
          <w:snapToGrid w:val="0"/>
          <w:color w:val="333333"/>
          <w:kern w:val="0"/>
          <w:szCs w:val="32"/>
        </w:rPr>
        <w:t>（三）</w:t>
      </w:r>
      <w:r>
        <w:rPr>
          <w:rFonts w:hint="eastAsia" w:ascii="楷体_GB2312" w:hAnsi="楷体_GB2312" w:eastAsia="楷体_GB2312" w:cs="楷体_GB2312"/>
          <w:b/>
          <w:bCs/>
          <w:snapToGrid w:val="0"/>
          <w:color w:val="333333"/>
          <w:kern w:val="0"/>
          <w:szCs w:val="32"/>
          <w:lang w:eastAsia="zh-CN"/>
        </w:rPr>
        <w:t>加快平台建设，推进</w:t>
      </w:r>
      <w:r>
        <w:rPr>
          <w:rFonts w:hint="eastAsia" w:ascii="楷体_GB2312" w:hAnsi="楷体_GB2312" w:eastAsia="楷体_GB2312" w:cs="楷体_GB2312"/>
          <w:b/>
          <w:bCs/>
          <w:snapToGrid w:val="0"/>
          <w:color w:val="333333"/>
          <w:kern w:val="0"/>
          <w:szCs w:val="32"/>
        </w:rPr>
        <w:t>信息共享。</w:t>
      </w:r>
      <w:r>
        <w:rPr>
          <w:rFonts w:hint="eastAsia" w:ascii="仿宋" w:hAnsi="仿宋"/>
          <w:snapToGrid w:val="0"/>
          <w:color w:val="333333"/>
          <w:kern w:val="0"/>
          <w:szCs w:val="32"/>
        </w:rPr>
        <w:t>要推动政务信息系统整合共享，</w:t>
      </w:r>
      <w:r>
        <w:rPr>
          <w:rFonts w:hint="eastAsia" w:ascii="仿宋" w:hAnsi="仿宋"/>
          <w:snapToGrid w:val="0"/>
          <w:color w:val="333333"/>
          <w:kern w:val="0"/>
          <w:szCs w:val="32"/>
          <w:lang w:eastAsia="zh-CN"/>
        </w:rPr>
        <w:t>加快共享营运平台建设，</w:t>
      </w:r>
      <w:r>
        <w:rPr>
          <w:rFonts w:hint="eastAsia" w:ascii="仿宋" w:hAnsi="仿宋"/>
          <w:snapToGrid w:val="0"/>
          <w:color w:val="333333"/>
          <w:kern w:val="0"/>
          <w:szCs w:val="32"/>
        </w:rPr>
        <w:t>打破各系统间的“信息壁垒”，实现部门间实时信息</w:t>
      </w:r>
      <w:r>
        <w:rPr>
          <w:rFonts w:hint="eastAsia" w:ascii="仿宋_GB2312" w:hAnsi="仿宋_GB2312" w:eastAsia="仿宋_GB2312" w:cs="仿宋_GB2312"/>
          <w:snapToGrid w:val="0"/>
          <w:color w:val="333333"/>
          <w:kern w:val="0"/>
          <w:szCs w:val="32"/>
        </w:rPr>
        <w:t>互联互通，强化部门间信用信息规整以及联合惩戒</w:t>
      </w:r>
      <w:r>
        <w:rPr>
          <w:rFonts w:hint="eastAsia" w:ascii="仿宋_GB2312" w:hAnsi="仿宋_GB2312" w:cs="仿宋_GB2312"/>
          <w:snapToGrid w:val="0"/>
          <w:color w:val="333333"/>
          <w:kern w:val="0"/>
          <w:szCs w:val="32"/>
          <w:lang w:eastAsia="zh-CN"/>
        </w:rPr>
        <w:t>。</w:t>
      </w:r>
      <w:r>
        <w:rPr>
          <w:rFonts w:hint="eastAsia" w:ascii="仿宋" w:hAnsi="仿宋"/>
          <w:snapToGrid w:val="0"/>
          <w:color w:val="333333"/>
          <w:kern w:val="0"/>
          <w:szCs w:val="32"/>
        </w:rPr>
        <w:t>加快建设并推广集“审批、监管、服务、信用”于一体的政务服务平台，通过推进市场监管信息互通、互换和共享，加强部门间协同监管，消除监管空白，形成监管合力，构建多方参与和协同监管服务体系。</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县交通运输局（商务和</w:t>
      </w:r>
      <w:r>
        <w:rPr>
          <w:rFonts w:hint="eastAsia" w:ascii="楷体_GB2312" w:hAnsi="楷体_GB2312" w:eastAsia="楷体_GB2312" w:cs="楷体_GB2312"/>
          <w:snapToGrid w:val="0"/>
          <w:color w:val="333333"/>
          <w:kern w:val="0"/>
          <w:szCs w:val="32"/>
        </w:rPr>
        <w:t>工信局</w:t>
      </w:r>
      <w:r>
        <w:rPr>
          <w:rFonts w:hint="eastAsia" w:ascii="楷体_GB2312" w:hAnsi="楷体_GB2312" w:eastAsia="楷体_GB2312" w:cs="楷体_GB2312"/>
          <w:snapToGrid w:val="0"/>
          <w:color w:val="333333"/>
          <w:kern w:val="0"/>
          <w:szCs w:val="32"/>
          <w:lang w:eastAsia="zh-CN"/>
        </w:rPr>
        <w:t>）</w:t>
      </w:r>
      <w:r>
        <w:rPr>
          <w:rFonts w:hint="eastAsia" w:ascii="楷体_GB2312" w:hAnsi="楷体_GB2312" w:eastAsia="楷体_GB2312" w:cs="楷体_GB2312"/>
          <w:snapToGrid w:val="0"/>
          <w:color w:val="333333"/>
          <w:kern w:val="0"/>
          <w:szCs w:val="32"/>
        </w:rPr>
        <w:t>、发改</w:t>
      </w:r>
      <w:r>
        <w:rPr>
          <w:rFonts w:hint="eastAsia" w:ascii="楷体_GB2312" w:hAnsi="楷体_GB2312" w:eastAsia="楷体_GB2312" w:cs="楷体_GB2312"/>
          <w:snapToGrid w:val="0"/>
          <w:color w:val="333333"/>
          <w:kern w:val="0"/>
          <w:szCs w:val="32"/>
          <w:lang w:eastAsia="zh-CN"/>
        </w:rPr>
        <w:t>局</w:t>
      </w:r>
      <w:r>
        <w:rPr>
          <w:rFonts w:hint="eastAsia" w:ascii="楷体_GB2312" w:hAnsi="楷体_GB2312" w:eastAsia="楷体_GB2312" w:cs="楷体_GB2312"/>
          <w:snapToGrid w:val="0"/>
          <w:color w:val="333333"/>
          <w:kern w:val="0"/>
          <w:szCs w:val="32"/>
        </w:rPr>
        <w:t>、各</w:t>
      </w:r>
      <w:r>
        <w:rPr>
          <w:rFonts w:hint="eastAsia" w:ascii="楷体_GB2312" w:hAnsi="楷体_GB2312" w:eastAsia="楷体_GB2312" w:cs="楷体_GB2312"/>
          <w:snapToGrid w:val="0"/>
          <w:color w:val="333333"/>
          <w:kern w:val="0"/>
          <w:szCs w:val="32"/>
          <w:lang w:eastAsia="zh-CN"/>
        </w:rPr>
        <w:t>镇</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各</w:t>
      </w:r>
      <w:r>
        <w:rPr>
          <w:rFonts w:hint="eastAsia" w:ascii="楷体_GB2312" w:hAnsi="楷体_GB2312" w:eastAsia="楷体_GB2312" w:cs="楷体_GB2312"/>
          <w:snapToGrid w:val="0"/>
          <w:color w:val="333333"/>
          <w:kern w:val="0"/>
          <w:szCs w:val="32"/>
        </w:rPr>
        <w:t>有关部门按</w:t>
      </w:r>
      <w:r>
        <w:rPr>
          <w:rFonts w:hint="eastAsia" w:ascii="楷体_GB2312" w:hAnsi="楷体_GB2312" w:eastAsia="楷体_GB2312" w:cs="楷体_GB2312"/>
          <w:snapToGrid w:val="0"/>
          <w:color w:val="333333"/>
          <w:kern w:val="0"/>
          <w:szCs w:val="32"/>
          <w:lang w:eastAsia="zh-CN"/>
        </w:rPr>
        <w:t>照</w:t>
      </w:r>
      <w:r>
        <w:rPr>
          <w:rFonts w:hint="eastAsia" w:ascii="楷体_GB2312" w:hAnsi="楷体_GB2312" w:eastAsia="楷体_GB2312" w:cs="楷体_GB2312"/>
          <w:snapToGrid w:val="0"/>
          <w:color w:val="333333"/>
          <w:kern w:val="0"/>
          <w:szCs w:val="32"/>
        </w:rPr>
        <w:t>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napToGrid w:val="0"/>
          <w:color w:val="333333"/>
          <w:kern w:val="0"/>
          <w:szCs w:val="32"/>
        </w:rPr>
      </w:pPr>
      <w:r>
        <w:rPr>
          <w:rFonts w:hint="eastAsia" w:ascii="楷体_GB2312" w:hAnsi="楷体_GB2312" w:eastAsia="楷体_GB2312" w:cs="楷体_GB2312"/>
          <w:b/>
          <w:bCs/>
          <w:snapToGrid w:val="0"/>
          <w:color w:val="333333"/>
          <w:kern w:val="0"/>
          <w:szCs w:val="32"/>
        </w:rPr>
        <w:t>（</w:t>
      </w:r>
      <w:r>
        <w:rPr>
          <w:rFonts w:hint="eastAsia" w:ascii="楷体_GB2312" w:hAnsi="楷体_GB2312" w:eastAsia="楷体_GB2312" w:cs="楷体_GB2312"/>
          <w:b/>
          <w:bCs/>
          <w:snapToGrid w:val="0"/>
          <w:color w:val="333333"/>
          <w:kern w:val="0"/>
          <w:szCs w:val="32"/>
          <w:lang w:eastAsia="zh-CN"/>
        </w:rPr>
        <w:t>四</w:t>
      </w:r>
      <w:r>
        <w:rPr>
          <w:rFonts w:hint="eastAsia" w:ascii="楷体_GB2312" w:hAnsi="楷体_GB2312" w:eastAsia="楷体_GB2312" w:cs="楷体_GB2312"/>
          <w:b/>
          <w:bCs/>
          <w:snapToGrid w:val="0"/>
          <w:color w:val="333333"/>
          <w:kern w:val="0"/>
          <w:szCs w:val="32"/>
        </w:rPr>
        <w:t>）</w:t>
      </w:r>
      <w:r>
        <w:rPr>
          <w:rFonts w:hint="eastAsia" w:ascii="楷体_GB2312" w:hAnsi="楷体_GB2312" w:eastAsia="楷体_GB2312" w:cs="楷体_GB2312"/>
          <w:b/>
          <w:bCs/>
          <w:snapToGrid w:val="0"/>
          <w:color w:val="333333"/>
          <w:kern w:val="0"/>
          <w:szCs w:val="32"/>
          <w:lang w:eastAsia="zh-CN"/>
        </w:rPr>
        <w:t>创新工作举措，强化</w:t>
      </w:r>
      <w:r>
        <w:rPr>
          <w:rFonts w:hint="eastAsia" w:ascii="楷体_GB2312" w:hAnsi="楷体_GB2312" w:eastAsia="楷体_GB2312" w:cs="楷体_GB2312"/>
          <w:b/>
          <w:bCs/>
          <w:snapToGrid w:val="0"/>
          <w:color w:val="333333"/>
          <w:kern w:val="0"/>
          <w:szCs w:val="32"/>
        </w:rPr>
        <w:t>督查问效。</w:t>
      </w:r>
      <w:r>
        <w:rPr>
          <w:rFonts w:hint="eastAsia" w:ascii="仿宋_GB2312"/>
          <w:snapToGrid w:val="0"/>
          <w:kern w:val="0"/>
          <w:szCs w:val="32"/>
        </w:rPr>
        <w:t>定期对主要部门和窗口单位开展日常巡查</w:t>
      </w:r>
      <w:r>
        <w:rPr>
          <w:rFonts w:hint="eastAsia" w:ascii="仿宋_GB2312"/>
          <w:snapToGrid w:val="0"/>
          <w:kern w:val="0"/>
          <w:szCs w:val="32"/>
          <w:lang w:eastAsia="zh-CN"/>
        </w:rPr>
        <w:t>和</w:t>
      </w:r>
      <w:r>
        <w:rPr>
          <w:rFonts w:hint="eastAsia" w:ascii="仿宋_GB2312"/>
          <w:snapToGrid w:val="0"/>
          <w:kern w:val="0"/>
          <w:szCs w:val="32"/>
        </w:rPr>
        <w:t>暗访</w:t>
      </w:r>
      <w:r>
        <w:rPr>
          <w:rFonts w:hint="eastAsia" w:ascii="仿宋_GB2312"/>
          <w:snapToGrid w:val="0"/>
          <w:kern w:val="0"/>
          <w:szCs w:val="32"/>
          <w:lang w:eastAsia="zh-CN"/>
        </w:rPr>
        <w:t>，</w:t>
      </w:r>
      <w:r>
        <w:rPr>
          <w:rFonts w:hint="eastAsia" w:ascii="仿宋_GB2312"/>
          <w:snapToGrid w:val="0"/>
          <w:kern w:val="0"/>
          <w:szCs w:val="32"/>
        </w:rPr>
        <w:t>确保改革任务有效落地。建立完善企业和群众评判改革成效机制，积极开展跟踪调研评估，确保出台的各项制度务实</w:t>
      </w:r>
      <w:r>
        <w:rPr>
          <w:rFonts w:hint="eastAsia" w:ascii="仿宋_GB2312"/>
          <w:snapToGrid w:val="0"/>
          <w:kern w:val="0"/>
          <w:szCs w:val="32"/>
          <w:lang w:eastAsia="zh-CN"/>
        </w:rPr>
        <w:t>高效</w:t>
      </w:r>
      <w:r>
        <w:rPr>
          <w:rFonts w:hint="eastAsia" w:ascii="仿宋_GB2312"/>
          <w:snapToGrid w:val="0"/>
          <w:kern w:val="0"/>
          <w:szCs w:val="32"/>
        </w:rPr>
        <w:t>。持续</w:t>
      </w:r>
      <w:r>
        <w:rPr>
          <w:rFonts w:hint="eastAsia" w:ascii="仿宋_GB2312"/>
          <w:snapToGrid w:val="0"/>
          <w:kern w:val="0"/>
          <w:szCs w:val="32"/>
          <w:lang w:eastAsia="zh-CN"/>
        </w:rPr>
        <w:t>深化</w:t>
      </w:r>
      <w:r>
        <w:rPr>
          <w:rFonts w:hint="eastAsia" w:ascii="仿宋_GB2312"/>
          <w:snapToGrid w:val="0"/>
          <w:kern w:val="0"/>
          <w:szCs w:val="32"/>
        </w:rPr>
        <w:t>县域营商环境</w:t>
      </w:r>
      <w:r>
        <w:rPr>
          <w:rFonts w:hint="eastAsia" w:ascii="仿宋_GB2312" w:hAnsi="仿宋_GB2312" w:eastAsia="仿宋_GB2312" w:cs="仿宋_GB2312"/>
          <w:snapToGrid w:val="0"/>
          <w:color w:val="333333"/>
          <w:kern w:val="0"/>
          <w:szCs w:val="32"/>
        </w:rPr>
        <w:t>监测评价，</w:t>
      </w:r>
      <w:r>
        <w:rPr>
          <w:rFonts w:hint="eastAsia" w:ascii="仿宋_GB2312" w:hAnsi="仿宋_GB2312" w:eastAsia="仿宋_GB2312" w:cs="仿宋_GB2312"/>
          <w:sz w:val="32"/>
          <w:szCs w:val="32"/>
        </w:rPr>
        <w:t>以企业和群众办事时效为标准，科学设置</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监测样本库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通过实地查访、电话回访、暗访等形式，对全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营商环境工作满意度开展调查，为政策制定的准确性、针对性提供依据。</w:t>
      </w:r>
      <w:r>
        <w:rPr>
          <w:rFonts w:hint="eastAsia" w:ascii="仿宋_GB2312" w:hAnsi="仿宋_GB2312" w:eastAsia="仿宋_GB2312" w:cs="仿宋_GB2312"/>
          <w:snapToGrid w:val="0"/>
          <w:color w:val="333333"/>
          <w:kern w:val="0"/>
          <w:szCs w:val="32"/>
        </w:rPr>
        <w:t>开通投诉举报热线和网上投诉举报平台，安排专人收集问题并核实督办，对不作为、慢作为、乱作为的典型案例公开曝光并严肃问责。</w:t>
      </w:r>
      <w:r>
        <w:rPr>
          <w:rFonts w:hint="eastAsia" w:ascii="楷体_GB2312" w:hAnsi="楷体_GB2312" w:eastAsia="楷体_GB2312" w:cs="楷体_GB2312"/>
          <w:snapToGrid w:val="0"/>
          <w:color w:val="333333"/>
          <w:kern w:val="0"/>
          <w:szCs w:val="32"/>
        </w:rPr>
        <w:t>（</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统计局、考核办、</w:t>
      </w:r>
      <w:r>
        <w:rPr>
          <w:rFonts w:hint="eastAsia" w:ascii="楷体_GB2312" w:hAnsi="楷体_GB2312" w:eastAsia="楷体_GB2312" w:cs="楷体_GB2312"/>
          <w:snapToGrid w:val="0"/>
          <w:color w:val="333333"/>
          <w:kern w:val="0"/>
          <w:szCs w:val="32"/>
          <w:lang w:eastAsia="zh-CN"/>
        </w:rPr>
        <w:t>县</w:t>
      </w:r>
      <w:r>
        <w:rPr>
          <w:rFonts w:hint="eastAsia" w:ascii="楷体_GB2312" w:hAnsi="楷体_GB2312" w:eastAsia="楷体_GB2312" w:cs="楷体_GB2312"/>
          <w:snapToGrid w:val="0"/>
          <w:color w:val="333333"/>
          <w:kern w:val="0"/>
          <w:szCs w:val="32"/>
        </w:rPr>
        <w:t>政府督查室牵头，各</w:t>
      </w:r>
      <w:r>
        <w:rPr>
          <w:rFonts w:hint="eastAsia" w:ascii="楷体_GB2312" w:hAnsi="楷体_GB2312" w:eastAsia="楷体_GB2312" w:cs="楷体_GB2312"/>
          <w:snapToGrid w:val="0"/>
          <w:color w:val="333333"/>
          <w:kern w:val="0"/>
          <w:szCs w:val="32"/>
          <w:lang w:eastAsia="zh-CN"/>
        </w:rPr>
        <w:t>镇按照职责分工</w:t>
      </w:r>
      <w:r>
        <w:rPr>
          <w:rFonts w:hint="eastAsia" w:ascii="楷体_GB2312" w:hAnsi="楷体_GB2312" w:eastAsia="楷体_GB2312" w:cs="楷体_GB2312"/>
          <w:snapToGrid w:val="0"/>
          <w:color w:val="333333"/>
          <w:kern w:val="0"/>
          <w:szCs w:val="32"/>
        </w:rPr>
        <w:t>负责）</w:t>
      </w:r>
    </w:p>
    <w:p>
      <w:pPr>
        <w:pStyle w:val="16"/>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snapToGrid w:val="0"/>
          <w:color w:val="333333"/>
          <w:kern w:val="0"/>
          <w:sz w:val="32"/>
          <w:szCs w:val="32"/>
          <w:lang w:val="en-US" w:eastAsia="zh-CN" w:bidi="ar-SA"/>
        </w:rPr>
      </w:pPr>
      <w:r>
        <w:rPr>
          <w:rFonts w:hint="eastAsia" w:ascii="楷体_GB2312" w:hAnsi="楷体_GB2312" w:eastAsia="楷体_GB2312" w:cs="楷体_GB2312"/>
          <w:b/>
          <w:bCs/>
          <w:snapToGrid w:val="0"/>
          <w:color w:val="333333"/>
          <w:kern w:val="0"/>
          <w:sz w:val="32"/>
          <w:szCs w:val="32"/>
          <w:lang w:val="en-US" w:eastAsia="zh-CN" w:bidi="ar-SA"/>
        </w:rPr>
        <w:t>（五）注重培训宣传，营造良好氛围。</w:t>
      </w:r>
      <w:r>
        <w:rPr>
          <w:rFonts w:hint="eastAsia" w:ascii="仿宋" w:hAnsi="仿宋"/>
          <w:snapToGrid w:val="0"/>
          <w:color w:val="333333"/>
          <w:kern w:val="0"/>
          <w:szCs w:val="32"/>
        </w:rPr>
        <w:t>各</w:t>
      </w:r>
      <w:r>
        <w:rPr>
          <w:rFonts w:hint="eastAsia" w:ascii="仿宋" w:hAnsi="仿宋"/>
          <w:snapToGrid w:val="0"/>
          <w:color w:val="333333"/>
          <w:kern w:val="0"/>
          <w:szCs w:val="32"/>
          <w:lang w:eastAsia="zh-CN"/>
        </w:rPr>
        <w:t>有</w:t>
      </w:r>
      <w:r>
        <w:rPr>
          <w:rFonts w:hint="eastAsia" w:ascii="仿宋" w:hAnsi="仿宋"/>
          <w:snapToGrid w:val="0"/>
          <w:color w:val="333333"/>
          <w:kern w:val="0"/>
          <w:szCs w:val="32"/>
        </w:rPr>
        <w:t>关部门要加大窗口工作人员培训力度，不断提高窗口工作人员业务水平和工作能力</w:t>
      </w:r>
      <w:r>
        <w:rPr>
          <w:rFonts w:hint="eastAsia" w:ascii="仿宋" w:hAnsi="仿宋"/>
          <w:snapToGrid w:val="0"/>
          <w:color w:val="333333"/>
          <w:kern w:val="0"/>
          <w:szCs w:val="32"/>
          <w:lang w:eastAsia="zh-CN"/>
        </w:rPr>
        <w:t>；</w:t>
      </w:r>
      <w:r>
        <w:rPr>
          <w:rFonts w:hint="eastAsia" w:ascii="仿宋" w:hAnsi="仿宋"/>
          <w:snapToGrid w:val="0"/>
          <w:color w:val="333333"/>
          <w:kern w:val="0"/>
          <w:szCs w:val="32"/>
        </w:rPr>
        <w:t>要通过开辟宣传专栏</w:t>
      </w:r>
      <w:r>
        <w:rPr>
          <w:rFonts w:hint="eastAsia" w:ascii="仿宋" w:hAnsi="仿宋"/>
          <w:snapToGrid w:val="0"/>
          <w:color w:val="333333"/>
          <w:kern w:val="0"/>
          <w:szCs w:val="32"/>
          <w:lang w:eastAsia="zh-CN"/>
        </w:rPr>
        <w:t>和</w:t>
      </w:r>
      <w:r>
        <w:rPr>
          <w:rFonts w:hint="eastAsia" w:ascii="仿宋" w:hAnsi="仿宋"/>
          <w:snapToGrid w:val="0"/>
          <w:color w:val="333333"/>
          <w:kern w:val="0"/>
          <w:szCs w:val="32"/>
        </w:rPr>
        <w:t>举办专家访谈等多种形式，</w:t>
      </w:r>
      <w:r>
        <w:rPr>
          <w:rFonts w:hint="eastAsia" w:ascii="仿宋" w:hAnsi="仿宋"/>
          <w:snapToGrid w:val="0"/>
          <w:color w:val="333333"/>
          <w:kern w:val="0"/>
          <w:szCs w:val="32"/>
          <w:lang w:eastAsia="zh-CN"/>
        </w:rPr>
        <w:t>解读</w:t>
      </w:r>
      <w:r>
        <w:rPr>
          <w:rFonts w:hint="eastAsia" w:ascii="仿宋" w:hAnsi="仿宋"/>
          <w:snapToGrid w:val="0"/>
          <w:color w:val="333333"/>
          <w:kern w:val="0"/>
          <w:szCs w:val="32"/>
        </w:rPr>
        <w:t>优化提升营商环境的改革政策</w:t>
      </w:r>
      <w:r>
        <w:rPr>
          <w:rFonts w:hint="eastAsia" w:ascii="仿宋" w:hAnsi="仿宋"/>
          <w:snapToGrid w:val="0"/>
          <w:color w:val="333333"/>
          <w:kern w:val="0"/>
          <w:szCs w:val="32"/>
          <w:lang w:eastAsia="zh-CN"/>
        </w:rPr>
        <w:t>，</w:t>
      </w:r>
      <w:r>
        <w:rPr>
          <w:rFonts w:hint="eastAsia" w:ascii="仿宋" w:hAnsi="仿宋"/>
          <w:snapToGrid w:val="0"/>
          <w:color w:val="333333"/>
          <w:kern w:val="0"/>
          <w:szCs w:val="32"/>
        </w:rPr>
        <w:t>宣传工作成效和先进典型</w:t>
      </w:r>
      <w:r>
        <w:rPr>
          <w:rFonts w:hint="eastAsia" w:ascii="仿宋" w:hAnsi="仿宋"/>
          <w:snapToGrid w:val="0"/>
          <w:color w:val="333333"/>
          <w:kern w:val="0"/>
          <w:szCs w:val="32"/>
          <w:lang w:eastAsia="zh-CN"/>
        </w:rPr>
        <w:t>，进一步</w:t>
      </w:r>
      <w:r>
        <w:rPr>
          <w:rFonts w:hint="eastAsia" w:ascii="仿宋" w:hAnsi="仿宋"/>
          <w:snapToGrid w:val="0"/>
          <w:color w:val="333333"/>
          <w:kern w:val="0"/>
          <w:szCs w:val="32"/>
        </w:rPr>
        <w:t>营造“重商、尊商、育商、聚商”的良好氛围</w:t>
      </w:r>
      <w:r>
        <w:rPr>
          <w:rFonts w:hint="eastAsia" w:ascii="仿宋" w:hAnsi="仿宋"/>
          <w:snapToGrid w:val="0"/>
          <w:color w:val="333333"/>
          <w:kern w:val="0"/>
          <w:szCs w:val="32"/>
          <w:lang w:eastAsia="zh-CN"/>
        </w:rPr>
        <w:t>，为加速追赶超越，实现绿色崛起提供强有力的支撑</w:t>
      </w:r>
      <w:r>
        <w:rPr>
          <w:rFonts w:hint="default" w:ascii="仿宋" w:hAnsi="仿宋"/>
          <w:snapToGrid w:val="0"/>
          <w:color w:val="333333"/>
          <w:kern w:val="0"/>
          <w:szCs w:val="32"/>
        </w:rPr>
        <w:t>。</w:t>
      </w:r>
      <w:r>
        <w:rPr>
          <w:rFonts w:hint="eastAsia" w:ascii="楷体_GB2312" w:hAnsi="楷体_GB2312" w:eastAsia="楷体_GB2312" w:cs="楷体_GB2312"/>
          <w:snapToGrid w:val="0"/>
          <w:color w:val="333333"/>
          <w:kern w:val="0"/>
          <w:sz w:val="32"/>
          <w:szCs w:val="32"/>
          <w:lang w:val="en-US" w:eastAsia="zh-CN" w:bidi="ar-SA"/>
        </w:rPr>
        <w:t>（县委宣传部、八办四组牵头部门，各镇按照职责分工负责）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楷体" w:hAnsi="楷体" w:eastAsia="楷体"/>
          <w:color w:val="333333"/>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160" w:leftChars="50" w:firstLine="480" w:firstLineChars="150"/>
        <w:textAlignment w:val="auto"/>
        <w:outlineLvl w:val="9"/>
        <w:rPr>
          <w:rFonts w:hint="eastAsia" w:ascii="仿宋_GB2312" w:hAnsi="仿宋_GB2312" w:eastAsia="仿宋_GB2312" w:cs="仿宋_GB2312"/>
          <w:snapToGrid w:val="0"/>
          <w:color w:val="auto"/>
          <w:spacing w:val="0"/>
          <w:kern w:val="0"/>
        </w:rPr>
      </w:pPr>
      <w:r>
        <w:rPr>
          <w:rFonts w:hint="eastAsia" w:ascii="仿宋_GB2312" w:hAnsi="仿宋_GB2312" w:eastAsia="仿宋_GB2312" w:cs="仿宋_GB2312"/>
          <w:snapToGrid w:val="0"/>
          <w:color w:val="auto"/>
          <w:spacing w:val="0"/>
          <w:kern w:val="0"/>
        </w:rPr>
        <w:t>附</w:t>
      </w:r>
      <w:r>
        <w:rPr>
          <w:rFonts w:hint="eastAsia" w:ascii="仿宋_GB2312" w:hAnsi="仿宋_GB2312" w:eastAsia="仿宋_GB2312" w:cs="仿宋_GB2312"/>
          <w:snapToGrid w:val="0"/>
          <w:color w:val="auto"/>
          <w:spacing w:val="0"/>
          <w:kern w:val="0"/>
          <w:lang w:eastAsia="zh-CN"/>
        </w:rPr>
        <w:t>件</w:t>
      </w:r>
      <w:r>
        <w:rPr>
          <w:rFonts w:hint="eastAsia" w:ascii="仿宋_GB2312" w:hAnsi="仿宋_GB2312" w:eastAsia="仿宋_GB2312" w:cs="仿宋_GB2312"/>
          <w:snapToGrid w:val="0"/>
          <w:color w:val="auto"/>
          <w:spacing w:val="0"/>
          <w:kern w:val="0"/>
        </w:rPr>
        <w:t>：</w:t>
      </w:r>
      <w:r>
        <w:rPr>
          <w:rFonts w:hint="eastAsia" w:ascii="仿宋_GB2312" w:hAnsi="仿宋_GB2312" w:eastAsia="仿宋_GB2312" w:cs="仿宋_GB2312"/>
          <w:snapToGrid w:val="0"/>
          <w:color w:val="auto"/>
          <w:spacing w:val="0"/>
          <w:kern w:val="0"/>
          <w:lang w:val="en-US" w:eastAsia="zh-CN"/>
        </w:rPr>
        <w:t>1.</w:t>
      </w:r>
      <w:r>
        <w:rPr>
          <w:rFonts w:hint="eastAsia" w:ascii="仿宋_GB2312" w:hAnsi="仿宋_GB2312" w:eastAsia="仿宋_GB2312" w:cs="仿宋_GB2312"/>
          <w:snapToGrid w:val="0"/>
          <w:color w:val="auto"/>
          <w:spacing w:val="0"/>
          <w:kern w:val="0"/>
          <w:lang w:eastAsia="zh-CN"/>
        </w:rPr>
        <w:t>太白县</w:t>
      </w:r>
      <w:r>
        <w:rPr>
          <w:rFonts w:hint="eastAsia" w:ascii="仿宋_GB2312" w:hAnsi="仿宋_GB2312" w:eastAsia="仿宋_GB2312" w:cs="仿宋_GB2312"/>
          <w:snapToGrid w:val="0"/>
          <w:color w:val="auto"/>
          <w:spacing w:val="0"/>
          <w:kern w:val="0"/>
        </w:rPr>
        <w:t>开展简化企业开办与注销程序工作三年行动</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_GB2312" w:hAnsi="仿宋_GB2312" w:eastAsia="仿宋_GB2312" w:cs="仿宋_GB2312"/>
          <w:snapToGrid w:val="0"/>
          <w:color w:val="auto"/>
          <w:spacing w:val="0"/>
          <w:kern w:val="0"/>
        </w:rPr>
      </w:pPr>
      <w:r>
        <w:rPr>
          <w:rFonts w:hint="eastAsia" w:ascii="仿宋_GB2312" w:hAnsi="仿宋_GB2312" w:eastAsia="仿宋_GB2312" w:cs="仿宋_GB2312"/>
          <w:snapToGrid w:val="0"/>
          <w:color w:val="auto"/>
          <w:spacing w:val="0"/>
          <w:kern w:val="0"/>
          <w:lang w:val="en-US" w:eastAsia="zh-CN"/>
        </w:rPr>
        <w:t xml:space="preserve">           </w:t>
      </w:r>
      <w:r>
        <w:rPr>
          <w:rFonts w:hint="eastAsia" w:ascii="仿宋_GB2312" w:hAnsi="仿宋_GB2312" w:eastAsia="仿宋_GB2312" w:cs="仿宋_GB2312"/>
          <w:snapToGrid w:val="0"/>
          <w:color w:val="auto"/>
          <w:spacing w:val="0"/>
          <w:kern w:val="0"/>
        </w:rPr>
        <w:t>计划任务分解表</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_GB2312" w:hAnsi="仿宋_GB2312" w:eastAsia="仿宋_GB2312" w:cs="仿宋_GB2312"/>
          <w:snapToGrid w:val="0"/>
          <w:color w:val="auto"/>
          <w:spacing w:val="0"/>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2.</w:t>
      </w:r>
      <w:r>
        <w:rPr>
          <w:rFonts w:hint="eastAsia" w:ascii="仿宋_GB2312" w:hAnsi="仿宋_GB2312" w:eastAsia="仿宋_GB2312" w:cs="仿宋_GB2312"/>
          <w:snapToGrid w:val="0"/>
          <w:color w:val="auto"/>
          <w:spacing w:val="0"/>
          <w:kern w:val="0"/>
          <w:lang w:eastAsia="zh-CN"/>
        </w:rPr>
        <w:t>太白县</w:t>
      </w:r>
      <w:r>
        <w:rPr>
          <w:rFonts w:hint="eastAsia" w:ascii="仿宋_GB2312" w:hAnsi="仿宋_GB2312" w:eastAsia="仿宋_GB2312" w:cs="仿宋_GB2312"/>
          <w:snapToGrid w:val="0"/>
          <w:color w:val="auto"/>
          <w:spacing w:val="0"/>
          <w:kern w:val="0"/>
          <w:szCs w:val="22"/>
          <w:lang w:val="en-US" w:eastAsia="zh-CN"/>
        </w:rPr>
        <w:t>开展简化施工许可证办理工作三年行动计划</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_GB2312" w:hAnsi="仿宋_GB2312" w:eastAsia="仿宋_GB2312" w:cs="仿宋_GB2312"/>
          <w:snapToGrid w:val="0"/>
          <w:color w:val="auto"/>
          <w:spacing w:val="0"/>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任务分解表</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_GB2312" w:hAnsi="仿宋_GB2312" w:eastAsia="仿宋_GB2312" w:cs="仿宋_GB2312"/>
          <w:snapToGrid w:val="0"/>
          <w:color w:val="auto"/>
          <w:spacing w:val="0"/>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3.</w:t>
      </w:r>
      <w:r>
        <w:rPr>
          <w:rFonts w:hint="eastAsia" w:ascii="仿宋_GB2312" w:hAnsi="仿宋_GB2312" w:eastAsia="仿宋_GB2312" w:cs="仿宋_GB2312"/>
          <w:snapToGrid w:val="0"/>
          <w:color w:val="auto"/>
          <w:spacing w:val="0"/>
          <w:kern w:val="0"/>
          <w:lang w:eastAsia="zh-CN"/>
        </w:rPr>
        <w:t>太白县</w:t>
      </w:r>
      <w:r>
        <w:rPr>
          <w:rFonts w:hint="eastAsia" w:ascii="仿宋_GB2312" w:hAnsi="仿宋_GB2312" w:eastAsia="仿宋_GB2312" w:cs="仿宋_GB2312"/>
          <w:snapToGrid w:val="0"/>
          <w:color w:val="auto"/>
          <w:spacing w:val="0"/>
          <w:kern w:val="0"/>
          <w:szCs w:val="22"/>
          <w:lang w:val="en-US" w:eastAsia="zh-CN"/>
        </w:rPr>
        <w:t>方便企业获得水电气暖工作三年行动计划任</w:t>
      </w:r>
    </w:p>
    <w:p>
      <w:pPr>
        <w:keepNext w:val="0"/>
        <w:keepLines w:val="0"/>
        <w:pageBreakBefore w:val="0"/>
        <w:widowControl w:val="0"/>
        <w:kinsoku/>
        <w:wordWrap/>
        <w:overflowPunct w:val="0"/>
        <w:topLinePunct w:val="0"/>
        <w:autoSpaceDE/>
        <w:autoSpaceDN/>
        <w:bidi w:val="0"/>
        <w:adjustRightInd/>
        <w:snapToGrid/>
        <w:spacing w:line="560" w:lineRule="exact"/>
        <w:ind w:firstLine="960" w:firstLineChars="300"/>
        <w:textAlignment w:val="auto"/>
        <w:outlineLvl w:val="9"/>
        <w:rPr>
          <w:rFonts w:hint="eastAsia" w:ascii="仿宋_GB2312" w:hAnsi="仿宋_GB2312" w:eastAsia="仿宋_GB2312" w:cs="仿宋_GB2312"/>
          <w:snapToGrid w:val="0"/>
          <w:color w:val="auto"/>
          <w:spacing w:val="0"/>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务分解表</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_GB2312" w:hAnsi="仿宋_GB2312" w:eastAsia="仿宋_GB2312" w:cs="仿宋_GB2312"/>
          <w:snapToGrid w:val="0"/>
          <w:color w:val="auto"/>
          <w:spacing w:val="0"/>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4.</w:t>
      </w:r>
      <w:r>
        <w:rPr>
          <w:rFonts w:hint="eastAsia" w:ascii="仿宋_GB2312" w:hAnsi="仿宋_GB2312" w:eastAsia="仿宋_GB2312" w:cs="仿宋_GB2312"/>
          <w:snapToGrid w:val="0"/>
          <w:color w:val="auto"/>
          <w:spacing w:val="0"/>
          <w:kern w:val="0"/>
          <w:lang w:eastAsia="zh-CN"/>
        </w:rPr>
        <w:t>太白县</w:t>
      </w:r>
      <w:r>
        <w:rPr>
          <w:rFonts w:hint="eastAsia" w:ascii="仿宋_GB2312" w:hAnsi="仿宋_GB2312" w:eastAsia="仿宋_GB2312" w:cs="仿宋_GB2312"/>
          <w:snapToGrid w:val="0"/>
          <w:color w:val="auto"/>
          <w:spacing w:val="0"/>
          <w:kern w:val="0"/>
          <w:szCs w:val="22"/>
          <w:lang w:val="en-US" w:eastAsia="zh-CN"/>
        </w:rPr>
        <w:t>方便企业办理不动产登记工作三年行动计划</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napToGrid w:val="0"/>
          <w:color w:val="auto"/>
          <w:spacing w:val="0"/>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任务分解表</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_GB2312" w:hAnsi="仿宋_GB2312" w:eastAsia="仿宋_GB2312" w:cs="仿宋_GB2312"/>
          <w:snapToGrid w:val="0"/>
          <w:color w:val="auto"/>
          <w:spacing w:val="0"/>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5.</w:t>
      </w:r>
      <w:r>
        <w:rPr>
          <w:rFonts w:hint="eastAsia" w:ascii="仿宋_GB2312" w:hAnsi="仿宋_GB2312" w:eastAsia="仿宋_GB2312" w:cs="仿宋_GB2312"/>
          <w:snapToGrid w:val="0"/>
          <w:color w:val="auto"/>
          <w:spacing w:val="0"/>
          <w:kern w:val="0"/>
          <w:lang w:eastAsia="zh-CN"/>
        </w:rPr>
        <w:t>太白县</w:t>
      </w:r>
      <w:r>
        <w:rPr>
          <w:rFonts w:hint="eastAsia" w:ascii="仿宋_GB2312" w:hAnsi="仿宋_GB2312" w:eastAsia="仿宋_GB2312" w:cs="仿宋_GB2312"/>
          <w:snapToGrid w:val="0"/>
          <w:color w:val="auto"/>
          <w:spacing w:val="0"/>
          <w:kern w:val="0"/>
          <w:szCs w:val="22"/>
          <w:lang w:val="en-US" w:eastAsia="zh-CN"/>
        </w:rPr>
        <w:t>方便企业办理不动产登记工作三年行动计划</w:t>
      </w:r>
    </w:p>
    <w:p>
      <w:pPr>
        <w:keepNext w:val="0"/>
        <w:keepLines w:val="0"/>
        <w:pageBreakBefore w:val="0"/>
        <w:widowControl w:val="0"/>
        <w:kinsoku/>
        <w:wordWrap/>
        <w:overflowPunct w:val="0"/>
        <w:topLinePunct w:val="0"/>
        <w:autoSpaceDE/>
        <w:autoSpaceDN/>
        <w:bidi w:val="0"/>
        <w:adjustRightInd/>
        <w:snapToGrid/>
        <w:spacing w:line="560" w:lineRule="exact"/>
        <w:ind w:firstLine="1280" w:firstLineChars="400"/>
        <w:textAlignment w:val="auto"/>
        <w:outlineLvl w:val="9"/>
        <w:rPr>
          <w:rFonts w:hint="eastAsia" w:ascii="仿宋_GB2312" w:hAnsi="仿宋_GB2312" w:eastAsia="仿宋_GB2312" w:cs="仿宋_GB2312"/>
          <w:snapToGrid w:val="0"/>
          <w:color w:val="auto"/>
          <w:spacing w:val="0"/>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任务分解表</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_GB2312" w:hAnsi="仿宋_GB2312" w:eastAsia="仿宋_GB2312" w:cs="仿宋_GB2312"/>
          <w:snapToGrid w:val="0"/>
          <w:color w:val="auto"/>
          <w:spacing w:val="-14"/>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6.</w:t>
      </w:r>
      <w:r>
        <w:rPr>
          <w:rFonts w:hint="eastAsia" w:ascii="仿宋_GB2312" w:hAnsi="仿宋_GB2312" w:eastAsia="仿宋_GB2312" w:cs="仿宋_GB2312"/>
          <w:snapToGrid w:val="0"/>
          <w:color w:val="auto"/>
          <w:spacing w:val="-14"/>
          <w:kern w:val="0"/>
          <w:lang w:eastAsia="zh-CN"/>
        </w:rPr>
        <w:t>太白县</w:t>
      </w:r>
      <w:r>
        <w:rPr>
          <w:rFonts w:hint="eastAsia" w:ascii="仿宋_GB2312" w:hAnsi="仿宋_GB2312" w:eastAsia="仿宋_GB2312" w:cs="仿宋_GB2312"/>
          <w:snapToGrid w:val="0"/>
          <w:color w:val="auto"/>
          <w:spacing w:val="-14"/>
          <w:kern w:val="0"/>
          <w:szCs w:val="22"/>
          <w:lang w:val="en-US" w:eastAsia="zh-CN"/>
        </w:rPr>
        <w:t>优化企业纳税服务工作三年行动计划任务分解表</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_GB2312" w:hAnsi="仿宋_GB2312" w:eastAsia="仿宋_GB2312" w:cs="仿宋_GB2312"/>
          <w:snapToGrid w:val="0"/>
          <w:color w:val="auto"/>
          <w:spacing w:val="0"/>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7.太白县提升企业跨境贸易便利化工作三年行动计划</w:t>
      </w:r>
    </w:p>
    <w:p>
      <w:pPr>
        <w:keepNext w:val="0"/>
        <w:keepLines w:val="0"/>
        <w:pageBreakBefore w:val="0"/>
        <w:widowControl w:val="0"/>
        <w:kinsoku/>
        <w:wordWrap/>
        <w:overflowPunct w:val="0"/>
        <w:topLinePunct w:val="0"/>
        <w:autoSpaceDE/>
        <w:autoSpaceDN/>
        <w:bidi w:val="0"/>
        <w:adjustRightInd/>
        <w:snapToGrid/>
        <w:spacing w:line="560" w:lineRule="exact"/>
        <w:ind w:firstLine="1280" w:firstLineChars="400"/>
        <w:textAlignment w:val="auto"/>
        <w:outlineLvl w:val="9"/>
        <w:rPr>
          <w:rFonts w:hint="eastAsia" w:ascii="仿宋_GB2312" w:hAnsi="仿宋_GB2312" w:eastAsia="仿宋_GB2312" w:cs="仿宋_GB2312"/>
          <w:snapToGrid w:val="0"/>
          <w:color w:val="auto"/>
          <w:spacing w:val="0"/>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任务分解表</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_GB2312" w:hAnsi="仿宋_GB2312" w:eastAsia="仿宋_GB2312" w:cs="仿宋_GB2312"/>
          <w:snapToGrid w:val="0"/>
          <w:color w:val="auto"/>
          <w:spacing w:val="-14"/>
          <w:kern w:val="0"/>
          <w:szCs w:val="22"/>
          <w:lang w:val="en-US" w:eastAsia="zh-CN"/>
        </w:rPr>
      </w:pPr>
      <w:r>
        <w:rPr>
          <w:rFonts w:hint="eastAsia" w:ascii="仿宋_GB2312" w:hAnsi="仿宋_GB2312" w:cs="仿宋_GB2312"/>
          <w:snapToGrid w:val="0"/>
          <w:color w:val="auto"/>
          <w:spacing w:val="0"/>
          <w:kern w:val="0"/>
          <w:szCs w:val="22"/>
          <w:lang w:val="en-US" w:eastAsia="zh-CN"/>
        </w:rPr>
        <w:t xml:space="preserve">         </w:t>
      </w:r>
      <w:r>
        <w:rPr>
          <w:rFonts w:hint="eastAsia" w:ascii="仿宋_GB2312" w:hAnsi="仿宋_GB2312" w:eastAsia="仿宋_GB2312" w:cs="仿宋_GB2312"/>
          <w:snapToGrid w:val="0"/>
          <w:color w:val="auto"/>
          <w:spacing w:val="0"/>
          <w:kern w:val="0"/>
          <w:szCs w:val="22"/>
          <w:lang w:val="en-US" w:eastAsia="zh-CN"/>
        </w:rPr>
        <w:t>8.</w:t>
      </w:r>
      <w:r>
        <w:rPr>
          <w:rFonts w:hint="eastAsia" w:ascii="仿宋_GB2312" w:hAnsi="仿宋_GB2312" w:eastAsia="仿宋_GB2312" w:cs="仿宋_GB2312"/>
          <w:snapToGrid w:val="0"/>
          <w:color w:val="auto"/>
          <w:spacing w:val="-14"/>
          <w:kern w:val="0"/>
          <w:szCs w:val="22"/>
          <w:lang w:val="en-US" w:eastAsia="zh-CN"/>
        </w:rPr>
        <w:t>太白县降低企业运行成本工作三年行动计划任务分解表</w:t>
      </w:r>
    </w:p>
    <w:p>
      <w:pPr>
        <w:keepNext w:val="0"/>
        <w:keepLines w:val="0"/>
        <w:pageBreakBefore w:val="0"/>
        <w:widowControl w:val="0"/>
        <w:kinsoku/>
        <w:wordWrap/>
        <w:overflowPunct w:val="0"/>
        <w:topLinePunct w:val="0"/>
        <w:autoSpaceDE/>
        <w:autoSpaceDN/>
        <w:bidi w:val="0"/>
        <w:adjustRightInd/>
        <w:snapToGrid/>
        <w:spacing w:line="540" w:lineRule="exact"/>
        <w:textAlignment w:val="auto"/>
        <w:outlineLvl w:val="9"/>
        <w:rPr>
          <w:rFonts w:hint="eastAsia" w:ascii="仿宋_GB2312" w:hAnsi="仿宋_GB2312" w:eastAsia="仿宋_GB2312" w:cs="仿宋_GB2312"/>
          <w:snapToGrid w:val="0"/>
          <w:color w:val="auto"/>
          <w:spacing w:val="-14"/>
          <w:kern w:val="0"/>
          <w:szCs w:val="22"/>
          <w:lang w:val="en-US" w:eastAsia="zh-CN"/>
        </w:rPr>
        <w:sectPr>
          <w:headerReference r:id="rId3" w:type="default"/>
          <w:footerReference r:id="rId4" w:type="default"/>
          <w:footerReference r:id="rId5" w:type="even"/>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435" w:charSpace="0"/>
        </w:sectPr>
      </w:pPr>
    </w:p>
    <w:p>
      <w:pPr>
        <w:keepNext w:val="0"/>
        <w:keepLines w:val="0"/>
        <w:pageBreakBefore w:val="0"/>
        <w:widowControl w:val="0"/>
        <w:kinsoku/>
        <w:wordWrap/>
        <w:topLinePunct w:val="0"/>
        <w:autoSpaceDE/>
        <w:autoSpaceDN/>
        <w:bidi w:val="0"/>
        <w:adjustRightInd/>
        <w:snapToGrid/>
        <w:spacing w:line="540" w:lineRule="exact"/>
        <w:jc w:val="both"/>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rPr>
        <w:t>1</w:t>
      </w:r>
    </w:p>
    <w:p>
      <w:pPr>
        <w:keepNext w:val="0"/>
        <w:keepLines w:val="0"/>
        <w:pageBreakBefore w:val="0"/>
        <w:widowControl w:val="0"/>
        <w:kinsoku/>
        <w:wordWrap/>
        <w:topLinePunct w:val="0"/>
        <w:autoSpaceDE/>
        <w:autoSpaceDN/>
        <w:bidi w:val="0"/>
        <w:adjustRightInd/>
        <w:snapToGrid/>
        <w:spacing w:line="540" w:lineRule="exact"/>
        <w:jc w:val="center"/>
        <w:rPr>
          <w:rFonts w:ascii="方正小标宋简体" w:eastAsia="方正小标宋简体"/>
          <w:sz w:val="44"/>
          <w:szCs w:val="44"/>
        </w:rPr>
      </w:pPr>
      <w:r>
        <w:rPr>
          <w:rFonts w:hint="eastAsia" w:ascii="方正小标宋简体" w:eastAsia="方正小标宋简体"/>
          <w:sz w:val="44"/>
          <w:szCs w:val="44"/>
          <w:lang w:eastAsia="zh-CN"/>
        </w:rPr>
        <w:t>太白县</w:t>
      </w:r>
      <w:r>
        <w:rPr>
          <w:rFonts w:hint="eastAsia" w:ascii="方正小标宋简体" w:eastAsia="方正小标宋简体"/>
          <w:sz w:val="44"/>
          <w:szCs w:val="44"/>
        </w:rPr>
        <w:t>开展简化企业开办与注销程序工作三年行动计划</w:t>
      </w:r>
      <w:r>
        <w:rPr>
          <w:rFonts w:hint="eastAsia" w:ascii="方正小标宋简体" w:hAnsi="方正小标宋简体" w:eastAsia="方正小标宋简体" w:cs="方正小标宋简体"/>
          <w:color w:val="000000"/>
          <w:kern w:val="0"/>
          <w:sz w:val="44"/>
          <w:szCs w:val="44"/>
        </w:rPr>
        <w:t>任务</w:t>
      </w:r>
      <w:r>
        <w:rPr>
          <w:rFonts w:hint="eastAsia" w:ascii="方正小标宋简体" w:eastAsia="方正小标宋简体"/>
          <w:sz w:val="44"/>
          <w:szCs w:val="44"/>
        </w:rPr>
        <w:t>分解表</w:t>
      </w:r>
    </w:p>
    <w:tbl>
      <w:tblPr>
        <w:tblStyle w:val="9"/>
        <w:tblW w:w="13078" w:type="dxa"/>
        <w:jc w:val="center"/>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8"/>
        <w:gridCol w:w="1841"/>
        <w:gridCol w:w="1080"/>
        <w:gridCol w:w="1070"/>
        <w:gridCol w:w="875"/>
        <w:gridCol w:w="806"/>
        <w:gridCol w:w="887"/>
        <w:gridCol w:w="2"/>
        <w:gridCol w:w="1148"/>
        <w:gridCol w:w="1222"/>
        <w:gridCol w:w="1181"/>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33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项目</w:t>
            </w:r>
          </w:p>
        </w:tc>
        <w:tc>
          <w:tcPr>
            <w:tcW w:w="184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具体指数</w:t>
            </w:r>
          </w:p>
        </w:tc>
        <w:tc>
          <w:tcPr>
            <w:tcW w:w="10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lang w:eastAsia="zh-CN"/>
              </w:rPr>
              <w:t>宝鸡</w:t>
            </w:r>
            <w:r>
              <w:rPr>
                <w:rFonts w:hint="eastAsia" w:ascii="黑体" w:hAnsi="黑体" w:eastAsia="黑体" w:cs="黑体"/>
                <w:b w:val="0"/>
                <w:bCs/>
                <w:sz w:val="20"/>
                <w:szCs w:val="20"/>
              </w:rPr>
              <w:t>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107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lang w:eastAsia="zh-CN"/>
              </w:rPr>
              <w:t>陕西</w:t>
            </w:r>
            <w:r>
              <w:rPr>
                <w:rFonts w:hint="eastAsia" w:ascii="黑体" w:hAnsi="黑体" w:eastAsia="黑体" w:cs="黑体"/>
                <w:b w:val="0"/>
                <w:bCs/>
                <w:sz w:val="20"/>
                <w:szCs w:val="20"/>
              </w:rPr>
              <w:t>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257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国内先进地区标准</w:t>
            </w:r>
          </w:p>
        </w:tc>
        <w:tc>
          <w:tcPr>
            <w:tcW w:w="355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三年行动计划</w:t>
            </w: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黑体" w:hAnsi="黑体" w:eastAsia="黑体" w:cs="黑体"/>
                <w:b w:val="0"/>
                <w:bCs/>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33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sz w:val="20"/>
                <w:szCs w:val="20"/>
              </w:rPr>
            </w:pPr>
          </w:p>
        </w:tc>
        <w:tc>
          <w:tcPr>
            <w:tcW w:w="184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sz w:val="20"/>
                <w:szCs w:val="20"/>
              </w:rPr>
            </w:pPr>
          </w:p>
        </w:tc>
        <w:tc>
          <w:tcPr>
            <w:tcW w:w="10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sz w:val="20"/>
                <w:szCs w:val="20"/>
              </w:rPr>
            </w:pPr>
          </w:p>
        </w:tc>
        <w:tc>
          <w:tcPr>
            <w:tcW w:w="10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上海</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广州</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北京</w:t>
            </w:r>
          </w:p>
        </w:tc>
        <w:tc>
          <w:tcPr>
            <w:tcW w:w="115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2018年</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2019年</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2020年</w:t>
            </w:r>
          </w:p>
        </w:tc>
        <w:tc>
          <w:tcPr>
            <w:tcW w:w="163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牵头</w:t>
            </w:r>
            <w:r>
              <w:rPr>
                <w:rFonts w:hint="eastAsia" w:ascii="仿宋_GB2312" w:hAnsi="仿宋_GB2312" w:eastAsia="仿宋_GB2312" w:cs="仿宋_GB2312"/>
                <w:b/>
                <w:bCs/>
                <w:sz w:val="20"/>
                <w:szCs w:val="20"/>
                <w:lang w:eastAsia="zh-CN"/>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县市场</w:t>
            </w:r>
            <w:r>
              <w:rPr>
                <w:rFonts w:hint="eastAsia" w:ascii="仿宋_GB2312" w:hAnsi="仿宋_GB2312" w:cs="仿宋_GB2312"/>
                <w:sz w:val="20"/>
                <w:szCs w:val="20"/>
                <w:lang w:eastAsia="zh-CN"/>
              </w:rPr>
              <w:t>监管</w:t>
            </w:r>
            <w:r>
              <w:rPr>
                <w:rFonts w:hint="eastAsia" w:ascii="仿宋_GB2312" w:hAnsi="仿宋_GB2312" w:eastAsia="仿宋_GB2312" w:cs="仿宋_GB2312"/>
                <w:sz w:val="20"/>
                <w:szCs w:val="20"/>
                <w:lang w:eastAsia="zh-CN"/>
              </w:rPr>
              <w:t>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成员单位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县</w:t>
            </w:r>
            <w:r>
              <w:rPr>
                <w:rFonts w:hint="eastAsia" w:ascii="仿宋_GB2312" w:hAnsi="仿宋_GB2312" w:eastAsia="仿宋_GB2312" w:cs="仿宋_GB2312"/>
                <w:sz w:val="20"/>
                <w:szCs w:val="20"/>
              </w:rPr>
              <w:t>公安局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县</w:t>
            </w:r>
            <w:r>
              <w:rPr>
                <w:rFonts w:hint="eastAsia" w:ascii="仿宋_GB2312" w:hAnsi="仿宋_GB2312" w:eastAsia="仿宋_GB2312" w:cs="仿宋_GB2312"/>
                <w:sz w:val="20"/>
                <w:szCs w:val="20"/>
              </w:rPr>
              <w:t>税务局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6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firstLine="560" w:firstLineChars="200"/>
              <w:textAlignment w:val="auto"/>
              <w:outlineLvl w:val="9"/>
              <w:rPr>
                <w:rFonts w:hint="eastAsia" w:ascii="仿宋_GB2312" w:hAnsi="仿宋_GB2312" w:eastAsia="仿宋_GB2312" w:cs="仿宋_GB2312"/>
                <w:spacing w:val="40"/>
                <w:sz w:val="20"/>
                <w:szCs w:val="20"/>
              </w:rPr>
            </w:pPr>
            <w:r>
              <w:rPr>
                <w:rFonts w:hint="eastAsia" w:ascii="仿宋_GB2312" w:hAnsi="仿宋_GB2312" w:eastAsia="仿宋_GB2312" w:cs="仿宋_GB2312"/>
                <w:spacing w:val="40"/>
                <w:sz w:val="20"/>
                <w:szCs w:val="20"/>
              </w:rPr>
              <w:t>简化企业开办与注销程序</w:t>
            </w:r>
          </w:p>
        </w:tc>
        <w:tc>
          <w:tcPr>
            <w:tcW w:w="6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pacing w:val="40"/>
                <w:sz w:val="20"/>
                <w:szCs w:val="20"/>
              </w:rPr>
              <w:t>简化企业开办</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办理环节数（个）</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6.3</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15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63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办理时间（工作日）</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15.1</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10.3</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12.7</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15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4.5</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63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申请材料件数（个）</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22</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23.5</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15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18</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18</w:t>
            </w:r>
          </w:p>
        </w:tc>
        <w:tc>
          <w:tcPr>
            <w:tcW w:w="163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c>
          <w:tcPr>
            <w:tcW w:w="66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pacing w:val="40"/>
                <w:sz w:val="20"/>
                <w:szCs w:val="20"/>
              </w:rPr>
            </w:pPr>
            <w:r>
              <w:rPr>
                <w:rFonts w:hint="eastAsia" w:ascii="仿宋_GB2312" w:hAnsi="仿宋_GB2312" w:eastAsia="仿宋_GB2312" w:cs="仿宋_GB2312"/>
                <w:spacing w:val="40"/>
                <w:sz w:val="20"/>
                <w:szCs w:val="20"/>
              </w:rPr>
              <w:t>简化企业注销</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办理环节数（个）</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15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63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办理时间（工作日）</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4.2</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15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63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6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c>
          <w:tcPr>
            <w:tcW w:w="66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申请材料件数（个）</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15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63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0"/>
                <w:szCs w:val="20"/>
              </w:rPr>
            </w:pPr>
          </w:p>
        </w:tc>
      </w:tr>
    </w:tbl>
    <w:p>
      <w:pPr>
        <w:keepNext w:val="0"/>
        <w:keepLines w:val="0"/>
        <w:pageBreakBefore w:val="0"/>
        <w:widowControl w:val="0"/>
        <w:kinsoku/>
        <w:wordWrap/>
        <w:topLinePunct w:val="0"/>
        <w:autoSpaceDE/>
        <w:autoSpaceDN/>
        <w:bidi w:val="0"/>
        <w:adjustRightInd/>
        <w:snapToGrid/>
        <w:spacing w:line="540" w:lineRule="exact"/>
        <w:jc w:val="both"/>
        <w:rPr>
          <w:rFonts w:hint="eastAsia" w:ascii="黑体" w:hAnsi="黑体" w:eastAsia="黑体" w:cs="黑体"/>
          <w:sz w:val="32"/>
          <w:szCs w:val="32"/>
          <w:lang w:eastAsia="zh-CN"/>
        </w:rPr>
      </w:pPr>
    </w:p>
    <w:p>
      <w:pPr>
        <w:keepNext w:val="0"/>
        <w:keepLines w:val="0"/>
        <w:pageBreakBefore w:val="0"/>
        <w:widowControl w:val="0"/>
        <w:kinsoku/>
        <w:wordWrap/>
        <w:topLinePunct w:val="0"/>
        <w:autoSpaceDE/>
        <w:autoSpaceDN/>
        <w:bidi w:val="0"/>
        <w:adjustRightInd/>
        <w:snapToGrid/>
        <w:spacing w:line="54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topLinePunct w:val="0"/>
        <w:autoSpaceDE/>
        <w:autoSpaceDN/>
        <w:bidi w:val="0"/>
        <w:adjustRightInd/>
        <w:snapToGrid/>
        <w:spacing w:line="540" w:lineRule="exact"/>
        <w:jc w:val="center"/>
        <w:rPr>
          <w:rFonts w:ascii="方正小标宋简体" w:eastAsia="方正小标宋简体"/>
          <w:sz w:val="44"/>
          <w:szCs w:val="44"/>
        </w:rPr>
      </w:pPr>
      <w:r>
        <w:rPr>
          <w:rFonts w:hint="eastAsia" w:ascii="方正小标宋简体" w:eastAsia="方正小标宋简体"/>
          <w:sz w:val="44"/>
          <w:szCs w:val="44"/>
          <w:lang w:eastAsia="zh-CN"/>
        </w:rPr>
        <w:t>太白县</w:t>
      </w:r>
      <w:r>
        <w:rPr>
          <w:rFonts w:hint="eastAsia" w:ascii="方正小标宋简体" w:eastAsia="方正小标宋简体"/>
          <w:sz w:val="44"/>
          <w:szCs w:val="44"/>
        </w:rPr>
        <w:t>开展简化施工许可证办理工作三年行动计划</w:t>
      </w:r>
      <w:r>
        <w:rPr>
          <w:rFonts w:hint="eastAsia" w:ascii="方正小标宋简体" w:hAnsi="方正小标宋简体" w:eastAsia="方正小标宋简体" w:cs="方正小标宋简体"/>
          <w:color w:val="000000"/>
          <w:kern w:val="0"/>
          <w:sz w:val="44"/>
          <w:szCs w:val="44"/>
        </w:rPr>
        <w:t>任务</w:t>
      </w:r>
      <w:r>
        <w:rPr>
          <w:rFonts w:hint="eastAsia" w:ascii="方正小标宋简体" w:eastAsia="方正小标宋简体"/>
          <w:sz w:val="44"/>
          <w:szCs w:val="44"/>
        </w:rPr>
        <w:t>分解表</w:t>
      </w:r>
    </w:p>
    <w:tbl>
      <w:tblPr>
        <w:tblStyle w:val="8"/>
        <w:tblW w:w="13542" w:type="dxa"/>
        <w:tblInd w:w="76" w:type="dxa"/>
        <w:tblLayout w:type="fixed"/>
        <w:tblCellMar>
          <w:top w:w="15" w:type="dxa"/>
          <w:left w:w="15" w:type="dxa"/>
          <w:bottom w:w="15" w:type="dxa"/>
          <w:right w:w="15" w:type="dxa"/>
        </w:tblCellMar>
      </w:tblPr>
      <w:tblGrid>
        <w:gridCol w:w="723"/>
        <w:gridCol w:w="1222"/>
        <w:gridCol w:w="861"/>
        <w:gridCol w:w="962"/>
        <w:gridCol w:w="635"/>
        <w:gridCol w:w="568"/>
        <w:gridCol w:w="675"/>
        <w:gridCol w:w="689"/>
        <w:gridCol w:w="2646"/>
        <w:gridCol w:w="1241"/>
        <w:gridCol w:w="954"/>
        <w:gridCol w:w="1023"/>
        <w:gridCol w:w="1343"/>
      </w:tblGrid>
      <w:tr>
        <w:tblPrEx>
          <w:tblLayout w:type="fixed"/>
          <w:tblCellMar>
            <w:top w:w="15" w:type="dxa"/>
            <w:left w:w="15" w:type="dxa"/>
            <w:bottom w:w="15" w:type="dxa"/>
            <w:right w:w="15" w:type="dxa"/>
          </w:tblCellMar>
        </w:tblPrEx>
        <w:trPr>
          <w:trHeight w:val="531" w:hRule="atLeast"/>
        </w:trPr>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项目</w:t>
            </w:r>
          </w:p>
        </w:tc>
        <w:tc>
          <w:tcPr>
            <w:tcW w:w="12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具体指标</w:t>
            </w:r>
          </w:p>
        </w:tc>
        <w:tc>
          <w:tcPr>
            <w:tcW w:w="86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lang w:eastAsia="zh-CN"/>
              </w:rPr>
              <w:t>宝鸡</w:t>
            </w:r>
            <w:r>
              <w:rPr>
                <w:rFonts w:hint="eastAsia" w:ascii="黑体" w:hAnsi="黑体" w:eastAsia="黑体" w:cs="黑体"/>
                <w:b w:val="0"/>
                <w:bCs/>
                <w:sz w:val="20"/>
                <w:szCs w:val="20"/>
              </w:rPr>
              <w:t>市平均水平</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lang w:eastAsia="zh-CN"/>
              </w:rPr>
              <w:t>陕西</w:t>
            </w:r>
            <w:r>
              <w:rPr>
                <w:rFonts w:hint="eastAsia" w:ascii="黑体" w:hAnsi="黑体" w:eastAsia="黑体" w:cs="黑体"/>
                <w:b w:val="0"/>
                <w:bCs/>
                <w:sz w:val="20"/>
                <w:szCs w:val="20"/>
              </w:rPr>
              <w:t>省平均水平</w:t>
            </w:r>
          </w:p>
        </w:tc>
        <w:tc>
          <w:tcPr>
            <w:tcW w:w="635" w:type="dxa"/>
            <w:vMerge w:val="restart"/>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全国平均水平</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color w:val="000000"/>
                <w:spacing w:val="0"/>
                <w:kern w:val="0"/>
                <w:sz w:val="20"/>
                <w:szCs w:val="20"/>
              </w:rPr>
            </w:pPr>
            <w:r>
              <w:rPr>
                <w:rFonts w:hint="eastAsia" w:ascii="黑体" w:hAnsi="黑体" w:eastAsia="黑体" w:cs="黑体"/>
                <w:color w:val="000000"/>
                <w:spacing w:val="0"/>
                <w:kern w:val="0"/>
                <w:sz w:val="20"/>
                <w:szCs w:val="20"/>
              </w:rPr>
              <w:t>国内先进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sz w:val="20"/>
                <w:szCs w:val="20"/>
              </w:rPr>
            </w:pPr>
            <w:r>
              <w:rPr>
                <w:rFonts w:hint="eastAsia" w:ascii="黑体" w:hAnsi="黑体" w:eastAsia="黑体" w:cs="黑体"/>
                <w:color w:val="000000"/>
                <w:spacing w:val="0"/>
                <w:kern w:val="0"/>
                <w:sz w:val="20"/>
                <w:szCs w:val="20"/>
              </w:rPr>
              <w:t>地区标准</w:t>
            </w:r>
          </w:p>
        </w:tc>
        <w:tc>
          <w:tcPr>
            <w:tcW w:w="6553" w:type="dxa"/>
            <w:gridSpan w:val="5"/>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三年行动计划</w:t>
            </w:r>
          </w:p>
        </w:tc>
        <w:tc>
          <w:tcPr>
            <w:tcW w:w="1343"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黑体" w:hAnsi="黑体" w:eastAsia="黑体" w:cs="黑体"/>
                <w:b w:val="0"/>
                <w:bCs/>
                <w:sz w:val="20"/>
                <w:szCs w:val="20"/>
              </w:rPr>
              <w:t>责任单位</w:t>
            </w:r>
          </w:p>
        </w:tc>
      </w:tr>
      <w:tr>
        <w:tblPrEx>
          <w:tblLayout w:type="fixed"/>
          <w:tblCellMar>
            <w:top w:w="15" w:type="dxa"/>
            <w:left w:w="15" w:type="dxa"/>
            <w:bottom w:w="15" w:type="dxa"/>
            <w:right w:w="15" w:type="dxa"/>
          </w:tblCellMar>
        </w:tblPrEx>
        <w:trPr>
          <w:trHeight w:val="319" w:hRule="atLeast"/>
        </w:trPr>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p>
        </w:tc>
        <w:tc>
          <w:tcPr>
            <w:tcW w:w="86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p>
        </w:tc>
        <w:tc>
          <w:tcPr>
            <w:tcW w:w="635" w:type="dxa"/>
            <w:vMerge w:val="continue"/>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p>
        </w:tc>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重庆</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天津</w:t>
            </w:r>
          </w:p>
        </w:tc>
        <w:tc>
          <w:tcPr>
            <w:tcW w:w="33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2018年</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2019年</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2020年</w:t>
            </w:r>
          </w:p>
        </w:tc>
        <w:tc>
          <w:tcPr>
            <w:tcW w:w="1343"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牵头单位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县住建</w:t>
            </w:r>
            <w:r>
              <w:rPr>
                <w:rFonts w:hint="eastAsia" w:ascii="仿宋_GB2312" w:hAnsi="仿宋_GB2312" w:cs="仿宋_GB2312"/>
                <w:sz w:val="20"/>
                <w:szCs w:val="20"/>
                <w:lang w:eastAsia="zh-CN"/>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成员单位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县</w:t>
            </w:r>
            <w:r>
              <w:rPr>
                <w:rFonts w:hint="eastAsia" w:ascii="仿宋_GB2312" w:hAnsi="仿宋_GB2312" w:eastAsia="仿宋_GB2312" w:cs="仿宋_GB2312"/>
                <w:sz w:val="20"/>
                <w:szCs w:val="20"/>
              </w:rPr>
              <w:t>发改</w:t>
            </w:r>
            <w:r>
              <w:rPr>
                <w:rFonts w:hint="eastAsia" w:ascii="仿宋_GB2312" w:hAnsi="仿宋_GB2312" w:eastAsia="仿宋_GB2312" w:cs="仿宋_GB2312"/>
                <w:sz w:val="20"/>
                <w:szCs w:val="20"/>
                <w:lang w:eastAsia="zh-CN"/>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县</w:t>
            </w:r>
            <w:r>
              <w:rPr>
                <w:rFonts w:hint="eastAsia" w:ascii="仿宋_GB2312" w:hAnsi="仿宋_GB2312" w:eastAsia="仿宋_GB2312" w:cs="仿宋_GB2312"/>
                <w:sz w:val="20"/>
                <w:szCs w:val="20"/>
              </w:rPr>
              <w:t>国土</w:t>
            </w:r>
            <w:r>
              <w:rPr>
                <w:rFonts w:hint="eastAsia" w:ascii="仿宋_GB2312" w:hAnsi="仿宋_GB2312" w:cs="仿宋_GB2312"/>
                <w:sz w:val="20"/>
                <w:szCs w:val="20"/>
                <w:lang w:eastAsia="zh-CN"/>
              </w:rPr>
              <w:t>资源</w:t>
            </w:r>
            <w:r>
              <w:rPr>
                <w:rFonts w:hint="eastAsia" w:ascii="仿宋_GB2312" w:hAnsi="仿宋_GB2312" w:eastAsia="仿宋_GB2312" w:cs="仿宋_GB2312"/>
                <w:sz w:val="20"/>
                <w:szCs w:val="20"/>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县</w:t>
            </w:r>
            <w:r>
              <w:rPr>
                <w:rFonts w:hint="eastAsia" w:ascii="仿宋_GB2312" w:hAnsi="仿宋_GB2312" w:eastAsia="仿宋_GB2312" w:cs="仿宋_GB2312"/>
                <w:sz w:val="20"/>
                <w:szCs w:val="20"/>
              </w:rPr>
              <w:t>水利局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县</w:t>
            </w:r>
            <w:r>
              <w:rPr>
                <w:rFonts w:hint="eastAsia" w:ascii="仿宋_GB2312" w:hAnsi="仿宋_GB2312" w:eastAsia="仿宋_GB2312" w:cs="仿宋_GB2312"/>
                <w:sz w:val="20"/>
                <w:szCs w:val="20"/>
              </w:rPr>
              <w:t>环保局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县</w:t>
            </w:r>
            <w:r>
              <w:rPr>
                <w:rFonts w:hint="eastAsia" w:ascii="仿宋_GB2312" w:hAnsi="仿宋_GB2312" w:eastAsia="仿宋_GB2312" w:cs="仿宋_GB2312"/>
                <w:sz w:val="20"/>
                <w:szCs w:val="20"/>
              </w:rPr>
              <w:t>旅发委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lang w:eastAsia="zh-CN"/>
              </w:rPr>
              <w:t>县</w:t>
            </w:r>
            <w:r>
              <w:rPr>
                <w:rFonts w:hint="eastAsia" w:ascii="仿宋_GB2312" w:hAnsi="仿宋_GB2312" w:eastAsia="仿宋_GB2312" w:cs="仿宋_GB2312"/>
                <w:sz w:val="20"/>
                <w:szCs w:val="20"/>
              </w:rPr>
              <w:t>气象局</w:t>
            </w:r>
          </w:p>
        </w:tc>
      </w:tr>
      <w:tr>
        <w:tblPrEx>
          <w:tblLayout w:type="fixed"/>
          <w:tblCellMar>
            <w:top w:w="15" w:type="dxa"/>
            <w:left w:w="15" w:type="dxa"/>
            <w:bottom w:w="15" w:type="dxa"/>
            <w:right w:w="15" w:type="dxa"/>
          </w:tblCellMar>
        </w:tblPrEx>
        <w:trPr>
          <w:trHeight w:val="364" w:hRule="atLeast"/>
        </w:trPr>
        <w:tc>
          <w:tcPr>
            <w:tcW w:w="72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sz w:val="20"/>
                <w:szCs w:val="20"/>
              </w:rPr>
            </w:pPr>
            <w:r>
              <w:rPr>
                <w:rFonts w:hint="eastAsia" w:ascii="仿宋_GB2312" w:hAnsi="仿宋_GB2312" w:eastAsia="仿宋_GB2312" w:cs="仿宋_GB2312"/>
                <w:color w:val="000000"/>
                <w:spacing w:val="0"/>
                <w:kern w:val="0"/>
                <w:sz w:val="20"/>
                <w:szCs w:val="20"/>
              </w:rPr>
              <w:t>简化施工许</w:t>
            </w:r>
            <w:r>
              <w:rPr>
                <w:rFonts w:hint="eastAsia" w:ascii="仿宋_GB2312" w:hAnsi="仿宋_GB2312" w:eastAsia="仿宋_GB2312" w:cs="仿宋_GB2312"/>
                <w:color w:val="000000"/>
                <w:spacing w:val="0"/>
                <w:kern w:val="0"/>
                <w:sz w:val="20"/>
                <w:szCs w:val="20"/>
                <w:lang w:eastAsia="zh-CN"/>
              </w:rPr>
              <w:t>可</w:t>
            </w:r>
            <w:r>
              <w:rPr>
                <w:rFonts w:hint="eastAsia" w:ascii="仿宋_GB2312" w:hAnsi="仿宋_GB2312" w:eastAsia="仿宋_GB2312" w:cs="仿宋_GB2312"/>
                <w:color w:val="000000"/>
                <w:spacing w:val="0"/>
                <w:kern w:val="0"/>
                <w:sz w:val="20"/>
                <w:szCs w:val="20"/>
              </w:rPr>
              <w:t>证办理程序</w:t>
            </w:r>
          </w:p>
        </w:tc>
        <w:tc>
          <w:tcPr>
            <w:tcW w:w="122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spacing w:val="0"/>
                <w:kern w:val="0"/>
                <w:sz w:val="20"/>
                <w:szCs w:val="20"/>
              </w:rPr>
            </w:pPr>
            <w:r>
              <w:rPr>
                <w:rFonts w:hint="eastAsia" w:ascii="仿宋_GB2312" w:hAnsi="仿宋_GB2312" w:eastAsia="仿宋_GB2312" w:cs="仿宋_GB2312"/>
                <w:snapToGrid w:val="0"/>
                <w:color w:val="000000"/>
                <w:spacing w:val="0"/>
                <w:kern w:val="0"/>
                <w:sz w:val="20"/>
                <w:szCs w:val="20"/>
              </w:rPr>
              <w:t>实际所花总时间（日）</w:t>
            </w:r>
          </w:p>
        </w:tc>
        <w:tc>
          <w:tcPr>
            <w:tcW w:w="86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160.8</w:t>
            </w:r>
          </w:p>
        </w:tc>
        <w:tc>
          <w:tcPr>
            <w:tcW w:w="96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523</w:t>
            </w:r>
          </w:p>
        </w:tc>
        <w:tc>
          <w:tcPr>
            <w:tcW w:w="635" w:type="dxa"/>
            <w:vMerge w:val="restart"/>
            <w:tcBorders>
              <w:top w:val="single" w:color="000000" w:sz="4" w:space="0"/>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569</w:t>
            </w:r>
          </w:p>
        </w:tc>
        <w:tc>
          <w:tcPr>
            <w:tcW w:w="56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322</w:t>
            </w:r>
          </w:p>
        </w:tc>
        <w:tc>
          <w:tcPr>
            <w:tcW w:w="67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390</w:t>
            </w:r>
          </w:p>
        </w:tc>
        <w:tc>
          <w:tcPr>
            <w:tcW w:w="68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政府投资的审批类项目</w:t>
            </w:r>
          </w:p>
        </w:tc>
        <w:tc>
          <w:tcPr>
            <w:tcW w:w="26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实际所用总时间（工作日）</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spacing w:val="0"/>
                <w:kern w:val="0"/>
                <w:sz w:val="20"/>
                <w:szCs w:val="20"/>
              </w:rPr>
            </w:pPr>
            <w:r>
              <w:rPr>
                <w:rFonts w:hint="eastAsia" w:ascii="仿宋_GB2312" w:hAnsi="仿宋_GB2312" w:eastAsia="仿宋_GB2312" w:cs="仿宋_GB2312"/>
                <w:snapToGrid w:val="0"/>
                <w:spacing w:val="0"/>
                <w:kern w:val="0"/>
                <w:sz w:val="20"/>
                <w:szCs w:val="20"/>
              </w:rPr>
              <w:t>120</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spacing w:val="0"/>
                <w:kern w:val="0"/>
                <w:sz w:val="20"/>
                <w:szCs w:val="20"/>
              </w:rPr>
            </w:pPr>
            <w:r>
              <w:rPr>
                <w:rFonts w:hint="eastAsia" w:ascii="仿宋_GB2312" w:hAnsi="仿宋_GB2312" w:eastAsia="仿宋_GB2312" w:cs="仿宋_GB2312"/>
                <w:snapToGrid w:val="0"/>
                <w:spacing w:val="0"/>
                <w:kern w:val="0"/>
                <w:sz w:val="20"/>
                <w:szCs w:val="20"/>
              </w:rPr>
              <w:t>120</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spacing w:val="0"/>
                <w:kern w:val="0"/>
                <w:sz w:val="20"/>
                <w:szCs w:val="20"/>
              </w:rPr>
            </w:pPr>
            <w:r>
              <w:rPr>
                <w:rFonts w:hint="eastAsia" w:ascii="仿宋_GB2312" w:hAnsi="仿宋_GB2312" w:eastAsia="仿宋_GB2312" w:cs="仿宋_GB2312"/>
                <w:snapToGrid w:val="0"/>
                <w:spacing w:val="0"/>
                <w:kern w:val="0"/>
                <w:sz w:val="20"/>
                <w:szCs w:val="20"/>
              </w:rPr>
              <w:t>120</w:t>
            </w:r>
          </w:p>
        </w:tc>
        <w:tc>
          <w:tcPr>
            <w:tcW w:w="1343"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trHeight w:val="1047" w:hRule="atLeast"/>
        </w:trPr>
        <w:tc>
          <w:tcPr>
            <w:tcW w:w="72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222"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spacing w:val="0"/>
                <w:kern w:val="0"/>
                <w:sz w:val="20"/>
                <w:szCs w:val="20"/>
              </w:rPr>
            </w:pPr>
          </w:p>
        </w:tc>
        <w:tc>
          <w:tcPr>
            <w:tcW w:w="861"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962"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35" w:type="dxa"/>
            <w:vMerge w:val="continue"/>
            <w:tcBorders>
              <w:left w:val="single" w:color="000000"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568"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7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8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p>
        </w:tc>
        <w:tc>
          <w:tcPr>
            <w:tcW w:w="26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政府部门审批所用时间</w:t>
            </w:r>
          </w:p>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（工作日）</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spacing w:val="0"/>
                <w:kern w:val="0"/>
                <w:sz w:val="20"/>
                <w:szCs w:val="20"/>
              </w:rPr>
            </w:pPr>
            <w:r>
              <w:rPr>
                <w:rFonts w:hint="eastAsia" w:ascii="仿宋_GB2312" w:hAnsi="仿宋_GB2312" w:eastAsia="仿宋_GB2312" w:cs="仿宋_GB2312"/>
                <w:snapToGrid w:val="0"/>
                <w:spacing w:val="0"/>
                <w:kern w:val="0"/>
                <w:sz w:val="20"/>
                <w:szCs w:val="20"/>
              </w:rPr>
              <w:t>58</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spacing w:val="0"/>
                <w:kern w:val="0"/>
                <w:sz w:val="20"/>
                <w:szCs w:val="20"/>
              </w:rPr>
            </w:pPr>
            <w:r>
              <w:rPr>
                <w:rFonts w:hint="eastAsia" w:ascii="仿宋_GB2312" w:hAnsi="仿宋_GB2312" w:eastAsia="仿宋_GB2312" w:cs="仿宋_GB2312"/>
                <w:snapToGrid w:val="0"/>
                <w:spacing w:val="0"/>
                <w:kern w:val="0"/>
                <w:sz w:val="20"/>
                <w:szCs w:val="20"/>
              </w:rPr>
              <w:t>58</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spacing w:val="0"/>
                <w:kern w:val="0"/>
                <w:sz w:val="20"/>
                <w:szCs w:val="20"/>
              </w:rPr>
            </w:pPr>
            <w:r>
              <w:rPr>
                <w:rFonts w:hint="eastAsia" w:ascii="仿宋_GB2312" w:hAnsi="仿宋_GB2312" w:eastAsia="仿宋_GB2312" w:cs="仿宋_GB2312"/>
                <w:snapToGrid w:val="0"/>
                <w:spacing w:val="0"/>
                <w:kern w:val="0"/>
                <w:sz w:val="20"/>
                <w:szCs w:val="20"/>
              </w:rPr>
              <w:t>58</w:t>
            </w:r>
          </w:p>
        </w:tc>
        <w:tc>
          <w:tcPr>
            <w:tcW w:w="1343"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trHeight w:val="763" w:hRule="atLeast"/>
        </w:trPr>
        <w:tc>
          <w:tcPr>
            <w:tcW w:w="723"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spacing w:val="0"/>
                <w:kern w:val="0"/>
                <w:sz w:val="20"/>
                <w:szCs w:val="20"/>
              </w:rPr>
            </w:pPr>
            <w:r>
              <w:rPr>
                <w:rFonts w:hint="eastAsia" w:ascii="仿宋_GB2312" w:hAnsi="仿宋_GB2312" w:eastAsia="仿宋_GB2312" w:cs="仿宋_GB2312"/>
                <w:snapToGrid w:val="0"/>
                <w:color w:val="000000"/>
                <w:spacing w:val="0"/>
                <w:kern w:val="0"/>
                <w:sz w:val="20"/>
                <w:szCs w:val="20"/>
              </w:rPr>
              <w:t>政府部门审批所花时间（日）</w:t>
            </w:r>
          </w:p>
        </w:tc>
        <w:tc>
          <w:tcPr>
            <w:tcW w:w="86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9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226</w:t>
            </w:r>
          </w:p>
        </w:tc>
        <w:tc>
          <w:tcPr>
            <w:tcW w:w="63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249</w:t>
            </w:r>
          </w:p>
        </w:tc>
        <w:tc>
          <w:tcPr>
            <w:tcW w:w="5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155</w:t>
            </w:r>
          </w:p>
        </w:tc>
        <w:tc>
          <w:tcPr>
            <w:tcW w:w="6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124</w:t>
            </w:r>
          </w:p>
        </w:tc>
        <w:tc>
          <w:tcPr>
            <w:tcW w:w="689"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p>
        </w:tc>
        <w:tc>
          <w:tcPr>
            <w:tcW w:w="2646"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技术审查、中介服务、市政公用服务及备案等事项所用时限</w:t>
            </w:r>
          </w:p>
        </w:tc>
        <w:tc>
          <w:tcPr>
            <w:tcW w:w="3218" w:type="dxa"/>
            <w:gridSpan w:val="3"/>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与行政审批并行推进，在实际所用总时限内完成所有事项</w:t>
            </w:r>
          </w:p>
        </w:tc>
        <w:tc>
          <w:tcPr>
            <w:tcW w:w="1343"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trHeight w:val="452" w:hRule="atLeast"/>
        </w:trPr>
        <w:tc>
          <w:tcPr>
            <w:tcW w:w="723"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spacing w:val="0"/>
                <w:kern w:val="0"/>
                <w:sz w:val="20"/>
                <w:szCs w:val="20"/>
              </w:rPr>
            </w:pPr>
          </w:p>
        </w:tc>
        <w:tc>
          <w:tcPr>
            <w:tcW w:w="86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96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3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5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89"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p>
        </w:tc>
        <w:tc>
          <w:tcPr>
            <w:tcW w:w="26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实际办理事项数</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47</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47</w:t>
            </w:r>
          </w:p>
        </w:tc>
        <w:tc>
          <w:tcPr>
            <w:tcW w:w="102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47</w:t>
            </w:r>
          </w:p>
        </w:tc>
        <w:tc>
          <w:tcPr>
            <w:tcW w:w="1343"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trHeight w:val="679" w:hRule="atLeast"/>
        </w:trPr>
        <w:tc>
          <w:tcPr>
            <w:tcW w:w="72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222"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spacing w:val="0"/>
                <w:kern w:val="0"/>
                <w:sz w:val="20"/>
                <w:szCs w:val="20"/>
              </w:rPr>
            </w:pPr>
            <w:r>
              <w:rPr>
                <w:rFonts w:hint="eastAsia" w:ascii="仿宋_GB2312" w:hAnsi="仿宋_GB2312" w:eastAsia="仿宋_GB2312" w:cs="仿宋_GB2312"/>
                <w:snapToGrid w:val="0"/>
                <w:color w:val="000000"/>
                <w:spacing w:val="0"/>
                <w:kern w:val="0"/>
                <w:sz w:val="20"/>
                <w:szCs w:val="20"/>
              </w:rPr>
              <w:t>中介服务所花时间（日）</w:t>
            </w:r>
          </w:p>
        </w:tc>
        <w:tc>
          <w:tcPr>
            <w:tcW w:w="861"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962"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232</w:t>
            </w:r>
          </w:p>
        </w:tc>
        <w:tc>
          <w:tcPr>
            <w:tcW w:w="635"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258</w:t>
            </w:r>
          </w:p>
        </w:tc>
        <w:tc>
          <w:tcPr>
            <w:tcW w:w="568"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128</w:t>
            </w:r>
          </w:p>
        </w:tc>
        <w:tc>
          <w:tcPr>
            <w:tcW w:w="675"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213</w:t>
            </w:r>
          </w:p>
        </w:tc>
        <w:tc>
          <w:tcPr>
            <w:tcW w:w="68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社会投资的核准（备案）类项目</w:t>
            </w:r>
          </w:p>
        </w:tc>
        <w:tc>
          <w:tcPr>
            <w:tcW w:w="26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实际所用总时间</w:t>
            </w:r>
          </w:p>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（工作日）</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120</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110</w:t>
            </w:r>
          </w:p>
        </w:tc>
        <w:tc>
          <w:tcPr>
            <w:tcW w:w="102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90</w:t>
            </w:r>
          </w:p>
        </w:tc>
        <w:tc>
          <w:tcPr>
            <w:tcW w:w="1343"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trHeight w:val="449" w:hRule="atLeast"/>
        </w:trPr>
        <w:tc>
          <w:tcPr>
            <w:tcW w:w="72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22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spacing w:val="0"/>
                <w:kern w:val="0"/>
                <w:sz w:val="20"/>
                <w:szCs w:val="20"/>
              </w:rPr>
            </w:pPr>
          </w:p>
        </w:tc>
        <w:tc>
          <w:tcPr>
            <w:tcW w:w="86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96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3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568"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7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8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p>
        </w:tc>
        <w:tc>
          <w:tcPr>
            <w:tcW w:w="26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政府部门审批所花时间</w:t>
            </w:r>
          </w:p>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（工作日）</w:t>
            </w:r>
          </w:p>
        </w:tc>
        <w:tc>
          <w:tcPr>
            <w:tcW w:w="12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58</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38</w:t>
            </w:r>
          </w:p>
        </w:tc>
        <w:tc>
          <w:tcPr>
            <w:tcW w:w="102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38</w:t>
            </w:r>
          </w:p>
        </w:tc>
        <w:tc>
          <w:tcPr>
            <w:tcW w:w="1343"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trHeight w:val="695" w:hRule="atLeast"/>
        </w:trPr>
        <w:tc>
          <w:tcPr>
            <w:tcW w:w="72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222"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spacing w:val="0"/>
                <w:kern w:val="0"/>
                <w:sz w:val="20"/>
                <w:szCs w:val="20"/>
              </w:rPr>
            </w:pPr>
            <w:r>
              <w:rPr>
                <w:rFonts w:hint="eastAsia" w:ascii="仿宋_GB2312" w:hAnsi="仿宋_GB2312" w:eastAsia="仿宋_GB2312" w:cs="仿宋_GB2312"/>
                <w:snapToGrid w:val="0"/>
                <w:color w:val="000000"/>
                <w:spacing w:val="0"/>
                <w:kern w:val="0"/>
                <w:sz w:val="20"/>
                <w:szCs w:val="20"/>
              </w:rPr>
              <w:t>实际办理事项数（项）</w:t>
            </w:r>
          </w:p>
        </w:tc>
        <w:tc>
          <w:tcPr>
            <w:tcW w:w="86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24.3</w:t>
            </w:r>
          </w:p>
        </w:tc>
        <w:tc>
          <w:tcPr>
            <w:tcW w:w="96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43</w:t>
            </w:r>
          </w:p>
        </w:tc>
        <w:tc>
          <w:tcPr>
            <w:tcW w:w="63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43</w:t>
            </w:r>
          </w:p>
        </w:tc>
        <w:tc>
          <w:tcPr>
            <w:tcW w:w="56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46</w:t>
            </w:r>
          </w:p>
        </w:tc>
        <w:tc>
          <w:tcPr>
            <w:tcW w:w="67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43</w:t>
            </w:r>
          </w:p>
        </w:tc>
        <w:tc>
          <w:tcPr>
            <w:tcW w:w="68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p>
        </w:tc>
        <w:tc>
          <w:tcPr>
            <w:tcW w:w="26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技术审查、中介服务、市政公用服务及备案等事项所用时限</w:t>
            </w:r>
          </w:p>
        </w:tc>
        <w:tc>
          <w:tcPr>
            <w:tcW w:w="3218"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与行政审批并行推进，在实际所用总时限内完成所有事项</w:t>
            </w:r>
          </w:p>
        </w:tc>
        <w:tc>
          <w:tcPr>
            <w:tcW w:w="1343"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trHeight w:val="398" w:hRule="atLeast"/>
        </w:trPr>
        <w:tc>
          <w:tcPr>
            <w:tcW w:w="723"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c>
          <w:tcPr>
            <w:tcW w:w="1222"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861"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962"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3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568"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75"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p>
        </w:tc>
        <w:tc>
          <w:tcPr>
            <w:tcW w:w="689"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p>
        </w:tc>
        <w:tc>
          <w:tcPr>
            <w:tcW w:w="264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实际办理事项数</w:t>
            </w:r>
          </w:p>
        </w:tc>
        <w:tc>
          <w:tcPr>
            <w:tcW w:w="124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26</w:t>
            </w:r>
          </w:p>
        </w:tc>
        <w:tc>
          <w:tcPr>
            <w:tcW w:w="95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26</w:t>
            </w:r>
          </w:p>
        </w:tc>
        <w:tc>
          <w:tcPr>
            <w:tcW w:w="1023"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napToGrid w:val="0"/>
                <w:color w:val="000000"/>
                <w:spacing w:val="0"/>
                <w:kern w:val="0"/>
                <w:sz w:val="20"/>
                <w:szCs w:val="20"/>
              </w:rPr>
            </w:pPr>
            <w:r>
              <w:rPr>
                <w:rFonts w:hint="eastAsia" w:ascii="仿宋_GB2312" w:hAnsi="仿宋_GB2312" w:eastAsia="仿宋_GB2312" w:cs="仿宋_GB2312"/>
                <w:snapToGrid w:val="0"/>
                <w:color w:val="000000"/>
                <w:spacing w:val="0"/>
                <w:kern w:val="0"/>
                <w:sz w:val="20"/>
                <w:szCs w:val="20"/>
              </w:rPr>
              <w:t>26</w:t>
            </w:r>
          </w:p>
        </w:tc>
        <w:tc>
          <w:tcPr>
            <w:tcW w:w="1343"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r>
    </w:tbl>
    <w:p>
      <w:pPr>
        <w:keepNext w:val="0"/>
        <w:keepLines w:val="0"/>
        <w:pageBreakBefore w:val="0"/>
        <w:widowControl w:val="0"/>
        <w:kinsoku/>
        <w:wordWrap/>
        <w:topLinePunct w:val="0"/>
        <w:autoSpaceDE/>
        <w:autoSpaceDN/>
        <w:bidi w:val="0"/>
        <w:adjustRightInd/>
        <w:snapToGrid/>
        <w:spacing w:line="540" w:lineRule="exact"/>
        <w:jc w:val="both"/>
        <w:rPr>
          <w:rFonts w:hint="eastAsia" w:ascii="方正小标宋简体" w:hAnsi="方正小标宋简体" w:eastAsia="方正小标宋简体" w:cs="方正小标宋简体"/>
          <w:color w:val="000000"/>
          <w:kern w:val="0"/>
          <w:sz w:val="36"/>
          <w:szCs w:val="36"/>
          <w:lang w:val="en-US"/>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topLinePunct w:val="0"/>
        <w:autoSpaceDE/>
        <w:autoSpaceDN/>
        <w:bidi w:val="0"/>
        <w:adjustRightInd/>
        <w:snapToGrid/>
        <w:spacing w:line="54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太白县</w:t>
      </w:r>
      <w:r>
        <w:rPr>
          <w:rFonts w:hint="eastAsia" w:ascii="方正小标宋简体" w:hAnsi="方正小标宋简体" w:eastAsia="方正小标宋简体" w:cs="方正小标宋简体"/>
          <w:color w:val="000000"/>
          <w:kern w:val="0"/>
          <w:sz w:val="44"/>
          <w:szCs w:val="44"/>
        </w:rPr>
        <w:t>方便企业获得水电气暖工作三年行动计划任务分解表</w:t>
      </w:r>
    </w:p>
    <w:tbl>
      <w:tblPr>
        <w:tblStyle w:val="8"/>
        <w:tblW w:w="13626" w:type="dxa"/>
        <w:tblInd w:w="0" w:type="dxa"/>
        <w:tblLayout w:type="fixed"/>
        <w:tblCellMar>
          <w:top w:w="15" w:type="dxa"/>
          <w:left w:w="15" w:type="dxa"/>
          <w:bottom w:w="15" w:type="dxa"/>
          <w:right w:w="15" w:type="dxa"/>
        </w:tblCellMar>
      </w:tblPr>
      <w:tblGrid>
        <w:gridCol w:w="710"/>
        <w:gridCol w:w="925"/>
        <w:gridCol w:w="3712"/>
        <w:gridCol w:w="930"/>
        <w:gridCol w:w="975"/>
        <w:gridCol w:w="1125"/>
        <w:gridCol w:w="1065"/>
        <w:gridCol w:w="1155"/>
        <w:gridCol w:w="1139"/>
        <w:gridCol w:w="1890"/>
      </w:tblGrid>
      <w:tr>
        <w:tblPrEx>
          <w:tblLayout w:type="fixed"/>
          <w:tblCellMar>
            <w:top w:w="15" w:type="dxa"/>
            <w:left w:w="15" w:type="dxa"/>
            <w:bottom w:w="15" w:type="dxa"/>
            <w:right w:w="15" w:type="dxa"/>
          </w:tblCellMar>
        </w:tblPrEx>
        <w:trPr>
          <w:trHeight w:val="320" w:hRule="atLeast"/>
          <w:tblHeader/>
        </w:trPr>
        <w:tc>
          <w:tcPr>
            <w:tcW w:w="163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项目</w:t>
            </w:r>
          </w:p>
        </w:tc>
        <w:tc>
          <w:tcPr>
            <w:tcW w:w="37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具体指标</w:t>
            </w:r>
          </w:p>
        </w:tc>
        <w:tc>
          <w:tcPr>
            <w:tcW w:w="930" w:type="dxa"/>
            <w:vMerge w:val="restart"/>
            <w:tcBorders>
              <w:top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lang w:eastAsia="zh-CN"/>
              </w:rPr>
              <w:t>宝鸡</w:t>
            </w:r>
            <w:r>
              <w:rPr>
                <w:rFonts w:hint="eastAsia" w:ascii="黑体" w:hAnsi="黑体" w:eastAsia="黑体" w:cs="黑体"/>
                <w:b w:val="0"/>
                <w:bCs/>
                <w:sz w:val="20"/>
                <w:szCs w:val="20"/>
              </w:rPr>
              <w:t>市</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lang w:eastAsia="zh-CN"/>
              </w:rPr>
              <w:t>陕西</w:t>
            </w:r>
            <w:r>
              <w:rPr>
                <w:rFonts w:hint="eastAsia" w:ascii="黑体" w:hAnsi="黑体" w:eastAsia="黑体" w:cs="黑体"/>
                <w:b w:val="0"/>
                <w:bCs/>
                <w:sz w:val="20"/>
                <w:szCs w:val="20"/>
              </w:rPr>
              <w:t>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全国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335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三年行动计划（含施工）</w:t>
            </w:r>
          </w:p>
        </w:tc>
        <w:tc>
          <w:tcPr>
            <w:tcW w:w="189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责任单位</w:t>
            </w:r>
          </w:p>
        </w:tc>
      </w:tr>
      <w:tr>
        <w:tblPrEx>
          <w:tblLayout w:type="fixed"/>
          <w:tblCellMar>
            <w:top w:w="15" w:type="dxa"/>
            <w:left w:w="15" w:type="dxa"/>
            <w:bottom w:w="15" w:type="dxa"/>
            <w:right w:w="15" w:type="dxa"/>
          </w:tblCellMar>
        </w:tblPrEx>
        <w:trPr>
          <w:trHeight w:val="349" w:hRule="atLeast"/>
          <w:tblHeader/>
        </w:trPr>
        <w:tc>
          <w:tcPr>
            <w:tcW w:w="163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黑体" w:hAnsi="黑体" w:eastAsia="黑体" w:cs="黑体"/>
                <w:b/>
                <w:color w:val="000000"/>
                <w:sz w:val="20"/>
                <w:szCs w:val="20"/>
              </w:rPr>
            </w:pPr>
          </w:p>
        </w:tc>
        <w:tc>
          <w:tcPr>
            <w:tcW w:w="37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黑体" w:hAnsi="黑体" w:eastAsia="黑体" w:cs="黑体"/>
                <w:b/>
                <w:color w:val="000000"/>
                <w:sz w:val="20"/>
                <w:szCs w:val="20"/>
              </w:rPr>
            </w:pPr>
          </w:p>
        </w:tc>
        <w:tc>
          <w:tcPr>
            <w:tcW w:w="930" w:type="dxa"/>
            <w:vMerge w:val="continue"/>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黑体" w:hAnsi="黑体" w:eastAsia="黑体" w:cs="黑体"/>
                <w:b/>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黑体" w:hAnsi="黑体" w:eastAsia="黑体" w:cs="黑体"/>
                <w:b/>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黑体" w:hAnsi="黑体" w:eastAsia="黑体" w:cs="黑体"/>
                <w:b/>
                <w:color w:val="000000"/>
                <w:sz w:val="20"/>
                <w:szCs w:val="20"/>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2018年</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2019年</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2020年</w:t>
            </w:r>
          </w:p>
        </w:tc>
        <w:tc>
          <w:tcPr>
            <w:tcW w:w="189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黑体" w:hAnsi="黑体" w:eastAsia="黑体" w:cs="黑体"/>
                <w:bCs/>
                <w:color w:val="000000"/>
                <w:sz w:val="20"/>
                <w:szCs w:val="20"/>
              </w:rPr>
            </w:pPr>
          </w:p>
        </w:tc>
      </w:tr>
      <w:tr>
        <w:tblPrEx>
          <w:tblLayout w:type="fixed"/>
          <w:tblCellMar>
            <w:top w:w="15" w:type="dxa"/>
            <w:left w:w="15" w:type="dxa"/>
            <w:bottom w:w="15" w:type="dxa"/>
            <w:right w:w="15" w:type="dxa"/>
          </w:tblCellMar>
        </w:tblPrEx>
        <w:trPr>
          <w:trHeight w:val="351"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方便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企业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获得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水电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气暖</w:t>
            </w:r>
          </w:p>
        </w:tc>
        <w:tc>
          <w:tcPr>
            <w:tcW w:w="925" w:type="dxa"/>
            <w:vMerge w:val="restart"/>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供电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（低压）</w:t>
            </w: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办理环节数（个）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8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bCs/>
                <w:spacing w:val="0"/>
                <w:sz w:val="20"/>
                <w:szCs w:val="20"/>
              </w:rPr>
            </w:pPr>
            <w:r>
              <w:rPr>
                <w:rFonts w:hint="eastAsia" w:ascii="仿宋_GB2312" w:hAnsi="仿宋_GB2312" w:eastAsia="仿宋_GB2312" w:cs="仿宋_GB2312"/>
                <w:b/>
                <w:bCs/>
                <w:spacing w:val="0"/>
                <w:sz w:val="20"/>
                <w:szCs w:val="20"/>
              </w:rPr>
              <w:t>牵头单位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pacing w:val="0"/>
                <w:sz w:val="20"/>
                <w:szCs w:val="20"/>
                <w:lang w:eastAsia="zh-CN"/>
              </w:rPr>
            </w:pPr>
            <w:r>
              <w:rPr>
                <w:rFonts w:hint="eastAsia" w:ascii="仿宋_GB2312" w:hAnsi="仿宋_GB2312" w:eastAsia="仿宋_GB2312" w:cs="仿宋_GB2312"/>
                <w:spacing w:val="0"/>
                <w:sz w:val="20"/>
                <w:szCs w:val="20"/>
                <w:lang w:eastAsia="zh-CN"/>
              </w:rPr>
              <w:t>县</w:t>
            </w:r>
            <w:r>
              <w:rPr>
                <w:rFonts w:hint="eastAsia" w:ascii="仿宋_GB2312" w:hAnsi="仿宋_GB2312" w:eastAsia="仿宋_GB2312" w:cs="仿宋_GB2312"/>
                <w:spacing w:val="0"/>
                <w:sz w:val="20"/>
                <w:szCs w:val="20"/>
              </w:rPr>
              <w:t>发改</w:t>
            </w:r>
            <w:r>
              <w:rPr>
                <w:rFonts w:hint="eastAsia" w:ascii="仿宋_GB2312" w:hAnsi="仿宋_GB2312" w:eastAsia="仿宋_GB2312" w:cs="仿宋_GB2312"/>
                <w:spacing w:val="0"/>
                <w:sz w:val="20"/>
                <w:szCs w:val="20"/>
                <w:lang w:eastAsia="zh-CN"/>
              </w:rPr>
              <w:t>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pacing w:val="0"/>
                <w:sz w:val="20"/>
                <w:szCs w:val="20"/>
              </w:rPr>
            </w:pPr>
            <w:r>
              <w:rPr>
                <w:rFonts w:hint="eastAsia" w:ascii="仿宋_GB2312" w:hAnsi="仿宋_GB2312" w:eastAsia="仿宋_GB2312" w:cs="仿宋_GB2312"/>
                <w:b/>
                <w:bCs/>
                <w:spacing w:val="0"/>
                <w:sz w:val="20"/>
                <w:szCs w:val="20"/>
              </w:rPr>
              <w:t>成员单位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pacing w:val="0"/>
                <w:sz w:val="20"/>
                <w:szCs w:val="20"/>
              </w:rPr>
            </w:pPr>
            <w:r>
              <w:rPr>
                <w:rFonts w:hint="eastAsia" w:ascii="仿宋_GB2312" w:hAnsi="仿宋_GB2312" w:eastAsia="仿宋_GB2312" w:cs="仿宋_GB2312"/>
                <w:spacing w:val="0"/>
                <w:sz w:val="20"/>
                <w:szCs w:val="20"/>
                <w:lang w:eastAsia="zh-CN"/>
              </w:rPr>
              <w:t>县</w:t>
            </w:r>
            <w:r>
              <w:rPr>
                <w:rFonts w:hint="eastAsia" w:ascii="仿宋_GB2312" w:hAnsi="仿宋_GB2312" w:eastAsia="仿宋_GB2312" w:cs="仿宋_GB2312"/>
                <w:spacing w:val="0"/>
                <w:sz w:val="20"/>
                <w:szCs w:val="20"/>
              </w:rPr>
              <w:t>住建局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pacing w:val="0"/>
                <w:sz w:val="20"/>
                <w:szCs w:val="20"/>
              </w:rPr>
            </w:pPr>
            <w:r>
              <w:rPr>
                <w:rFonts w:hint="eastAsia" w:ascii="仿宋_GB2312" w:hAnsi="仿宋_GB2312" w:eastAsia="仿宋_GB2312" w:cs="仿宋_GB2312"/>
                <w:spacing w:val="0"/>
                <w:sz w:val="20"/>
                <w:szCs w:val="20"/>
                <w:lang w:eastAsia="zh-CN"/>
              </w:rPr>
              <w:t>县</w:t>
            </w:r>
            <w:r>
              <w:rPr>
                <w:rFonts w:hint="eastAsia" w:ascii="仿宋_GB2312" w:hAnsi="仿宋_GB2312" w:eastAsia="仿宋_GB2312" w:cs="仿宋_GB2312"/>
                <w:spacing w:val="0"/>
                <w:sz w:val="20"/>
                <w:szCs w:val="20"/>
              </w:rPr>
              <w:t>水利局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pacing w:val="0"/>
                <w:sz w:val="20"/>
                <w:szCs w:val="20"/>
                <w:lang w:eastAsia="zh-CN"/>
              </w:rPr>
            </w:pPr>
            <w:r>
              <w:rPr>
                <w:rFonts w:hint="eastAsia" w:ascii="仿宋_GB2312" w:hAnsi="仿宋_GB2312" w:eastAsia="仿宋_GB2312" w:cs="仿宋_GB2312"/>
                <w:spacing w:val="0"/>
                <w:sz w:val="20"/>
                <w:szCs w:val="20"/>
                <w:lang w:eastAsia="zh-CN"/>
              </w:rPr>
              <w:t>县供电局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hAnsi="仿宋_GB2312" w:eastAsia="仿宋_GB2312" w:cs="仿宋_GB2312"/>
                <w:spacing w:val="-20"/>
                <w:sz w:val="20"/>
                <w:szCs w:val="20"/>
                <w:lang w:val="en-US" w:eastAsia="zh-CN"/>
              </w:rPr>
            </w:pPr>
            <w:r>
              <w:rPr>
                <w:rFonts w:hint="eastAsia" w:ascii="仿宋_GB2312" w:hAnsi="仿宋_GB2312" w:eastAsia="仿宋_GB2312" w:cs="仿宋_GB2312"/>
                <w:spacing w:val="-20"/>
                <w:sz w:val="20"/>
                <w:szCs w:val="20"/>
                <w:lang w:val="en-US" w:eastAsia="zh-CN"/>
              </w:rPr>
              <w:t>省水务集团太白供水公司</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pacing w:val="0"/>
                <w:sz w:val="20"/>
                <w:szCs w:val="20"/>
                <w:lang w:val="en-US" w:eastAsia="zh-CN"/>
              </w:rPr>
            </w:pPr>
            <w:r>
              <w:rPr>
                <w:rFonts w:hint="eastAsia" w:ascii="仿宋_GB2312" w:hAnsi="仿宋_GB2312" w:eastAsia="仿宋_GB2312" w:cs="仿宋_GB2312"/>
                <w:spacing w:val="0"/>
                <w:sz w:val="20"/>
                <w:szCs w:val="20"/>
                <w:lang w:val="en-US" w:eastAsia="zh-CN"/>
              </w:rPr>
              <w:t>县海浪热力公司</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pacing w:val="0"/>
                <w:sz w:val="20"/>
                <w:szCs w:val="20"/>
                <w:lang w:val="en-US" w:eastAsia="zh-CN"/>
              </w:rPr>
              <w:t>县燃气公司</w:t>
            </w:r>
          </w:p>
        </w:tc>
      </w:tr>
      <w:tr>
        <w:tblPrEx>
          <w:tblLayout w:type="fixed"/>
          <w:tblCellMar>
            <w:top w:w="15" w:type="dxa"/>
            <w:left w:w="15" w:type="dxa"/>
            <w:bottom w:w="15" w:type="dxa"/>
            <w:right w:w="15" w:type="dxa"/>
          </w:tblCellMar>
        </w:tblPrEx>
        <w:trPr>
          <w:trHeight w:val="33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办理时间（含施工审批）（个工作日）</w:t>
            </w:r>
          </w:p>
        </w:tc>
        <w:tc>
          <w:tcPr>
            <w:tcW w:w="930" w:type="dxa"/>
            <w:tcBorders>
              <w:top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43.5</w:t>
            </w:r>
          </w:p>
        </w:tc>
        <w:tc>
          <w:tcPr>
            <w:tcW w:w="112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w:t>
            </w:r>
          </w:p>
        </w:tc>
        <w:tc>
          <w:tcPr>
            <w:tcW w:w="115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30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申请材料件数（个）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33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发生中介环节数（个）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32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政府审批事项个数（个）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30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925" w:type="dxa"/>
            <w:vMerge w:val="restart"/>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供电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（高压）</w:t>
            </w: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办理环节数（个）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9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办理时间（含施工审批）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（个工作日）</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pacing w:val="-20"/>
                <w:kern w:val="0"/>
                <w:sz w:val="20"/>
                <w:szCs w:val="20"/>
              </w:rPr>
            </w:pPr>
            <w:r>
              <w:rPr>
                <w:rFonts w:hint="eastAsia" w:ascii="仿宋_GB2312" w:hAnsi="仿宋_GB2312" w:eastAsia="仿宋_GB2312" w:cs="仿宋_GB2312"/>
                <w:color w:val="000000"/>
                <w:spacing w:val="-20"/>
                <w:kern w:val="0"/>
                <w:sz w:val="20"/>
                <w:szCs w:val="20"/>
              </w:rPr>
              <w:t>高压单电源：38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pacing w:val="-20"/>
                <w:kern w:val="0"/>
                <w:sz w:val="20"/>
                <w:szCs w:val="20"/>
              </w:rPr>
              <w:t>高压双电源：53</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pacing w:val="-20"/>
                <w:kern w:val="0"/>
                <w:sz w:val="20"/>
                <w:szCs w:val="20"/>
              </w:rPr>
            </w:pPr>
            <w:r>
              <w:rPr>
                <w:rFonts w:hint="eastAsia" w:ascii="仿宋_GB2312" w:hAnsi="仿宋_GB2312" w:eastAsia="仿宋_GB2312" w:cs="仿宋_GB2312"/>
                <w:color w:val="000000"/>
                <w:spacing w:val="-20"/>
                <w:kern w:val="0"/>
                <w:sz w:val="20"/>
                <w:szCs w:val="20"/>
              </w:rPr>
              <w:t>高压单电源：91.8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pacing w:val="-20"/>
                <w:kern w:val="0"/>
                <w:sz w:val="20"/>
                <w:szCs w:val="20"/>
              </w:rPr>
              <w:t>高压双电源：102.2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pacing w:val="-20"/>
                <w:kern w:val="0"/>
                <w:sz w:val="20"/>
                <w:szCs w:val="20"/>
              </w:rPr>
              <w:t>高压单电源：35</w:t>
            </w:r>
            <w:r>
              <w:rPr>
                <w:rFonts w:hint="eastAsia" w:ascii="仿宋_GB2312" w:hAnsi="仿宋_GB2312" w:cs="仿宋_GB2312"/>
                <w:color w:val="000000"/>
                <w:spacing w:val="-20"/>
                <w:kern w:val="0"/>
                <w:sz w:val="20"/>
                <w:szCs w:val="20"/>
                <w:lang w:eastAsia="zh-CN"/>
              </w:rPr>
              <w:t>，</w:t>
            </w:r>
            <w:r>
              <w:rPr>
                <w:rFonts w:hint="eastAsia" w:ascii="仿宋_GB2312" w:hAnsi="仿宋_GB2312" w:eastAsia="仿宋_GB2312" w:cs="仿宋_GB2312"/>
                <w:color w:val="000000"/>
                <w:spacing w:val="-20"/>
                <w:kern w:val="0"/>
                <w:sz w:val="20"/>
                <w:szCs w:val="20"/>
              </w:rPr>
              <w:t>高压双电源：50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pacing w:val="-20"/>
                <w:kern w:val="0"/>
                <w:sz w:val="20"/>
                <w:szCs w:val="20"/>
              </w:rPr>
              <w:t>高压单电源：32，高压双电源：45</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spacing w:val="-20"/>
                <w:kern w:val="0"/>
                <w:sz w:val="20"/>
                <w:szCs w:val="20"/>
              </w:rPr>
              <w:t>高压单电源：30，高压双电源：40</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35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申请材料件数（个）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39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发生中介环节数（个）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36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政府审批事项个数（个）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39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申请材料件数（个）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31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Cs/>
                <w:color w:val="000000"/>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发生中介环节数（个）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30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Cs/>
                <w:color w:val="000000"/>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政府审批事项个数（个）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13</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trHeight w:val="342"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方便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企业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获得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水电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气暖</w:t>
            </w:r>
          </w:p>
        </w:tc>
        <w:tc>
          <w:tcPr>
            <w:tcW w:w="925" w:type="dxa"/>
            <w:vMerge w:val="restart"/>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供水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（县城）</w:t>
            </w: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办理环节数（个）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6.6</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8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牵头单位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县</w:t>
            </w:r>
            <w:r>
              <w:rPr>
                <w:rFonts w:hint="eastAsia" w:ascii="仿宋_GB2312" w:hAnsi="仿宋_GB2312" w:eastAsia="仿宋_GB2312" w:cs="仿宋_GB2312"/>
                <w:sz w:val="20"/>
                <w:szCs w:val="20"/>
              </w:rPr>
              <w:t>发改</w:t>
            </w:r>
            <w:r>
              <w:rPr>
                <w:rFonts w:hint="eastAsia" w:ascii="仿宋_GB2312" w:hAnsi="仿宋_GB2312" w:eastAsia="仿宋_GB2312" w:cs="仿宋_GB2312"/>
                <w:sz w:val="20"/>
                <w:szCs w:val="20"/>
                <w:lang w:eastAsia="zh-CN"/>
              </w:rPr>
              <w:t>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b/>
                <w:bCs/>
                <w:sz w:val="20"/>
                <w:szCs w:val="20"/>
              </w:rPr>
              <w:t>成员单位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县</w:t>
            </w:r>
            <w:r>
              <w:rPr>
                <w:rFonts w:hint="eastAsia" w:ascii="仿宋_GB2312" w:hAnsi="仿宋_GB2312" w:eastAsia="仿宋_GB2312" w:cs="仿宋_GB2312"/>
                <w:sz w:val="20"/>
                <w:szCs w:val="20"/>
              </w:rPr>
              <w:t>住建局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县</w:t>
            </w:r>
            <w:r>
              <w:rPr>
                <w:rFonts w:hint="eastAsia" w:ascii="仿宋_GB2312" w:hAnsi="仿宋_GB2312" w:eastAsia="仿宋_GB2312" w:cs="仿宋_GB2312"/>
                <w:sz w:val="20"/>
                <w:szCs w:val="20"/>
              </w:rPr>
              <w:t>水利局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县供电局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pacing w:val="-20"/>
                <w:sz w:val="20"/>
                <w:szCs w:val="20"/>
                <w:lang w:val="en-US" w:eastAsia="zh-CN"/>
              </w:rPr>
            </w:pPr>
            <w:r>
              <w:rPr>
                <w:rFonts w:hint="eastAsia" w:ascii="仿宋_GB2312" w:hAnsi="仿宋_GB2312" w:eastAsia="仿宋_GB2312" w:cs="仿宋_GB2312"/>
                <w:spacing w:val="-20"/>
                <w:sz w:val="20"/>
                <w:szCs w:val="20"/>
                <w:lang w:val="en-US" w:eastAsia="zh-CN"/>
              </w:rPr>
              <w:t>省水务集团太白供水公司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县海浪热力公司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县燃气公司</w:t>
            </w:r>
          </w:p>
        </w:tc>
      </w:tr>
      <w:tr>
        <w:tblPrEx>
          <w:tblLayout w:type="fixed"/>
          <w:tblCellMar>
            <w:top w:w="15" w:type="dxa"/>
            <w:left w:w="15" w:type="dxa"/>
            <w:bottom w:w="15" w:type="dxa"/>
            <w:right w:w="15" w:type="dxa"/>
          </w:tblCellMar>
        </w:tblPrEx>
        <w:trPr>
          <w:trHeight w:val="34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办理时间（含施工审批）（个工作日）</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29.3</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13</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trHeight w:val="38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申请材料件数（个）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4.6</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trHeight w:val="38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发生中介环节数（个）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trHeight w:val="36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政府审批事项个数（个）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trHeight w:val="32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restart"/>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供气</w:t>
            </w: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办理环节数（个）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6.25</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trHeight w:val="27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办理时间（含施工审批）（个工作日）</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51.5</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33</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trHeight w:val="36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申请材料件数（个）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4.3</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trHeight w:val="27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发生中介环节数（个）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trHeight w:val="39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政府审批事项个数（个）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trHeight w:val="5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restart"/>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供暖</w:t>
            </w: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办理环节数（个）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7.3</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trHeight w:val="35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办理时间（含施工审批）（个工作日）</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63</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36</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28</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trHeight w:val="30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申请材料件数（个）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6.2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37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发生中介环节数（个）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48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925" w:type="dxa"/>
            <w:vMerge w:val="continue"/>
            <w:tcBorders>
              <w:top w:val="single" w:color="000000" w:sz="4" w:space="0"/>
              <w:left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p>
        </w:tc>
        <w:tc>
          <w:tcPr>
            <w:tcW w:w="3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政府审批事项个数（个）</w:t>
            </w:r>
          </w:p>
        </w:tc>
        <w:tc>
          <w:tcPr>
            <w:tcW w:w="93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3.7</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13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8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rPr>
                <w:rFonts w:hint="eastAsia" w:ascii="仿宋_GB2312" w:hAnsi="仿宋_GB2312" w:eastAsia="仿宋_GB2312" w:cs="仿宋_GB2312"/>
                <w:color w:val="000000"/>
                <w:sz w:val="20"/>
                <w:szCs w:val="20"/>
              </w:rPr>
            </w:pPr>
          </w:p>
        </w:tc>
      </w:tr>
    </w:tbl>
    <w:p>
      <w:pPr>
        <w:keepNext w:val="0"/>
        <w:keepLines w:val="0"/>
        <w:pageBreakBefore w:val="0"/>
        <w:widowControl w:val="0"/>
        <w:kinsoku/>
        <w:wordWrap/>
        <w:overflowPunct/>
        <w:topLinePunct w:val="0"/>
        <w:autoSpaceDE/>
        <w:autoSpaceDN/>
        <w:bidi w:val="0"/>
        <w:adjustRightInd/>
        <w:snapToGrid/>
        <w:spacing w:line="20" w:lineRule="exact"/>
        <w:jc w:val="center"/>
        <w:textAlignment w:val="auto"/>
        <w:outlineLvl w:val="9"/>
        <w:rPr>
          <w:rFonts w:hint="eastAsia" w:ascii="仿宋_GB2312" w:hAnsi="仿宋_GB2312" w:eastAsia="仿宋_GB2312" w:cs="仿宋_GB2312"/>
          <w:color w:val="000000"/>
          <w:kern w:val="0"/>
          <w:sz w:val="20"/>
          <w:szCs w:val="20"/>
        </w:rPr>
      </w:pPr>
    </w:p>
    <w:tbl>
      <w:tblPr>
        <w:tblStyle w:val="8"/>
        <w:tblW w:w="13716" w:type="dxa"/>
        <w:tblInd w:w="170" w:type="dxa"/>
        <w:tblLayout w:type="fixed"/>
        <w:tblCellMar>
          <w:top w:w="0" w:type="dxa"/>
          <w:left w:w="108" w:type="dxa"/>
          <w:bottom w:w="0" w:type="dxa"/>
          <w:right w:w="108" w:type="dxa"/>
        </w:tblCellMar>
      </w:tblPr>
      <w:tblGrid>
        <w:gridCol w:w="15"/>
        <w:gridCol w:w="13701"/>
      </w:tblGrid>
      <w:tr>
        <w:tblPrEx>
          <w:tblLayout w:type="fixed"/>
          <w:tblCellMar>
            <w:top w:w="0" w:type="dxa"/>
            <w:left w:w="108" w:type="dxa"/>
            <w:bottom w:w="0" w:type="dxa"/>
            <w:right w:w="108" w:type="dxa"/>
          </w:tblCellMar>
        </w:tblPrEx>
        <w:trPr>
          <w:trHeight w:val="561" w:hRule="atLeast"/>
        </w:trPr>
        <w:tc>
          <w:tcPr>
            <w:tcW w:w="13716" w:type="dxa"/>
            <w:gridSpan w:val="2"/>
            <w:tcBorders>
              <w:top w:val="nil"/>
              <w:left w:val="nil"/>
              <w:bottom w:val="nil"/>
              <w:right w:val="nil"/>
            </w:tcBorders>
            <w:vAlign w:val="center"/>
          </w:tcPr>
          <w:p>
            <w:pPr>
              <w:keepNext w:val="0"/>
              <w:keepLines w:val="0"/>
              <w:pageBreakBefore w:val="0"/>
              <w:widowControl w:val="0"/>
              <w:kinsoku/>
              <w:wordWrap/>
              <w:topLinePunct w:val="0"/>
              <w:autoSpaceDE/>
              <w:autoSpaceDN/>
              <w:bidi w:val="0"/>
              <w:adjustRightInd/>
              <w:snapToGrid/>
              <w:spacing w:line="540" w:lineRule="exact"/>
              <w:jc w:val="both"/>
              <w:rPr>
                <w:rFonts w:hint="eastAsia" w:ascii="方正小标宋简体" w:hAnsi="方正小标宋简体" w:eastAsia="方正小标宋简体" w:cs="方正小标宋简体"/>
                <w:color w:val="000000"/>
                <w:kern w:val="0"/>
                <w:sz w:val="32"/>
                <w:szCs w:val="32"/>
                <w:lang w:val="en-US"/>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太白县</w:t>
            </w:r>
            <w:r>
              <w:rPr>
                <w:rFonts w:hint="eastAsia" w:ascii="方正小标宋简体" w:hAnsi="方正小标宋简体" w:eastAsia="方正小标宋简体" w:cs="方正小标宋简体"/>
                <w:color w:val="000000"/>
                <w:kern w:val="0"/>
                <w:sz w:val="44"/>
                <w:szCs w:val="44"/>
              </w:rPr>
              <w:t>方便企业办理不动产登记工作三年行动计划任务分解表</w:t>
            </w:r>
          </w:p>
          <w:tbl>
            <w:tblPr>
              <w:tblStyle w:val="8"/>
              <w:tblW w:w="13333" w:type="dxa"/>
              <w:jc w:val="center"/>
              <w:tblInd w:w="0" w:type="dxa"/>
              <w:tblLayout w:type="fixed"/>
              <w:tblCellMar>
                <w:top w:w="15" w:type="dxa"/>
                <w:left w:w="15" w:type="dxa"/>
                <w:bottom w:w="15" w:type="dxa"/>
                <w:right w:w="15" w:type="dxa"/>
              </w:tblCellMar>
            </w:tblPr>
            <w:tblGrid>
              <w:gridCol w:w="76"/>
              <w:gridCol w:w="502"/>
              <w:gridCol w:w="433"/>
              <w:gridCol w:w="751"/>
              <w:gridCol w:w="2470"/>
              <w:gridCol w:w="997"/>
              <w:gridCol w:w="1040"/>
              <w:gridCol w:w="1040"/>
              <w:gridCol w:w="708"/>
              <w:gridCol w:w="708"/>
              <w:gridCol w:w="707"/>
              <w:gridCol w:w="1"/>
              <w:gridCol w:w="780"/>
              <w:gridCol w:w="766"/>
              <w:gridCol w:w="779"/>
              <w:gridCol w:w="1"/>
              <w:gridCol w:w="1496"/>
              <w:gridCol w:w="78"/>
            </w:tblGrid>
            <w:tr>
              <w:tblPrEx>
                <w:tblLayout w:type="fixed"/>
                <w:tblCellMar>
                  <w:top w:w="15" w:type="dxa"/>
                  <w:left w:w="15" w:type="dxa"/>
                  <w:bottom w:w="15" w:type="dxa"/>
                  <w:right w:w="15" w:type="dxa"/>
                </w:tblCellMar>
              </w:tblPrEx>
              <w:trPr>
                <w:gridAfter w:val="1"/>
                <w:wAfter w:w="78" w:type="dxa"/>
                <w:trHeight w:val="690" w:hRule="atLeast"/>
                <w:jc w:val="center"/>
              </w:trPr>
              <w:tc>
                <w:tcPr>
                  <w:tcW w:w="1762"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项目</w:t>
                  </w:r>
                </w:p>
              </w:tc>
              <w:tc>
                <w:tcPr>
                  <w:tcW w:w="24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具体指标</w:t>
                  </w:r>
                </w:p>
              </w:tc>
              <w:tc>
                <w:tcPr>
                  <w:tcW w:w="99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lang w:eastAsia="zh-CN"/>
                    </w:rPr>
                    <w:t>宝鸡</w:t>
                  </w:r>
                  <w:r>
                    <w:rPr>
                      <w:rFonts w:hint="eastAsia" w:ascii="黑体" w:hAnsi="黑体" w:eastAsia="黑体" w:cs="黑体"/>
                      <w:b w:val="0"/>
                      <w:bCs/>
                      <w:sz w:val="20"/>
                      <w:szCs w:val="20"/>
                    </w:rPr>
                    <w:t>市</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lang w:eastAsia="zh-CN"/>
                    </w:rPr>
                    <w:t>陕西</w:t>
                  </w:r>
                  <w:r>
                    <w:rPr>
                      <w:rFonts w:hint="eastAsia" w:ascii="黑体" w:hAnsi="黑体" w:eastAsia="黑体" w:cs="黑体"/>
                      <w:b w:val="0"/>
                      <w:bCs/>
                      <w:sz w:val="20"/>
                      <w:szCs w:val="20"/>
                    </w:rPr>
                    <w:t>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全国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212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国内先进地区标准</w:t>
                  </w:r>
                </w:p>
              </w:tc>
              <w:tc>
                <w:tcPr>
                  <w:tcW w:w="232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三年行动计划</w:t>
                  </w:r>
                </w:p>
              </w:tc>
              <w:tc>
                <w:tcPr>
                  <w:tcW w:w="1497"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责任单位</w:t>
                  </w:r>
                </w:p>
              </w:tc>
            </w:tr>
            <w:tr>
              <w:tblPrEx>
                <w:tblLayout w:type="fixed"/>
                <w:tblCellMar>
                  <w:top w:w="15" w:type="dxa"/>
                  <w:left w:w="15" w:type="dxa"/>
                  <w:bottom w:w="15" w:type="dxa"/>
                  <w:right w:w="15" w:type="dxa"/>
                </w:tblCellMar>
              </w:tblPrEx>
              <w:trPr>
                <w:gridAfter w:val="1"/>
                <w:wAfter w:w="78" w:type="dxa"/>
                <w:trHeight w:val="584" w:hRule="atLeast"/>
                <w:jc w:val="center"/>
              </w:trPr>
              <w:tc>
                <w:tcPr>
                  <w:tcW w:w="1762" w:type="dxa"/>
                  <w:gridSpan w:val="4"/>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color w:val="000000"/>
                      <w:sz w:val="20"/>
                      <w:szCs w:val="20"/>
                    </w:rPr>
                  </w:pPr>
                </w:p>
              </w:tc>
              <w:tc>
                <w:tcPr>
                  <w:tcW w:w="247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color w:val="000000"/>
                      <w:sz w:val="20"/>
                      <w:szCs w:val="20"/>
                    </w:rPr>
                  </w:pPr>
                </w:p>
              </w:tc>
              <w:tc>
                <w:tcPr>
                  <w:tcW w:w="997"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color w:val="000000"/>
                      <w:sz w:val="20"/>
                      <w:szCs w:val="20"/>
                    </w:rPr>
                  </w:pPr>
                </w:p>
              </w:tc>
              <w:tc>
                <w:tcPr>
                  <w:tcW w:w="104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color w:val="000000"/>
                      <w:sz w:val="20"/>
                      <w:szCs w:val="20"/>
                    </w:rPr>
                  </w:pPr>
                </w:p>
              </w:tc>
              <w:tc>
                <w:tcPr>
                  <w:tcW w:w="104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color w:val="000000"/>
                      <w:sz w:val="20"/>
                      <w:szCs w:val="20"/>
                    </w:rPr>
                  </w:pPr>
                </w:p>
              </w:tc>
              <w:tc>
                <w:tcPr>
                  <w:tcW w:w="7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上海</w:t>
                  </w:r>
                </w:p>
              </w:tc>
              <w:tc>
                <w:tcPr>
                  <w:tcW w:w="7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江苏</w:t>
                  </w:r>
                </w:p>
              </w:tc>
              <w:tc>
                <w:tcPr>
                  <w:tcW w:w="708"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浙江</w:t>
                  </w:r>
                </w:p>
              </w:tc>
              <w:tc>
                <w:tcPr>
                  <w:tcW w:w="78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2018年</w:t>
                  </w:r>
                </w:p>
              </w:tc>
              <w:tc>
                <w:tcPr>
                  <w:tcW w:w="76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2019年</w:t>
                  </w:r>
                </w:p>
              </w:tc>
              <w:tc>
                <w:tcPr>
                  <w:tcW w:w="780"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2020年</w:t>
                  </w:r>
                </w:p>
              </w:tc>
              <w:tc>
                <w:tcPr>
                  <w:tcW w:w="1496"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p>
              </w:tc>
            </w:tr>
            <w:tr>
              <w:tblPrEx>
                <w:tblLayout w:type="fixed"/>
                <w:tblCellMar>
                  <w:top w:w="15" w:type="dxa"/>
                  <w:left w:w="15" w:type="dxa"/>
                  <w:bottom w:w="15" w:type="dxa"/>
                  <w:right w:w="15" w:type="dxa"/>
                </w:tblCellMar>
              </w:tblPrEx>
              <w:trPr>
                <w:gridAfter w:val="1"/>
                <w:wAfter w:w="78" w:type="dxa"/>
                <w:trHeight w:val="300" w:hRule="atLeast"/>
                <w:jc w:val="center"/>
              </w:trPr>
              <w:tc>
                <w:tcPr>
                  <w:tcW w:w="578"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方</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便</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企</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业</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办</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理</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不</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动</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产</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登</w:t>
                  </w:r>
                  <w:r>
                    <w:rPr>
                      <w:rFonts w:hint="eastAsia" w:ascii="仿宋_GB2312" w:hAnsi="仿宋_GB2312" w:eastAsia="仿宋_GB2312" w:cs="仿宋_GB2312"/>
                      <w:b w:val="0"/>
                      <w:bCs/>
                      <w:sz w:val="20"/>
                      <w:szCs w:val="20"/>
                    </w:rPr>
                    <w:br w:type="textWrapping"/>
                  </w:r>
                </w:p>
              </w:tc>
              <w:tc>
                <w:tcPr>
                  <w:tcW w:w="4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一般登记类型</w:t>
                  </w:r>
                </w:p>
              </w:tc>
              <w:tc>
                <w:tcPr>
                  <w:tcW w:w="75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非住宅类</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办理环节数（个）</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9.64</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color w:val="000000"/>
                      <w:sz w:val="20"/>
                      <w:szCs w:val="20"/>
                    </w:rPr>
                  </w:pPr>
                  <w:r>
                    <w:rPr>
                      <w:rFonts w:hint="eastAsia" w:ascii="仿宋_GB2312" w:hAnsi="仿宋_GB2312" w:eastAsia="仿宋_GB2312" w:cs="仿宋_GB2312"/>
                      <w:b/>
                      <w:bCs w:val="0"/>
                      <w:color w:val="000000"/>
                      <w:sz w:val="20"/>
                      <w:szCs w:val="20"/>
                    </w:rPr>
                    <w:t>牵头单位</w:t>
                  </w:r>
                </w:p>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lang w:eastAsia="zh-CN"/>
                    </w:rPr>
                    <w:t>县</w:t>
                  </w:r>
                  <w:r>
                    <w:rPr>
                      <w:rFonts w:hint="eastAsia" w:ascii="仿宋_GB2312" w:hAnsi="仿宋_GB2312" w:eastAsia="仿宋_GB2312" w:cs="仿宋_GB2312"/>
                      <w:bCs/>
                      <w:color w:val="000000"/>
                      <w:sz w:val="20"/>
                      <w:szCs w:val="20"/>
                    </w:rPr>
                    <w:t>国土</w:t>
                  </w:r>
                  <w:r>
                    <w:rPr>
                      <w:rFonts w:hint="eastAsia" w:ascii="仿宋_GB2312" w:hAnsi="仿宋_GB2312" w:cs="仿宋_GB2312"/>
                      <w:bCs/>
                      <w:color w:val="000000"/>
                      <w:sz w:val="20"/>
                      <w:szCs w:val="20"/>
                      <w:lang w:eastAsia="zh-CN"/>
                    </w:rPr>
                    <w:t>资源</w:t>
                  </w:r>
                  <w:r>
                    <w:rPr>
                      <w:rFonts w:hint="eastAsia" w:ascii="仿宋_GB2312" w:hAnsi="仿宋_GB2312" w:eastAsia="仿宋_GB2312" w:cs="仿宋_GB2312"/>
                      <w:bCs/>
                      <w:color w:val="000000"/>
                      <w:sz w:val="20"/>
                      <w:szCs w:val="20"/>
                    </w:rPr>
                    <w:t>局</w:t>
                  </w:r>
                </w:p>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color w:val="000000"/>
                      <w:sz w:val="20"/>
                      <w:szCs w:val="20"/>
                    </w:rPr>
                  </w:pPr>
                  <w:r>
                    <w:rPr>
                      <w:rFonts w:hint="eastAsia" w:ascii="仿宋_GB2312" w:hAnsi="仿宋_GB2312" w:eastAsia="仿宋_GB2312" w:cs="仿宋_GB2312"/>
                      <w:b/>
                      <w:bCs w:val="0"/>
                      <w:color w:val="000000"/>
                      <w:sz w:val="20"/>
                      <w:szCs w:val="20"/>
                    </w:rPr>
                    <w:t>成员单位</w:t>
                  </w:r>
                </w:p>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lang w:eastAsia="zh-CN"/>
                    </w:rPr>
                    <w:t>县</w:t>
                  </w:r>
                  <w:r>
                    <w:rPr>
                      <w:rFonts w:hint="eastAsia" w:ascii="仿宋_GB2312" w:hAnsi="仿宋_GB2312" w:eastAsia="仿宋_GB2312" w:cs="仿宋_GB2312"/>
                      <w:bCs/>
                      <w:color w:val="000000"/>
                      <w:sz w:val="20"/>
                      <w:szCs w:val="20"/>
                    </w:rPr>
                    <w:t>住建局</w:t>
                  </w:r>
                </w:p>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lang w:eastAsia="zh-CN"/>
                    </w:rPr>
                    <w:t>县</w:t>
                  </w:r>
                  <w:r>
                    <w:rPr>
                      <w:rFonts w:hint="eastAsia" w:ascii="仿宋_GB2312" w:hAnsi="仿宋_GB2312" w:eastAsia="仿宋_GB2312" w:cs="仿宋_GB2312"/>
                      <w:bCs/>
                      <w:color w:val="000000"/>
                      <w:sz w:val="20"/>
                      <w:szCs w:val="20"/>
                    </w:rPr>
                    <w:t>税务局</w:t>
                  </w:r>
                </w:p>
              </w:tc>
            </w:tr>
            <w:tr>
              <w:tblPrEx>
                <w:tblLayout w:type="fixed"/>
                <w:tblCellMar>
                  <w:top w:w="15" w:type="dxa"/>
                  <w:left w:w="15" w:type="dxa"/>
                  <w:bottom w:w="15" w:type="dxa"/>
                  <w:right w:w="15" w:type="dxa"/>
                </w:tblCellMar>
              </w:tblPrEx>
              <w:trPr>
                <w:gridAfter w:val="1"/>
                <w:wAfter w:w="78" w:type="dxa"/>
                <w:trHeight w:val="374" w:hRule="atLeast"/>
                <w:jc w:val="center"/>
              </w:trPr>
              <w:tc>
                <w:tcPr>
                  <w:tcW w:w="57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4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75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办理时间（工作日）</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8.46</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gridAfter w:val="1"/>
                <w:wAfter w:w="78" w:type="dxa"/>
                <w:trHeight w:val="367" w:hRule="atLeast"/>
                <w:jc w:val="center"/>
              </w:trPr>
              <w:tc>
                <w:tcPr>
                  <w:tcW w:w="57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4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75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办理成本（元）</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550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550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550</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550</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550</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550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550</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550</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550</w:t>
                  </w: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gridAfter w:val="1"/>
                <w:wAfter w:w="78" w:type="dxa"/>
                <w:trHeight w:val="298" w:hRule="atLeast"/>
                <w:jc w:val="center"/>
              </w:trPr>
              <w:tc>
                <w:tcPr>
                  <w:tcW w:w="57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4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75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申请材料件数（个）</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14.7</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17.5</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18</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gridAfter w:val="1"/>
                <w:wAfter w:w="78" w:type="dxa"/>
                <w:trHeight w:val="333" w:hRule="atLeast"/>
                <w:jc w:val="center"/>
              </w:trPr>
              <w:tc>
                <w:tcPr>
                  <w:tcW w:w="57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4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75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发生中介环节数（个）</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gridAfter w:val="1"/>
                <w:wAfter w:w="78" w:type="dxa"/>
                <w:trHeight w:val="280" w:hRule="atLeast"/>
                <w:jc w:val="center"/>
              </w:trPr>
              <w:tc>
                <w:tcPr>
                  <w:tcW w:w="57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4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75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中介服务花费（元）</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00" w:firstLineChars="20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gridAfter w:val="1"/>
                <w:wAfter w:w="78" w:type="dxa"/>
                <w:trHeight w:val="279" w:hRule="atLeast"/>
                <w:jc w:val="center"/>
              </w:trPr>
              <w:tc>
                <w:tcPr>
                  <w:tcW w:w="57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4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75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住宅类</w:t>
                  </w: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办理环节数（个）</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9.64</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14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gridAfter w:val="1"/>
                <w:wAfter w:w="78" w:type="dxa"/>
                <w:trHeight w:val="303" w:hRule="atLeast"/>
                <w:jc w:val="center"/>
              </w:trPr>
              <w:tc>
                <w:tcPr>
                  <w:tcW w:w="57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4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75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办理时间（工作日）</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8.46</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4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gridAfter w:val="1"/>
                <w:wAfter w:w="78" w:type="dxa"/>
                <w:trHeight w:val="315" w:hRule="atLeast"/>
                <w:jc w:val="center"/>
              </w:trPr>
              <w:tc>
                <w:tcPr>
                  <w:tcW w:w="57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4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75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办理成本（元）</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80</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80</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80</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80</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80</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80</w:t>
                  </w:r>
                </w:p>
              </w:tc>
              <w:tc>
                <w:tcPr>
                  <w:tcW w:w="14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gridAfter w:val="1"/>
                <w:wAfter w:w="78" w:type="dxa"/>
                <w:trHeight w:val="379" w:hRule="atLeast"/>
                <w:jc w:val="center"/>
              </w:trPr>
              <w:tc>
                <w:tcPr>
                  <w:tcW w:w="57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4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75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申请材料件数（个）</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14.7</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17.5</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18</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15</w:t>
                  </w:r>
                </w:p>
              </w:tc>
              <w:tc>
                <w:tcPr>
                  <w:tcW w:w="14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gridAfter w:val="1"/>
                <w:wAfter w:w="78" w:type="dxa"/>
                <w:trHeight w:val="90" w:hRule="atLeast"/>
                <w:jc w:val="center"/>
              </w:trPr>
              <w:tc>
                <w:tcPr>
                  <w:tcW w:w="578"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43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75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发生中介环节数（个）</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4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p>
              </w:tc>
            </w:tr>
            <w:tr>
              <w:tblPrEx>
                <w:tblLayout w:type="fixed"/>
                <w:tblCellMar>
                  <w:top w:w="15" w:type="dxa"/>
                  <w:left w:w="15" w:type="dxa"/>
                  <w:bottom w:w="15" w:type="dxa"/>
                  <w:right w:w="15" w:type="dxa"/>
                </w:tblCellMar>
              </w:tblPrEx>
              <w:trPr>
                <w:gridAfter w:val="1"/>
                <w:wAfter w:w="78" w:type="dxa"/>
                <w:trHeight w:val="90" w:hRule="atLeast"/>
                <w:jc w:val="center"/>
              </w:trPr>
              <w:tc>
                <w:tcPr>
                  <w:tcW w:w="57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43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75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2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中介服务花费（元）</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c>
                <w:tcPr>
                  <w:tcW w:w="1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14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Cs/>
                      <w:color w:val="000000"/>
                      <w:sz w:val="20"/>
                      <w:szCs w:val="20"/>
                    </w:rPr>
                  </w:pPr>
                </w:p>
              </w:tc>
            </w:tr>
            <w:tr>
              <w:tblPrEx>
                <w:tblLayout w:type="fixed"/>
                <w:tblCellMar>
                  <w:top w:w="0" w:type="dxa"/>
                  <w:left w:w="108" w:type="dxa"/>
                  <w:bottom w:w="0" w:type="dxa"/>
                  <w:right w:w="108" w:type="dxa"/>
                </w:tblCellMar>
              </w:tblPrEx>
              <w:trPr>
                <w:gridBefore w:val="1"/>
                <w:wBefore w:w="76" w:type="dxa"/>
                <w:trHeight w:val="561" w:hRule="atLeast"/>
                <w:jc w:val="center"/>
              </w:trPr>
              <w:tc>
                <w:tcPr>
                  <w:tcW w:w="13257" w:type="dxa"/>
                  <w:gridSpan w:val="1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0" w:lineRule="exact"/>
                    <w:jc w:val="center"/>
                    <w:textAlignment w:val="auto"/>
                    <w:outlineLvl w:val="9"/>
                    <w:rPr>
                      <w:rFonts w:ascii="方正小标宋简体" w:eastAsia="方正小标宋简体" w:cs="宋体"/>
                      <w:kern w:val="0"/>
                      <w:sz w:val="20"/>
                      <w:szCs w:val="20"/>
                    </w:rPr>
                  </w:pPr>
                </w:p>
              </w:tc>
            </w:tr>
          </w:tbl>
          <w:p>
            <w:pPr>
              <w:keepNext w:val="0"/>
              <w:keepLines w:val="0"/>
              <w:pageBreakBefore w:val="0"/>
              <w:widowControl w:val="0"/>
              <w:kinsoku/>
              <w:wordWrap/>
              <w:topLinePunct w:val="0"/>
              <w:autoSpaceDE/>
              <w:autoSpaceDN/>
              <w:bidi w:val="0"/>
              <w:adjustRightInd/>
              <w:snapToGrid/>
              <w:spacing w:line="540" w:lineRule="exact"/>
              <w:jc w:val="center"/>
              <w:rPr>
                <w:rFonts w:ascii="方正小标宋简体" w:eastAsia="方正小标宋简体" w:cs="宋体"/>
                <w:kern w:val="0"/>
                <w:sz w:val="20"/>
                <w:szCs w:val="20"/>
              </w:rPr>
            </w:pPr>
          </w:p>
        </w:tc>
      </w:tr>
      <w:tr>
        <w:tblPrEx>
          <w:tblLayout w:type="fixed"/>
          <w:tblCellMar>
            <w:top w:w="0" w:type="dxa"/>
            <w:left w:w="108" w:type="dxa"/>
            <w:bottom w:w="0" w:type="dxa"/>
            <w:right w:w="108" w:type="dxa"/>
          </w:tblCellMar>
        </w:tblPrEx>
        <w:trPr>
          <w:gridBefore w:val="1"/>
          <w:wBefore w:w="15" w:type="dxa"/>
          <w:trHeight w:val="1023" w:hRule="atLeast"/>
        </w:trPr>
        <w:tc>
          <w:tcPr>
            <w:tcW w:w="13701" w:type="dxa"/>
            <w:tcBorders>
              <w:top w:val="nil"/>
              <w:left w:val="nil"/>
              <w:bottom w:val="nil"/>
              <w:right w:val="nil"/>
            </w:tcBorders>
            <w:vAlign w:val="center"/>
          </w:tcPr>
          <w:tbl>
            <w:tblPr>
              <w:tblStyle w:val="8"/>
              <w:tblW w:w="13061" w:type="dxa"/>
              <w:tblInd w:w="184" w:type="dxa"/>
              <w:tblLayout w:type="fixed"/>
              <w:tblCellMar>
                <w:top w:w="0" w:type="dxa"/>
                <w:left w:w="108" w:type="dxa"/>
                <w:bottom w:w="0" w:type="dxa"/>
                <w:right w:w="108" w:type="dxa"/>
              </w:tblCellMar>
            </w:tblPr>
            <w:tblGrid>
              <w:gridCol w:w="664"/>
              <w:gridCol w:w="1314"/>
              <w:gridCol w:w="1265"/>
              <w:gridCol w:w="2568"/>
              <w:gridCol w:w="1750"/>
              <w:gridCol w:w="1820"/>
              <w:gridCol w:w="1777"/>
              <w:gridCol w:w="1848"/>
              <w:gridCol w:w="55"/>
            </w:tblGrid>
            <w:tr>
              <w:tblPrEx>
                <w:tblLayout w:type="fixed"/>
              </w:tblPrEx>
              <w:trPr>
                <w:trHeight w:val="90" w:hRule="atLeast"/>
              </w:trPr>
              <w:tc>
                <w:tcPr>
                  <w:tcW w:w="13061" w:type="dxa"/>
                  <w:gridSpan w:val="9"/>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小标宋简体" w:eastAsia="方正小标宋简体" w:cs="宋体"/>
                      <w:kern w:val="0"/>
                      <w:sz w:val="36"/>
                      <w:szCs w:val="36"/>
                    </w:rPr>
                  </w:pPr>
                  <w:r>
                    <w:rPr>
                      <w:rFonts w:hint="eastAsia" w:ascii="方正小标宋简体" w:eastAsia="方正小标宋简体" w:cs="宋体"/>
                      <w:kern w:val="0"/>
                      <w:sz w:val="44"/>
                      <w:szCs w:val="44"/>
                    </w:rPr>
                    <w:t>低企业获得信贷难度和成本工作三年行动计划任务分解表</w:t>
                  </w:r>
                </w:p>
              </w:tc>
            </w:tr>
            <w:tr>
              <w:tblPrEx>
                <w:tblLayout w:type="fixed"/>
                <w:tblCellMar>
                  <w:top w:w="0" w:type="dxa"/>
                  <w:left w:w="108" w:type="dxa"/>
                  <w:bottom w:w="0" w:type="dxa"/>
                  <w:right w:w="108" w:type="dxa"/>
                </w:tblCellMar>
              </w:tblPrEx>
              <w:trPr>
                <w:gridAfter w:val="1"/>
                <w:wAfter w:w="55" w:type="dxa"/>
                <w:trHeight w:val="285" w:hRule="atLeast"/>
              </w:trPr>
              <w:tc>
                <w:tcPr>
                  <w:tcW w:w="66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napToGrid w:val="0"/>
                      <w:kern w:val="0"/>
                      <w:sz w:val="20"/>
                      <w:szCs w:val="20"/>
                    </w:rPr>
                  </w:pPr>
                  <w:r>
                    <w:rPr>
                      <w:rFonts w:hint="eastAsia" w:ascii="黑体" w:hAnsi="黑体" w:eastAsia="黑体" w:cs="黑体"/>
                      <w:b w:val="0"/>
                      <w:bCs/>
                      <w:snapToGrid w:val="0"/>
                      <w:kern w:val="0"/>
                      <w:sz w:val="20"/>
                      <w:szCs w:val="20"/>
                    </w:rPr>
                    <w:t>项目</w:t>
                  </w:r>
                </w:p>
              </w:tc>
              <w:tc>
                <w:tcPr>
                  <w:tcW w:w="257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napToGrid w:val="0"/>
                      <w:kern w:val="0"/>
                      <w:sz w:val="20"/>
                      <w:szCs w:val="20"/>
                    </w:rPr>
                  </w:pPr>
                  <w:r>
                    <w:rPr>
                      <w:rFonts w:hint="eastAsia" w:ascii="黑体" w:hAnsi="黑体" w:eastAsia="黑体" w:cs="黑体"/>
                      <w:b w:val="0"/>
                      <w:bCs/>
                      <w:snapToGrid w:val="0"/>
                      <w:kern w:val="0"/>
                      <w:sz w:val="20"/>
                      <w:szCs w:val="20"/>
                    </w:rPr>
                    <w:t>具体指标</w:t>
                  </w:r>
                </w:p>
              </w:tc>
              <w:tc>
                <w:tcPr>
                  <w:tcW w:w="25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napToGrid w:val="0"/>
                      <w:kern w:val="0"/>
                      <w:sz w:val="20"/>
                      <w:szCs w:val="20"/>
                    </w:rPr>
                  </w:pPr>
                  <w:r>
                    <w:rPr>
                      <w:rFonts w:hint="eastAsia" w:ascii="黑体" w:hAnsi="黑体" w:eastAsia="黑体" w:cs="黑体"/>
                      <w:b w:val="0"/>
                      <w:bCs/>
                      <w:snapToGrid w:val="0"/>
                      <w:kern w:val="0"/>
                      <w:sz w:val="20"/>
                      <w:szCs w:val="20"/>
                    </w:rPr>
                    <w:t>全省平均水平</w:t>
                  </w:r>
                </w:p>
              </w:tc>
              <w:tc>
                <w:tcPr>
                  <w:tcW w:w="534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napToGrid w:val="0"/>
                      <w:kern w:val="0"/>
                      <w:sz w:val="20"/>
                      <w:szCs w:val="20"/>
                    </w:rPr>
                  </w:pPr>
                  <w:r>
                    <w:rPr>
                      <w:rFonts w:hint="eastAsia" w:ascii="黑体" w:hAnsi="黑体" w:eastAsia="黑体" w:cs="黑体"/>
                      <w:b w:val="0"/>
                      <w:bCs/>
                      <w:snapToGrid w:val="0"/>
                      <w:kern w:val="0"/>
                      <w:sz w:val="20"/>
                      <w:szCs w:val="20"/>
                    </w:rPr>
                    <w:t>三年行动计划</w:t>
                  </w:r>
                </w:p>
              </w:tc>
              <w:tc>
                <w:tcPr>
                  <w:tcW w:w="1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责任单位</w:t>
                  </w:r>
                </w:p>
              </w:tc>
            </w:tr>
            <w:tr>
              <w:tblPrEx>
                <w:tblLayout w:type="fixed"/>
                <w:tblCellMar>
                  <w:top w:w="0" w:type="dxa"/>
                  <w:left w:w="108" w:type="dxa"/>
                  <w:bottom w:w="0" w:type="dxa"/>
                  <w:right w:w="108" w:type="dxa"/>
                </w:tblCellMar>
              </w:tblPrEx>
              <w:trPr>
                <w:gridAfter w:val="1"/>
                <w:wAfter w:w="55" w:type="dxa"/>
                <w:trHeight w:val="170" w:hRule="atLeast"/>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snapToGrid w:val="0"/>
                      <w:kern w:val="0"/>
                      <w:sz w:val="20"/>
                      <w:szCs w:val="20"/>
                    </w:rPr>
                  </w:pPr>
                </w:p>
              </w:tc>
              <w:tc>
                <w:tcPr>
                  <w:tcW w:w="25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snapToGrid w:val="0"/>
                      <w:kern w:val="0"/>
                      <w:sz w:val="20"/>
                      <w:szCs w:val="20"/>
                    </w:rPr>
                  </w:pPr>
                </w:p>
              </w:tc>
              <w:tc>
                <w:tcPr>
                  <w:tcW w:w="256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snapToGrid w:val="0"/>
                      <w:kern w:val="0"/>
                      <w:sz w:val="20"/>
                      <w:szCs w:val="20"/>
                    </w:rPr>
                  </w:pP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napToGrid w:val="0"/>
                      <w:kern w:val="0"/>
                      <w:sz w:val="20"/>
                      <w:szCs w:val="20"/>
                    </w:rPr>
                  </w:pPr>
                  <w:r>
                    <w:rPr>
                      <w:rFonts w:hint="eastAsia" w:ascii="黑体" w:hAnsi="黑体" w:eastAsia="黑体" w:cs="黑体"/>
                      <w:b w:val="0"/>
                      <w:bCs/>
                      <w:snapToGrid w:val="0"/>
                      <w:kern w:val="0"/>
                      <w:sz w:val="20"/>
                      <w:szCs w:val="20"/>
                    </w:rPr>
                    <w:t>2018年</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napToGrid w:val="0"/>
                      <w:kern w:val="0"/>
                      <w:sz w:val="20"/>
                      <w:szCs w:val="20"/>
                    </w:rPr>
                  </w:pPr>
                  <w:r>
                    <w:rPr>
                      <w:rFonts w:hint="eastAsia" w:ascii="黑体" w:hAnsi="黑体" w:eastAsia="黑体" w:cs="黑体"/>
                      <w:b w:val="0"/>
                      <w:bCs/>
                      <w:snapToGrid w:val="0"/>
                      <w:kern w:val="0"/>
                      <w:sz w:val="20"/>
                      <w:szCs w:val="20"/>
                    </w:rPr>
                    <w:t>2019年</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napToGrid w:val="0"/>
                      <w:kern w:val="0"/>
                      <w:sz w:val="20"/>
                      <w:szCs w:val="20"/>
                    </w:rPr>
                  </w:pPr>
                  <w:r>
                    <w:rPr>
                      <w:rFonts w:hint="eastAsia" w:ascii="黑体" w:hAnsi="黑体" w:eastAsia="黑体" w:cs="黑体"/>
                      <w:b w:val="0"/>
                      <w:bCs/>
                      <w:snapToGrid w:val="0"/>
                      <w:kern w:val="0"/>
                      <w:sz w:val="20"/>
                      <w:szCs w:val="20"/>
                    </w:rPr>
                    <w:t>2020年</w:t>
                  </w:r>
                </w:p>
              </w:tc>
              <w:tc>
                <w:tcPr>
                  <w:tcW w:w="1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kern w:val="0"/>
                      <w:sz w:val="20"/>
                      <w:szCs w:val="20"/>
                    </w:rPr>
                  </w:pPr>
                </w:p>
              </w:tc>
            </w:tr>
            <w:tr>
              <w:tblPrEx>
                <w:tblLayout w:type="fixed"/>
                <w:tblCellMar>
                  <w:top w:w="0" w:type="dxa"/>
                  <w:left w:w="108" w:type="dxa"/>
                  <w:bottom w:w="0" w:type="dxa"/>
                  <w:right w:w="108" w:type="dxa"/>
                </w:tblCellMar>
              </w:tblPrEx>
              <w:trPr>
                <w:gridAfter w:val="1"/>
                <w:wAfter w:w="55" w:type="dxa"/>
                <w:trHeight w:val="280" w:hRule="atLeast"/>
              </w:trPr>
              <w:tc>
                <w:tcPr>
                  <w:tcW w:w="664" w:type="dxa"/>
                  <w:vMerge w:val="restart"/>
                  <w:tcBorders>
                    <w:top w:val="nil"/>
                    <w:left w:val="single" w:color="auto" w:sz="4" w:space="0"/>
                    <w:bottom w:val="single" w:color="000000"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snapToGrid w:val="0"/>
                      <w:color w:val="000000"/>
                      <w:spacing w:val="0"/>
                      <w:kern w:val="0"/>
                      <w:sz w:val="20"/>
                      <w:szCs w:val="20"/>
                    </w:rPr>
                    <w:t>降低企业获得信贷难度和成本</w:t>
                  </w:r>
                </w:p>
              </w:tc>
              <w:tc>
                <w:tcPr>
                  <w:tcW w:w="1314"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小微企业贷款户数</w:t>
                  </w:r>
                </w:p>
              </w:tc>
              <w:tc>
                <w:tcPr>
                  <w:tcW w:w="12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规模</w:t>
                  </w:r>
                </w:p>
              </w:tc>
              <w:tc>
                <w:tcPr>
                  <w:tcW w:w="25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15.86万户</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不低于上年水平</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不低于上年水平</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不低于上年水平</w:t>
                  </w:r>
                </w:p>
              </w:tc>
              <w:tc>
                <w:tcPr>
                  <w:tcW w:w="184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val="0"/>
                      <w:color w:val="000000"/>
                      <w:sz w:val="20"/>
                      <w:szCs w:val="20"/>
                    </w:rPr>
                  </w:pPr>
                  <w:r>
                    <w:rPr>
                      <w:rFonts w:hint="eastAsia" w:ascii="仿宋_GB2312" w:hAnsi="仿宋_GB2312" w:eastAsia="仿宋_GB2312" w:cs="仿宋_GB2312"/>
                      <w:b/>
                      <w:bCs w:val="0"/>
                      <w:color w:val="000000"/>
                      <w:sz w:val="20"/>
                      <w:szCs w:val="20"/>
                    </w:rPr>
                    <w:t>牵头单位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lang w:eastAsia="zh-CN"/>
                    </w:rPr>
                    <w:t>县</w:t>
                  </w:r>
                  <w:r>
                    <w:rPr>
                      <w:rFonts w:hint="eastAsia" w:ascii="仿宋_GB2312" w:hAnsi="仿宋_GB2312" w:eastAsia="仿宋_GB2312" w:cs="仿宋_GB2312"/>
                      <w:bCs/>
                      <w:color w:val="000000"/>
                      <w:sz w:val="20"/>
                      <w:szCs w:val="20"/>
                    </w:rPr>
                    <w:t>金融办</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28"/>
                      <w:sz w:val="20"/>
                      <w:szCs w:val="20"/>
                      <w:lang w:eastAsia="zh-CN"/>
                    </w:rPr>
                  </w:pPr>
                  <w:r>
                    <w:rPr>
                      <w:rFonts w:hint="eastAsia" w:ascii="仿宋_GB2312" w:hAnsi="仿宋_GB2312" w:eastAsia="仿宋_GB2312" w:cs="仿宋_GB2312"/>
                      <w:b/>
                      <w:bCs w:val="0"/>
                      <w:color w:val="000000"/>
                      <w:sz w:val="20"/>
                      <w:szCs w:val="20"/>
                    </w:rPr>
                    <w:t>成员单位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lang w:eastAsia="zh-CN"/>
                    </w:rPr>
                    <w:t>县</w:t>
                  </w:r>
                  <w:r>
                    <w:rPr>
                      <w:rFonts w:hint="eastAsia" w:ascii="仿宋_GB2312" w:hAnsi="仿宋_GB2312" w:eastAsia="仿宋_GB2312" w:cs="仿宋_GB2312"/>
                      <w:bCs/>
                      <w:color w:val="000000"/>
                      <w:sz w:val="20"/>
                      <w:szCs w:val="20"/>
                    </w:rPr>
                    <w:t>财政局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lang w:eastAsia="zh-CN"/>
                    </w:rPr>
                    <w:t>县市场监管</w:t>
                  </w:r>
                  <w:r>
                    <w:rPr>
                      <w:rFonts w:hint="eastAsia" w:ascii="仿宋_GB2312" w:hAnsi="仿宋_GB2312" w:eastAsia="仿宋_GB2312" w:cs="仿宋_GB2312"/>
                      <w:bCs/>
                      <w:color w:val="000000"/>
                      <w:sz w:val="20"/>
                      <w:szCs w:val="20"/>
                    </w:rPr>
                    <w:t>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000000"/>
                      <w:sz w:val="20"/>
                      <w:szCs w:val="20"/>
                    </w:rPr>
                  </w:pPr>
                  <w:r>
                    <w:rPr>
                      <w:rFonts w:hint="eastAsia" w:ascii="仿宋_GB2312" w:hAnsi="仿宋_GB2312" w:eastAsia="仿宋_GB2312" w:cs="仿宋_GB2312"/>
                      <w:bCs/>
                      <w:color w:val="000000"/>
                      <w:sz w:val="20"/>
                      <w:szCs w:val="20"/>
                      <w:lang w:eastAsia="zh-CN"/>
                    </w:rPr>
                    <w:t>县</w:t>
                  </w:r>
                  <w:r>
                    <w:rPr>
                      <w:rFonts w:hint="eastAsia" w:ascii="仿宋_GB2312" w:hAnsi="仿宋_GB2312" w:eastAsia="仿宋_GB2312" w:cs="仿宋_GB2312"/>
                      <w:bCs/>
                      <w:color w:val="000000"/>
                      <w:sz w:val="20"/>
                      <w:szCs w:val="20"/>
                    </w:rPr>
                    <w:t>税务局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0"/>
                      <w:szCs w:val="20"/>
                    </w:rPr>
                  </w:pPr>
                </w:p>
              </w:tc>
            </w:tr>
            <w:tr>
              <w:tblPrEx>
                <w:tblLayout w:type="fixed"/>
                <w:tblCellMar>
                  <w:top w:w="0" w:type="dxa"/>
                  <w:left w:w="108" w:type="dxa"/>
                  <w:bottom w:w="0" w:type="dxa"/>
                  <w:right w:w="108" w:type="dxa"/>
                </w:tblCellMar>
              </w:tblPrEx>
              <w:trPr>
                <w:gridAfter w:val="1"/>
                <w:wAfter w:w="55" w:type="dxa"/>
                <w:trHeight w:val="283" w:hRule="atLeast"/>
              </w:trPr>
              <w:tc>
                <w:tcPr>
                  <w:tcW w:w="66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3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2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增幅</w:t>
                  </w:r>
                </w:p>
              </w:tc>
              <w:tc>
                <w:tcPr>
                  <w:tcW w:w="25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13.69%</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0"/>
                      <w:szCs w:val="20"/>
                    </w:rPr>
                  </w:pPr>
                </w:p>
              </w:tc>
            </w:tr>
            <w:tr>
              <w:tblPrEx>
                <w:tblLayout w:type="fixed"/>
                <w:tblCellMar>
                  <w:top w:w="0" w:type="dxa"/>
                  <w:left w:w="108" w:type="dxa"/>
                  <w:bottom w:w="0" w:type="dxa"/>
                  <w:right w:w="108" w:type="dxa"/>
                </w:tblCellMar>
              </w:tblPrEx>
              <w:trPr>
                <w:gridAfter w:val="1"/>
                <w:wAfter w:w="55" w:type="dxa"/>
                <w:trHeight w:val="306" w:hRule="atLeast"/>
              </w:trPr>
              <w:tc>
                <w:tcPr>
                  <w:tcW w:w="66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314"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小微企业贷款余额</w:t>
                  </w:r>
                </w:p>
              </w:tc>
              <w:tc>
                <w:tcPr>
                  <w:tcW w:w="12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余额</w:t>
                  </w:r>
                </w:p>
              </w:tc>
              <w:tc>
                <w:tcPr>
                  <w:tcW w:w="25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4690.79亿元</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不低于上年水平</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不低于上年水平</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不低于上年水平</w:t>
                  </w:r>
                </w:p>
              </w:tc>
              <w:tc>
                <w:tcPr>
                  <w:tcW w:w="18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0"/>
                      <w:szCs w:val="20"/>
                    </w:rPr>
                  </w:pPr>
                </w:p>
              </w:tc>
            </w:tr>
            <w:tr>
              <w:tblPrEx>
                <w:tblLayout w:type="fixed"/>
                <w:tblCellMar>
                  <w:top w:w="0" w:type="dxa"/>
                  <w:left w:w="108" w:type="dxa"/>
                  <w:bottom w:w="0" w:type="dxa"/>
                  <w:right w:w="108" w:type="dxa"/>
                </w:tblCellMar>
              </w:tblPrEx>
              <w:trPr>
                <w:gridAfter w:val="1"/>
                <w:wAfter w:w="55" w:type="dxa"/>
                <w:trHeight w:val="394" w:hRule="atLeast"/>
              </w:trPr>
              <w:tc>
                <w:tcPr>
                  <w:tcW w:w="66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3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2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增幅</w:t>
                  </w:r>
                </w:p>
              </w:tc>
              <w:tc>
                <w:tcPr>
                  <w:tcW w:w="25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18.40%</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0"/>
                      <w:szCs w:val="20"/>
                    </w:rPr>
                  </w:pPr>
                </w:p>
              </w:tc>
            </w:tr>
            <w:tr>
              <w:tblPrEx>
                <w:tblLayout w:type="fixed"/>
                <w:tblCellMar>
                  <w:top w:w="0" w:type="dxa"/>
                  <w:left w:w="108" w:type="dxa"/>
                  <w:bottom w:w="0" w:type="dxa"/>
                  <w:right w:w="108" w:type="dxa"/>
                </w:tblCellMar>
              </w:tblPrEx>
              <w:trPr>
                <w:gridAfter w:val="1"/>
                <w:wAfter w:w="55" w:type="dxa"/>
                <w:trHeight w:val="304" w:hRule="atLeast"/>
              </w:trPr>
              <w:tc>
                <w:tcPr>
                  <w:tcW w:w="66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314"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存贷比</w:t>
                  </w:r>
                </w:p>
              </w:tc>
              <w:tc>
                <w:tcPr>
                  <w:tcW w:w="12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比率</w:t>
                  </w:r>
                </w:p>
              </w:tc>
              <w:tc>
                <w:tcPr>
                  <w:tcW w:w="25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70.57%</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0"/>
                      <w:szCs w:val="20"/>
                    </w:rPr>
                  </w:pPr>
                </w:p>
              </w:tc>
            </w:tr>
            <w:tr>
              <w:tblPrEx>
                <w:tblLayout w:type="fixed"/>
                <w:tblCellMar>
                  <w:top w:w="0" w:type="dxa"/>
                  <w:left w:w="108" w:type="dxa"/>
                  <w:bottom w:w="0" w:type="dxa"/>
                  <w:right w:w="108" w:type="dxa"/>
                </w:tblCellMar>
              </w:tblPrEx>
              <w:trPr>
                <w:gridAfter w:val="1"/>
                <w:wAfter w:w="55" w:type="dxa"/>
                <w:trHeight w:val="254" w:hRule="atLeast"/>
              </w:trPr>
              <w:tc>
                <w:tcPr>
                  <w:tcW w:w="66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3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2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增幅</w:t>
                  </w:r>
                </w:p>
              </w:tc>
              <w:tc>
                <w:tcPr>
                  <w:tcW w:w="25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2.70%</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0"/>
                      <w:szCs w:val="20"/>
                    </w:rPr>
                  </w:pPr>
                </w:p>
              </w:tc>
            </w:tr>
            <w:tr>
              <w:tblPrEx>
                <w:tblLayout w:type="fixed"/>
                <w:tblCellMar>
                  <w:top w:w="0" w:type="dxa"/>
                  <w:left w:w="108" w:type="dxa"/>
                  <w:bottom w:w="0" w:type="dxa"/>
                  <w:right w:w="108" w:type="dxa"/>
                </w:tblCellMar>
              </w:tblPrEx>
              <w:trPr>
                <w:gridAfter w:val="1"/>
                <w:wAfter w:w="55" w:type="dxa"/>
                <w:trHeight w:val="90" w:hRule="atLeast"/>
              </w:trPr>
              <w:tc>
                <w:tcPr>
                  <w:tcW w:w="66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314"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申贷成本（时间、成本）</w:t>
                  </w:r>
                </w:p>
              </w:tc>
              <w:tc>
                <w:tcPr>
                  <w:tcW w:w="12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金额/比率</w:t>
                  </w:r>
                </w:p>
              </w:tc>
              <w:tc>
                <w:tcPr>
                  <w:tcW w:w="25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color w:val="000000"/>
                      <w:spacing w:val="0"/>
                      <w:kern w:val="0"/>
                      <w:sz w:val="20"/>
                      <w:szCs w:val="20"/>
                    </w:rPr>
                    <w:t>银行收费0元。第三方收费：审计报告10000元、担保费率1.5%、办理公证费为贷款金额的0.05%。</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政府性融资担保费率≦1.5%</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政府性融资担保费率≦1.5%</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政府性融资担保费率≦1.5%</w:t>
                  </w:r>
                </w:p>
              </w:tc>
              <w:tc>
                <w:tcPr>
                  <w:tcW w:w="18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0"/>
                      <w:szCs w:val="20"/>
                    </w:rPr>
                  </w:pPr>
                </w:p>
              </w:tc>
            </w:tr>
            <w:tr>
              <w:tblPrEx>
                <w:tblLayout w:type="fixed"/>
                <w:tblCellMar>
                  <w:top w:w="0" w:type="dxa"/>
                  <w:left w:w="108" w:type="dxa"/>
                  <w:bottom w:w="0" w:type="dxa"/>
                  <w:right w:w="108" w:type="dxa"/>
                </w:tblCellMar>
              </w:tblPrEx>
              <w:trPr>
                <w:gridAfter w:val="1"/>
                <w:wAfter w:w="55" w:type="dxa"/>
                <w:trHeight w:val="565" w:hRule="atLeast"/>
              </w:trPr>
              <w:tc>
                <w:tcPr>
                  <w:tcW w:w="66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3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2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办理时间</w:t>
                  </w:r>
                </w:p>
              </w:tc>
              <w:tc>
                <w:tcPr>
                  <w:tcW w:w="25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21.7</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较上年压缩8%以上</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较上年压缩8%以上</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较上年压缩8%以上</w:t>
                  </w:r>
                </w:p>
              </w:tc>
              <w:tc>
                <w:tcPr>
                  <w:tcW w:w="18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0"/>
                      <w:szCs w:val="20"/>
                    </w:rPr>
                  </w:pPr>
                </w:p>
              </w:tc>
            </w:tr>
            <w:tr>
              <w:tblPrEx>
                <w:tblLayout w:type="fixed"/>
                <w:tblCellMar>
                  <w:top w:w="0" w:type="dxa"/>
                  <w:left w:w="108" w:type="dxa"/>
                  <w:bottom w:w="0" w:type="dxa"/>
                  <w:right w:w="108" w:type="dxa"/>
                </w:tblCellMar>
              </w:tblPrEx>
              <w:trPr>
                <w:gridAfter w:val="1"/>
                <w:wAfter w:w="55" w:type="dxa"/>
                <w:trHeight w:val="293" w:hRule="atLeast"/>
              </w:trPr>
              <w:tc>
                <w:tcPr>
                  <w:tcW w:w="66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3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2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增幅</w:t>
                  </w:r>
                </w:p>
              </w:tc>
              <w:tc>
                <w:tcPr>
                  <w:tcW w:w="25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0"/>
                      <w:szCs w:val="20"/>
                    </w:rPr>
                  </w:pPr>
                </w:p>
              </w:tc>
            </w:tr>
            <w:tr>
              <w:tblPrEx>
                <w:tblLayout w:type="fixed"/>
                <w:tblCellMar>
                  <w:top w:w="0" w:type="dxa"/>
                  <w:left w:w="108" w:type="dxa"/>
                  <w:bottom w:w="0" w:type="dxa"/>
                  <w:right w:w="108" w:type="dxa"/>
                </w:tblCellMar>
              </w:tblPrEx>
              <w:trPr>
                <w:gridAfter w:val="1"/>
                <w:wAfter w:w="55" w:type="dxa"/>
                <w:trHeight w:val="320" w:hRule="atLeast"/>
              </w:trPr>
              <w:tc>
                <w:tcPr>
                  <w:tcW w:w="66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314"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不良贷款率</w:t>
                  </w:r>
                </w:p>
              </w:tc>
              <w:tc>
                <w:tcPr>
                  <w:tcW w:w="12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金额/比率</w:t>
                  </w:r>
                </w:p>
              </w:tc>
              <w:tc>
                <w:tcPr>
                  <w:tcW w:w="25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2.78%</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较上年下降</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较上年下降</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较上年下降</w:t>
                  </w:r>
                </w:p>
              </w:tc>
              <w:tc>
                <w:tcPr>
                  <w:tcW w:w="18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0"/>
                      <w:szCs w:val="20"/>
                    </w:rPr>
                  </w:pPr>
                </w:p>
              </w:tc>
            </w:tr>
            <w:tr>
              <w:tblPrEx>
                <w:tblLayout w:type="fixed"/>
                <w:tblCellMar>
                  <w:top w:w="0" w:type="dxa"/>
                  <w:left w:w="108" w:type="dxa"/>
                  <w:bottom w:w="0" w:type="dxa"/>
                  <w:right w:w="108" w:type="dxa"/>
                </w:tblCellMar>
              </w:tblPrEx>
              <w:trPr>
                <w:gridAfter w:val="1"/>
                <w:wAfter w:w="55" w:type="dxa"/>
                <w:trHeight w:val="169" w:hRule="atLeast"/>
              </w:trPr>
              <w:tc>
                <w:tcPr>
                  <w:tcW w:w="66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31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p>
              </w:tc>
              <w:tc>
                <w:tcPr>
                  <w:tcW w:w="12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napToGrid w:val="0"/>
                      <w:kern w:val="0"/>
                      <w:sz w:val="20"/>
                      <w:szCs w:val="20"/>
                    </w:rPr>
                  </w:pPr>
                  <w:r>
                    <w:rPr>
                      <w:rFonts w:hint="eastAsia" w:ascii="仿宋_GB2312" w:hAnsi="仿宋_GB2312" w:eastAsia="仿宋_GB2312" w:cs="仿宋_GB2312"/>
                      <w:b w:val="0"/>
                      <w:bCs/>
                      <w:snapToGrid w:val="0"/>
                      <w:kern w:val="0"/>
                      <w:sz w:val="20"/>
                      <w:szCs w:val="20"/>
                    </w:rPr>
                    <w:t>增幅</w:t>
                  </w:r>
                </w:p>
              </w:tc>
              <w:tc>
                <w:tcPr>
                  <w:tcW w:w="25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-0.25%</w:t>
                  </w:r>
                </w:p>
              </w:tc>
              <w:tc>
                <w:tcPr>
                  <w:tcW w:w="17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7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0"/>
                      <w:szCs w:val="20"/>
                    </w:rPr>
                  </w:pPr>
                  <w:r>
                    <w:rPr>
                      <w:rFonts w:hint="eastAsia" w:ascii="仿宋_GB2312" w:hAnsi="仿宋_GB2312" w:eastAsia="仿宋_GB2312" w:cs="仿宋_GB2312"/>
                      <w:snapToGrid w:val="0"/>
                      <w:kern w:val="0"/>
                      <w:sz w:val="20"/>
                      <w:szCs w:val="20"/>
                    </w:rPr>
                    <w:t>/</w:t>
                  </w:r>
                </w:p>
              </w:tc>
              <w:tc>
                <w:tcPr>
                  <w:tcW w:w="184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0"/>
                      <w:szCs w:val="20"/>
                    </w:rPr>
                  </w:pPr>
                </w:p>
              </w:tc>
            </w:tr>
          </w:tbl>
          <w:p>
            <w:pPr>
              <w:keepNext w:val="0"/>
              <w:keepLines w:val="0"/>
              <w:pageBreakBefore w:val="0"/>
              <w:widowControl w:val="0"/>
              <w:kinsoku/>
              <w:wordWrap/>
              <w:topLinePunct w:val="0"/>
              <w:autoSpaceDE/>
              <w:autoSpaceDN/>
              <w:bidi w:val="0"/>
              <w:adjustRightInd/>
              <w:snapToGrid/>
              <w:spacing w:line="540" w:lineRule="exact"/>
              <w:jc w:val="both"/>
              <w:rPr>
                <w:rFonts w:ascii="方正小标宋简体" w:eastAsia="方正小标宋简体" w:cs="宋体"/>
                <w:kern w:val="0"/>
                <w:sz w:val="36"/>
                <w:szCs w:val="36"/>
              </w:rPr>
            </w:pPr>
          </w:p>
        </w:tc>
      </w:tr>
    </w:tbl>
    <w:p>
      <w:pPr>
        <w:keepNext w:val="0"/>
        <w:keepLines w:val="0"/>
        <w:pageBreakBefore w:val="0"/>
        <w:widowControl w:val="0"/>
        <w:kinsoku/>
        <w:wordWrap/>
        <w:topLinePunct w:val="0"/>
        <w:autoSpaceDE/>
        <w:autoSpaceDN/>
        <w:bidi w:val="0"/>
        <w:adjustRightInd/>
        <w:snapToGrid/>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val="0"/>
        <w:kinsoku/>
        <w:wordWrap/>
        <w:topLinePunct w:val="0"/>
        <w:autoSpaceDE/>
        <w:autoSpaceDN/>
        <w:bidi w:val="0"/>
        <w:adjustRightInd/>
        <w:snapToGrid/>
        <w:spacing w:line="540" w:lineRule="exact"/>
        <w:jc w:val="center"/>
        <w:rPr>
          <w:rFonts w:hAnsi="方正小标宋简体" w:cs="方正小标宋简体"/>
          <w:color w:val="000000"/>
          <w:kern w:val="0"/>
          <w:sz w:val="44"/>
          <w:szCs w:val="44"/>
        </w:rPr>
      </w:pPr>
      <w:r>
        <w:rPr>
          <w:rFonts w:hint="eastAsia" w:ascii="方正小标宋简体" w:eastAsia="方正小标宋简体" w:cs="宋体"/>
          <w:kern w:val="0"/>
          <w:sz w:val="44"/>
          <w:szCs w:val="44"/>
          <w:lang w:eastAsia="zh-CN"/>
        </w:rPr>
        <w:t>太白县</w:t>
      </w:r>
      <w:r>
        <w:rPr>
          <w:rFonts w:hint="eastAsia" w:ascii="方正小标宋简体" w:eastAsia="方正小标宋简体" w:cs="宋体"/>
          <w:kern w:val="0"/>
          <w:sz w:val="44"/>
          <w:szCs w:val="44"/>
        </w:rPr>
        <w:t>优化企业纳税服务工作三年行动计划任务分解表</w:t>
      </w:r>
    </w:p>
    <w:tbl>
      <w:tblPr>
        <w:tblStyle w:val="8"/>
        <w:tblW w:w="14134" w:type="dxa"/>
        <w:jc w:val="center"/>
        <w:tblInd w:w="-405" w:type="dxa"/>
        <w:tblLayout w:type="fixed"/>
        <w:tblCellMar>
          <w:top w:w="15" w:type="dxa"/>
          <w:left w:w="15" w:type="dxa"/>
          <w:bottom w:w="15" w:type="dxa"/>
          <w:right w:w="15" w:type="dxa"/>
        </w:tblCellMar>
      </w:tblPr>
      <w:tblGrid>
        <w:gridCol w:w="431"/>
        <w:gridCol w:w="725"/>
        <w:gridCol w:w="423"/>
        <w:gridCol w:w="104"/>
        <w:gridCol w:w="625"/>
        <w:gridCol w:w="778"/>
        <w:gridCol w:w="312"/>
        <w:gridCol w:w="549"/>
        <w:gridCol w:w="438"/>
        <w:gridCol w:w="424"/>
        <w:gridCol w:w="639"/>
        <w:gridCol w:w="145"/>
        <w:gridCol w:w="577"/>
        <w:gridCol w:w="560"/>
        <w:gridCol w:w="273"/>
        <w:gridCol w:w="447"/>
        <w:gridCol w:w="498"/>
        <w:gridCol w:w="268"/>
        <w:gridCol w:w="635"/>
        <w:gridCol w:w="256"/>
        <w:gridCol w:w="375"/>
        <w:gridCol w:w="368"/>
        <w:gridCol w:w="1"/>
        <w:gridCol w:w="374"/>
        <w:gridCol w:w="375"/>
        <w:gridCol w:w="187"/>
        <w:gridCol w:w="129"/>
        <w:gridCol w:w="476"/>
        <w:gridCol w:w="381"/>
        <w:gridCol w:w="36"/>
        <w:gridCol w:w="402"/>
        <w:gridCol w:w="500"/>
        <w:gridCol w:w="20"/>
        <w:gridCol w:w="1348"/>
        <w:gridCol w:w="55"/>
      </w:tblGrid>
      <w:tr>
        <w:tblPrEx>
          <w:tblLayout w:type="fixed"/>
          <w:tblCellMar>
            <w:top w:w="15" w:type="dxa"/>
            <w:left w:w="15" w:type="dxa"/>
            <w:bottom w:w="15" w:type="dxa"/>
            <w:right w:w="15" w:type="dxa"/>
          </w:tblCellMar>
        </w:tblPrEx>
        <w:trPr>
          <w:gridAfter w:val="1"/>
          <w:wAfter w:w="55" w:type="dxa"/>
          <w:trHeight w:val="396" w:hRule="atLeast"/>
          <w:jc w:val="center"/>
        </w:trPr>
        <w:tc>
          <w:tcPr>
            <w:tcW w:w="1579"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项目</w:t>
            </w:r>
          </w:p>
        </w:tc>
        <w:tc>
          <w:tcPr>
            <w:tcW w:w="181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具体指标</w:t>
            </w:r>
          </w:p>
        </w:tc>
        <w:tc>
          <w:tcPr>
            <w:tcW w:w="987"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lang w:eastAsia="zh-CN"/>
              </w:rPr>
              <w:t>宝鸡</w:t>
            </w:r>
            <w:r>
              <w:rPr>
                <w:rFonts w:hint="eastAsia" w:ascii="黑体" w:hAnsi="黑体" w:eastAsia="黑体" w:cs="黑体"/>
                <w:b w:val="0"/>
                <w:bCs/>
                <w:sz w:val="20"/>
                <w:szCs w:val="20"/>
              </w:rPr>
              <w:t>市</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120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lang w:eastAsia="zh-CN"/>
              </w:rPr>
              <w:t>陕西</w:t>
            </w:r>
            <w:r>
              <w:rPr>
                <w:rFonts w:hint="eastAsia" w:ascii="黑体" w:hAnsi="黑体" w:eastAsia="黑体" w:cs="黑体"/>
                <w:b w:val="0"/>
                <w:bCs/>
                <w:sz w:val="20"/>
                <w:szCs w:val="20"/>
              </w:rPr>
              <w:t>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1137" w:type="dxa"/>
            <w:gridSpan w:val="2"/>
            <w:vMerge w:val="restar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全国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2377" w:type="dxa"/>
            <w:gridSpan w:val="6"/>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国内先进地区标准</w:t>
            </w:r>
          </w:p>
        </w:tc>
        <w:tc>
          <w:tcPr>
            <w:tcW w:w="3604" w:type="dxa"/>
            <w:gridSpan w:val="1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三年行动计划</w:t>
            </w:r>
          </w:p>
        </w:tc>
        <w:tc>
          <w:tcPr>
            <w:tcW w:w="136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责任单位</w:t>
            </w:r>
          </w:p>
        </w:tc>
      </w:tr>
      <w:tr>
        <w:tblPrEx>
          <w:tblLayout w:type="fixed"/>
          <w:tblCellMar>
            <w:top w:w="15" w:type="dxa"/>
            <w:left w:w="15" w:type="dxa"/>
            <w:bottom w:w="15" w:type="dxa"/>
            <w:right w:w="15" w:type="dxa"/>
          </w:tblCellMar>
        </w:tblPrEx>
        <w:trPr>
          <w:gridAfter w:val="1"/>
          <w:wAfter w:w="55" w:type="dxa"/>
          <w:trHeight w:val="374" w:hRule="atLeast"/>
          <w:jc w:val="center"/>
        </w:trPr>
        <w:tc>
          <w:tcPr>
            <w:tcW w:w="157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000000"/>
                <w:sz w:val="20"/>
                <w:szCs w:val="20"/>
              </w:rPr>
            </w:pPr>
          </w:p>
        </w:tc>
        <w:tc>
          <w:tcPr>
            <w:tcW w:w="181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000000"/>
                <w:sz w:val="20"/>
                <w:szCs w:val="20"/>
              </w:rPr>
            </w:pPr>
          </w:p>
        </w:tc>
        <w:tc>
          <w:tcPr>
            <w:tcW w:w="987"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kern w:val="0"/>
                <w:sz w:val="20"/>
                <w:szCs w:val="20"/>
              </w:rPr>
            </w:pPr>
          </w:p>
        </w:tc>
        <w:tc>
          <w:tcPr>
            <w:tcW w:w="1208"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000000"/>
                <w:sz w:val="20"/>
                <w:szCs w:val="20"/>
              </w:rPr>
            </w:pPr>
          </w:p>
        </w:tc>
        <w:tc>
          <w:tcPr>
            <w:tcW w:w="1137" w:type="dxa"/>
            <w:gridSpan w:val="2"/>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000000"/>
                <w:sz w:val="20"/>
                <w:szCs w:val="20"/>
              </w:rPr>
            </w:pPr>
          </w:p>
        </w:tc>
        <w:tc>
          <w:tcPr>
            <w:tcW w:w="2377" w:type="dxa"/>
            <w:gridSpan w:val="6"/>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color w:val="000000"/>
                <w:sz w:val="20"/>
                <w:szCs w:val="20"/>
              </w:rPr>
            </w:pPr>
          </w:p>
        </w:tc>
        <w:tc>
          <w:tcPr>
            <w:tcW w:w="1118"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2018年</w:t>
            </w:r>
          </w:p>
        </w:tc>
        <w:tc>
          <w:tcPr>
            <w:tcW w:w="116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2019年</w:t>
            </w:r>
          </w:p>
        </w:tc>
        <w:tc>
          <w:tcPr>
            <w:tcW w:w="131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2020年</w:t>
            </w:r>
          </w:p>
        </w:tc>
        <w:tc>
          <w:tcPr>
            <w:tcW w:w="136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000000"/>
                <w:sz w:val="20"/>
                <w:szCs w:val="20"/>
              </w:rPr>
            </w:pPr>
          </w:p>
        </w:tc>
      </w:tr>
      <w:tr>
        <w:tblPrEx>
          <w:tblLayout w:type="fixed"/>
          <w:tblCellMar>
            <w:top w:w="15" w:type="dxa"/>
            <w:left w:w="15" w:type="dxa"/>
            <w:bottom w:w="15" w:type="dxa"/>
            <w:right w:w="15" w:type="dxa"/>
          </w:tblCellMar>
        </w:tblPrEx>
        <w:trPr>
          <w:gridAfter w:val="1"/>
          <w:wAfter w:w="55" w:type="dxa"/>
          <w:trHeight w:val="454" w:hRule="exact"/>
          <w:jc w:val="center"/>
        </w:trPr>
        <w:tc>
          <w:tcPr>
            <w:tcW w:w="1579"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优</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化</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企</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业</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纳</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税</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服</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务</w:t>
            </w:r>
          </w:p>
        </w:tc>
        <w:tc>
          <w:tcPr>
            <w:tcW w:w="1819"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简并纳税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申报次数(次）</w:t>
            </w:r>
          </w:p>
        </w:tc>
        <w:tc>
          <w:tcPr>
            <w:tcW w:w="987"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9</w:t>
            </w:r>
          </w:p>
        </w:tc>
        <w:tc>
          <w:tcPr>
            <w:tcW w:w="1208"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w:t>
            </w:r>
          </w:p>
        </w:tc>
        <w:tc>
          <w:tcPr>
            <w:tcW w:w="1137" w:type="dxa"/>
            <w:gridSpan w:val="2"/>
            <w:vMerge w:val="restart"/>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Cs/>
                <w:color w:val="000000"/>
                <w:kern w:val="0"/>
                <w:sz w:val="20"/>
                <w:szCs w:val="20"/>
              </w:rPr>
              <w:t>上海</w:t>
            </w:r>
          </w:p>
        </w:tc>
        <w:tc>
          <w:tcPr>
            <w:tcW w:w="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Cs/>
                <w:color w:val="000000"/>
                <w:kern w:val="0"/>
                <w:sz w:val="20"/>
                <w:szCs w:val="20"/>
              </w:rPr>
              <w:t>江苏</w:t>
            </w:r>
          </w:p>
        </w:tc>
        <w:tc>
          <w:tcPr>
            <w:tcW w:w="8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Cs/>
                <w:color w:val="000000"/>
                <w:kern w:val="0"/>
                <w:sz w:val="20"/>
                <w:szCs w:val="20"/>
              </w:rPr>
              <w:t>广东</w:t>
            </w:r>
          </w:p>
        </w:tc>
        <w:tc>
          <w:tcPr>
            <w:tcW w:w="1118" w:type="dxa"/>
            <w:gridSpan w:val="4"/>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1167"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1319"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1368"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bCs/>
                <w:color w:val="000000"/>
                <w:sz w:val="20"/>
                <w:szCs w:val="20"/>
                <w:lang w:eastAsia="zh-CN"/>
              </w:rPr>
              <w:t>县</w:t>
            </w:r>
            <w:r>
              <w:rPr>
                <w:rFonts w:hint="eastAsia" w:ascii="仿宋_GB2312" w:hAnsi="仿宋_GB2312" w:eastAsia="仿宋_GB2312" w:cs="仿宋_GB2312"/>
                <w:bCs/>
                <w:color w:val="000000"/>
                <w:sz w:val="20"/>
                <w:szCs w:val="20"/>
              </w:rPr>
              <w:t>税务局</w:t>
            </w:r>
          </w:p>
        </w:tc>
      </w:tr>
      <w:tr>
        <w:tblPrEx>
          <w:tblLayout w:type="fixed"/>
          <w:tblCellMar>
            <w:top w:w="15" w:type="dxa"/>
            <w:left w:w="15" w:type="dxa"/>
            <w:bottom w:w="15" w:type="dxa"/>
            <w:right w:w="15" w:type="dxa"/>
          </w:tblCellMar>
        </w:tblPrEx>
        <w:trPr>
          <w:gridAfter w:val="1"/>
          <w:wAfter w:w="55" w:type="dxa"/>
          <w:trHeight w:val="445" w:hRule="exact"/>
          <w:jc w:val="center"/>
        </w:trPr>
        <w:tc>
          <w:tcPr>
            <w:tcW w:w="1579"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819"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987"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Cs/>
                <w:color w:val="000000"/>
                <w:kern w:val="0"/>
                <w:sz w:val="20"/>
                <w:szCs w:val="20"/>
              </w:rPr>
            </w:pPr>
          </w:p>
        </w:tc>
        <w:tc>
          <w:tcPr>
            <w:tcW w:w="1208"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c>
          <w:tcPr>
            <w:tcW w:w="1137" w:type="dxa"/>
            <w:gridSpan w:val="2"/>
            <w:vMerge w:val="continue"/>
            <w:tcBorders>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8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118" w:type="dxa"/>
            <w:gridSpan w:val="4"/>
            <w:vMerge w:val="continue"/>
            <w:tcBorders>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c>
          <w:tcPr>
            <w:tcW w:w="1167"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c>
          <w:tcPr>
            <w:tcW w:w="1319"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c>
          <w:tcPr>
            <w:tcW w:w="136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gridAfter w:val="1"/>
          <w:wAfter w:w="55" w:type="dxa"/>
          <w:trHeight w:val="426" w:hRule="exact"/>
          <w:jc w:val="center"/>
        </w:trPr>
        <w:tc>
          <w:tcPr>
            <w:tcW w:w="157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819"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电子税务局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可办事项（项）</w:t>
            </w:r>
          </w:p>
        </w:tc>
        <w:tc>
          <w:tcPr>
            <w:tcW w:w="987"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color w:val="000000"/>
                <w:kern w:val="0"/>
                <w:sz w:val="20"/>
                <w:szCs w:val="20"/>
              </w:rPr>
              <w:t>285</w:t>
            </w:r>
          </w:p>
        </w:tc>
        <w:tc>
          <w:tcPr>
            <w:tcW w:w="1208"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285</w:t>
            </w:r>
          </w:p>
        </w:tc>
        <w:tc>
          <w:tcPr>
            <w:tcW w:w="1137" w:type="dxa"/>
            <w:gridSpan w:val="2"/>
            <w:vMerge w:val="restart"/>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245</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福建</w:t>
            </w:r>
          </w:p>
        </w:tc>
        <w:tc>
          <w:tcPr>
            <w:tcW w:w="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大连</w:t>
            </w:r>
          </w:p>
        </w:tc>
        <w:tc>
          <w:tcPr>
            <w:tcW w:w="8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Cs/>
                <w:color w:val="000000"/>
                <w:kern w:val="0"/>
                <w:sz w:val="20"/>
                <w:szCs w:val="20"/>
              </w:rPr>
              <w:t>广东</w:t>
            </w:r>
          </w:p>
        </w:tc>
        <w:tc>
          <w:tcPr>
            <w:tcW w:w="1118" w:type="dxa"/>
            <w:gridSpan w:val="4"/>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285</w:t>
            </w:r>
          </w:p>
        </w:tc>
        <w:tc>
          <w:tcPr>
            <w:tcW w:w="1167"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320</w:t>
            </w:r>
          </w:p>
        </w:tc>
        <w:tc>
          <w:tcPr>
            <w:tcW w:w="1319"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350</w:t>
            </w:r>
          </w:p>
        </w:tc>
        <w:tc>
          <w:tcPr>
            <w:tcW w:w="136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gridAfter w:val="1"/>
          <w:wAfter w:w="55" w:type="dxa"/>
          <w:trHeight w:val="455" w:hRule="exact"/>
          <w:jc w:val="center"/>
        </w:trPr>
        <w:tc>
          <w:tcPr>
            <w:tcW w:w="1579"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819"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987"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Cs/>
                <w:color w:val="000000"/>
                <w:kern w:val="0"/>
                <w:sz w:val="20"/>
                <w:szCs w:val="20"/>
              </w:rPr>
            </w:pPr>
          </w:p>
        </w:tc>
        <w:tc>
          <w:tcPr>
            <w:tcW w:w="1208"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c>
          <w:tcPr>
            <w:tcW w:w="1137" w:type="dxa"/>
            <w:gridSpan w:val="2"/>
            <w:vMerge w:val="continue"/>
            <w:tcBorders>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297</w:t>
            </w:r>
          </w:p>
        </w:tc>
        <w:tc>
          <w:tcPr>
            <w:tcW w:w="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256</w:t>
            </w:r>
          </w:p>
        </w:tc>
        <w:tc>
          <w:tcPr>
            <w:tcW w:w="8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330</w:t>
            </w:r>
          </w:p>
        </w:tc>
        <w:tc>
          <w:tcPr>
            <w:tcW w:w="1118" w:type="dxa"/>
            <w:gridSpan w:val="4"/>
            <w:vMerge w:val="continue"/>
            <w:tcBorders>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c>
          <w:tcPr>
            <w:tcW w:w="1167"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c>
          <w:tcPr>
            <w:tcW w:w="1319"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c>
          <w:tcPr>
            <w:tcW w:w="136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0"/>
                <w:szCs w:val="20"/>
              </w:rPr>
            </w:pPr>
          </w:p>
        </w:tc>
      </w:tr>
      <w:tr>
        <w:tblPrEx>
          <w:tblLayout w:type="fixed"/>
          <w:tblCellMar>
            <w:top w:w="15" w:type="dxa"/>
            <w:left w:w="15" w:type="dxa"/>
            <w:bottom w:w="15" w:type="dxa"/>
            <w:right w:w="15" w:type="dxa"/>
          </w:tblCellMar>
        </w:tblPrEx>
        <w:trPr>
          <w:gridAfter w:val="1"/>
          <w:wAfter w:w="55" w:type="dxa"/>
          <w:trHeight w:val="497" w:hRule="exact"/>
          <w:jc w:val="center"/>
        </w:trPr>
        <w:tc>
          <w:tcPr>
            <w:tcW w:w="157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819"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平均完成一次纳税所需时间（小时）</w:t>
            </w:r>
          </w:p>
        </w:tc>
        <w:tc>
          <w:tcPr>
            <w:tcW w:w="987"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color w:val="000000"/>
                <w:kern w:val="0"/>
                <w:sz w:val="20"/>
                <w:szCs w:val="20"/>
              </w:rPr>
              <w:t>0.5</w:t>
            </w:r>
          </w:p>
        </w:tc>
        <w:tc>
          <w:tcPr>
            <w:tcW w:w="1208"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0.5</w:t>
            </w:r>
          </w:p>
        </w:tc>
        <w:tc>
          <w:tcPr>
            <w:tcW w:w="1137" w:type="dxa"/>
            <w:gridSpan w:val="2"/>
            <w:vMerge w:val="restart"/>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0.5</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上海</w:t>
            </w:r>
          </w:p>
        </w:tc>
        <w:tc>
          <w:tcPr>
            <w:tcW w:w="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江苏</w:t>
            </w:r>
          </w:p>
        </w:tc>
        <w:tc>
          <w:tcPr>
            <w:tcW w:w="8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大连</w:t>
            </w:r>
          </w:p>
        </w:tc>
        <w:tc>
          <w:tcPr>
            <w:tcW w:w="1118" w:type="dxa"/>
            <w:gridSpan w:val="4"/>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0.4</w:t>
            </w:r>
          </w:p>
        </w:tc>
        <w:tc>
          <w:tcPr>
            <w:tcW w:w="1167"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0.35</w:t>
            </w:r>
          </w:p>
        </w:tc>
        <w:tc>
          <w:tcPr>
            <w:tcW w:w="1319"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0.3</w:t>
            </w:r>
          </w:p>
        </w:tc>
        <w:tc>
          <w:tcPr>
            <w:tcW w:w="136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gridAfter w:val="1"/>
          <w:wAfter w:w="55" w:type="dxa"/>
          <w:trHeight w:val="404" w:hRule="exact"/>
          <w:jc w:val="center"/>
        </w:trPr>
        <w:tc>
          <w:tcPr>
            <w:tcW w:w="157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819"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987"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Cs/>
                <w:color w:val="000000"/>
                <w:kern w:val="0"/>
                <w:sz w:val="20"/>
                <w:szCs w:val="20"/>
              </w:rPr>
            </w:pPr>
          </w:p>
        </w:tc>
        <w:tc>
          <w:tcPr>
            <w:tcW w:w="1208" w:type="dxa"/>
            <w:gridSpan w:val="3"/>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c>
          <w:tcPr>
            <w:tcW w:w="1137" w:type="dxa"/>
            <w:gridSpan w:val="2"/>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0.35</w:t>
            </w:r>
          </w:p>
        </w:tc>
        <w:tc>
          <w:tcPr>
            <w:tcW w:w="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0.4</w:t>
            </w:r>
          </w:p>
        </w:tc>
        <w:tc>
          <w:tcPr>
            <w:tcW w:w="8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0.4</w:t>
            </w:r>
          </w:p>
        </w:tc>
        <w:tc>
          <w:tcPr>
            <w:tcW w:w="1118" w:type="dxa"/>
            <w:gridSpan w:val="4"/>
            <w:vMerge w:val="continue"/>
            <w:tcBorders>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c>
          <w:tcPr>
            <w:tcW w:w="1167"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c>
          <w:tcPr>
            <w:tcW w:w="1319"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c>
          <w:tcPr>
            <w:tcW w:w="136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gridAfter w:val="1"/>
          <w:wAfter w:w="55" w:type="dxa"/>
          <w:trHeight w:val="381" w:hRule="exact"/>
          <w:jc w:val="center"/>
        </w:trPr>
        <w:tc>
          <w:tcPr>
            <w:tcW w:w="157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819"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企业类纳税人网报开通率</w:t>
            </w:r>
          </w:p>
        </w:tc>
        <w:tc>
          <w:tcPr>
            <w:tcW w:w="987"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color w:val="000000"/>
                <w:kern w:val="0"/>
                <w:sz w:val="20"/>
                <w:szCs w:val="20"/>
              </w:rPr>
              <w:t>96.05%</w:t>
            </w:r>
          </w:p>
        </w:tc>
        <w:tc>
          <w:tcPr>
            <w:tcW w:w="1208"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96.03%</w:t>
            </w:r>
          </w:p>
        </w:tc>
        <w:tc>
          <w:tcPr>
            <w:tcW w:w="1137" w:type="dxa"/>
            <w:gridSpan w:val="2"/>
            <w:vMerge w:val="restart"/>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97%</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上海</w:t>
            </w:r>
          </w:p>
        </w:tc>
        <w:tc>
          <w:tcPr>
            <w:tcW w:w="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江苏</w:t>
            </w:r>
          </w:p>
        </w:tc>
        <w:tc>
          <w:tcPr>
            <w:tcW w:w="8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广东</w:t>
            </w:r>
          </w:p>
        </w:tc>
        <w:tc>
          <w:tcPr>
            <w:tcW w:w="1118" w:type="dxa"/>
            <w:gridSpan w:val="4"/>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97%</w:t>
            </w:r>
          </w:p>
        </w:tc>
        <w:tc>
          <w:tcPr>
            <w:tcW w:w="1167"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98%</w:t>
            </w:r>
          </w:p>
        </w:tc>
        <w:tc>
          <w:tcPr>
            <w:tcW w:w="1319" w:type="dxa"/>
            <w:gridSpan w:val="4"/>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99%</w:t>
            </w:r>
          </w:p>
        </w:tc>
        <w:tc>
          <w:tcPr>
            <w:tcW w:w="136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gridAfter w:val="1"/>
          <w:wAfter w:w="55" w:type="dxa"/>
          <w:trHeight w:val="461" w:hRule="exact"/>
          <w:jc w:val="center"/>
        </w:trPr>
        <w:tc>
          <w:tcPr>
            <w:tcW w:w="157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819"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987"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Cs/>
                <w:color w:val="000000"/>
                <w:kern w:val="0"/>
                <w:sz w:val="20"/>
                <w:szCs w:val="20"/>
              </w:rPr>
            </w:pPr>
          </w:p>
        </w:tc>
        <w:tc>
          <w:tcPr>
            <w:tcW w:w="1208" w:type="dxa"/>
            <w:gridSpan w:val="3"/>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c>
          <w:tcPr>
            <w:tcW w:w="1137" w:type="dxa"/>
            <w:gridSpan w:val="2"/>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98%</w:t>
            </w:r>
          </w:p>
        </w:tc>
        <w:tc>
          <w:tcPr>
            <w:tcW w:w="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97%</w:t>
            </w:r>
          </w:p>
        </w:tc>
        <w:tc>
          <w:tcPr>
            <w:tcW w:w="8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97%</w:t>
            </w:r>
          </w:p>
        </w:tc>
        <w:tc>
          <w:tcPr>
            <w:tcW w:w="1118" w:type="dxa"/>
            <w:gridSpan w:val="4"/>
            <w:vMerge w:val="continue"/>
            <w:tcBorders>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c>
          <w:tcPr>
            <w:tcW w:w="1167"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c>
          <w:tcPr>
            <w:tcW w:w="1319" w:type="dxa"/>
            <w:gridSpan w:val="4"/>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tc>
        <w:tc>
          <w:tcPr>
            <w:tcW w:w="136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gridAfter w:val="1"/>
          <w:wAfter w:w="55" w:type="dxa"/>
          <w:trHeight w:val="1241" w:hRule="exact"/>
          <w:jc w:val="center"/>
        </w:trPr>
        <w:tc>
          <w:tcPr>
            <w:tcW w:w="157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819"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压缩出口退（免）税办理天数（工作日）</w:t>
            </w:r>
          </w:p>
        </w:tc>
        <w:tc>
          <w:tcPr>
            <w:tcW w:w="987"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color w:val="000000"/>
                <w:kern w:val="0"/>
                <w:sz w:val="20"/>
                <w:szCs w:val="20"/>
              </w:rPr>
              <w:t>10.4</w:t>
            </w:r>
          </w:p>
        </w:tc>
        <w:tc>
          <w:tcPr>
            <w:tcW w:w="1208"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10.4</w:t>
            </w:r>
          </w:p>
        </w:tc>
        <w:tc>
          <w:tcPr>
            <w:tcW w:w="1137" w:type="dxa"/>
            <w:gridSpan w:val="2"/>
            <w:vMerge w:val="restart"/>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13</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浙江</w:t>
            </w:r>
          </w:p>
        </w:tc>
        <w:tc>
          <w:tcPr>
            <w:tcW w:w="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Cs/>
                <w:color w:val="000000"/>
                <w:kern w:val="0"/>
                <w:sz w:val="20"/>
                <w:szCs w:val="20"/>
              </w:rPr>
              <w:t>江苏</w:t>
            </w:r>
          </w:p>
        </w:tc>
        <w:tc>
          <w:tcPr>
            <w:tcW w:w="8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Cs/>
                <w:color w:val="000000"/>
                <w:kern w:val="0"/>
                <w:sz w:val="20"/>
                <w:szCs w:val="20"/>
              </w:rPr>
              <w:t>广东</w:t>
            </w:r>
          </w:p>
        </w:tc>
        <w:tc>
          <w:tcPr>
            <w:tcW w:w="3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一</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类</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企</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业</w:t>
            </w:r>
          </w:p>
        </w:tc>
        <w:tc>
          <w:tcPr>
            <w:tcW w:w="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二</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类</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企</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业</w:t>
            </w:r>
          </w:p>
        </w:tc>
        <w:tc>
          <w:tcPr>
            <w:tcW w:w="3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三</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类</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企</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业</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一</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类</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企</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业</w:t>
            </w:r>
          </w:p>
        </w:tc>
        <w:tc>
          <w:tcPr>
            <w:tcW w:w="3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二</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类</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企</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业</w:t>
            </w:r>
          </w:p>
        </w:tc>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三</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类</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企</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业</w:t>
            </w:r>
          </w:p>
        </w:tc>
        <w:tc>
          <w:tcPr>
            <w:tcW w:w="4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一</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类</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企</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业</w:t>
            </w:r>
          </w:p>
        </w:tc>
        <w:tc>
          <w:tcPr>
            <w:tcW w:w="4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二</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类</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企</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业</w:t>
            </w:r>
          </w:p>
        </w:tc>
        <w:tc>
          <w:tcPr>
            <w:tcW w:w="50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三</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类</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企</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业</w:t>
            </w:r>
          </w:p>
        </w:tc>
        <w:tc>
          <w:tcPr>
            <w:tcW w:w="136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gridAfter w:val="1"/>
          <w:wAfter w:w="55" w:type="dxa"/>
          <w:trHeight w:val="406" w:hRule="exact"/>
          <w:jc w:val="center"/>
        </w:trPr>
        <w:tc>
          <w:tcPr>
            <w:tcW w:w="157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p>
        </w:tc>
        <w:tc>
          <w:tcPr>
            <w:tcW w:w="1819"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p>
        </w:tc>
        <w:tc>
          <w:tcPr>
            <w:tcW w:w="987"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Cs/>
                <w:color w:val="000000"/>
                <w:kern w:val="0"/>
                <w:sz w:val="20"/>
                <w:szCs w:val="20"/>
              </w:rPr>
            </w:pPr>
          </w:p>
        </w:tc>
        <w:tc>
          <w:tcPr>
            <w:tcW w:w="1208"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p>
        </w:tc>
        <w:tc>
          <w:tcPr>
            <w:tcW w:w="1137" w:type="dxa"/>
            <w:gridSpan w:val="2"/>
            <w:vMerge w:val="continue"/>
            <w:tcBorders>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7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8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3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3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3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11</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3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4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4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4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8</w:t>
            </w:r>
          </w:p>
        </w:tc>
        <w:tc>
          <w:tcPr>
            <w:tcW w:w="1368"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0"/>
                <w:szCs w:val="20"/>
              </w:rPr>
            </w:pPr>
          </w:p>
        </w:tc>
      </w:tr>
      <w:tr>
        <w:tblPrEx>
          <w:tblLayout w:type="fixed"/>
          <w:tblCellMar>
            <w:top w:w="15" w:type="dxa"/>
            <w:left w:w="15" w:type="dxa"/>
            <w:bottom w:w="15" w:type="dxa"/>
            <w:right w:w="15" w:type="dxa"/>
          </w:tblCellMar>
        </w:tblPrEx>
        <w:trPr>
          <w:gridBefore w:val="1"/>
          <w:wBefore w:w="431" w:type="dxa"/>
          <w:trHeight w:val="600" w:hRule="atLeast"/>
          <w:jc w:val="center"/>
        </w:trPr>
        <w:tc>
          <w:tcPr>
            <w:tcW w:w="13703" w:type="dxa"/>
            <w:gridSpan w:val="34"/>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outlineLvl w:val="9"/>
              <w:rPr>
                <w:rFonts w:hint="eastAsia" w:ascii="方正小标宋简体" w:eastAsia="方正小标宋简体" w:cs="宋体"/>
                <w:kern w:val="0"/>
                <w:sz w:val="36"/>
                <w:szCs w:val="36"/>
              </w:rPr>
            </w:pPr>
            <w:r>
              <w:rPr>
                <w:rFonts w:hint="eastAsia" w:ascii="黑体" w:hAnsi="黑体" w:eastAsia="黑体" w:cs="黑体"/>
                <w:sz w:val="32"/>
                <w:szCs w:val="32"/>
                <w:lang w:eastAsia="zh-CN"/>
              </w:rPr>
              <w:t>附件7</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center"/>
              <w:outlineLvl w:val="9"/>
              <w:rPr>
                <w:rFonts w:hAnsi="黑体"/>
                <w:bCs/>
                <w:color w:val="000000"/>
                <w:kern w:val="0"/>
                <w:sz w:val="20"/>
                <w:szCs w:val="20"/>
              </w:rPr>
            </w:pPr>
            <w:r>
              <w:rPr>
                <w:rFonts w:hint="eastAsia" w:ascii="方正小标宋简体" w:eastAsia="方正小标宋简体" w:cs="宋体"/>
                <w:kern w:val="0"/>
                <w:sz w:val="44"/>
                <w:szCs w:val="44"/>
                <w:lang w:eastAsia="zh-CN"/>
              </w:rPr>
              <w:t>太白县</w:t>
            </w:r>
            <w:r>
              <w:rPr>
                <w:rFonts w:hint="eastAsia" w:ascii="方正小标宋简体" w:eastAsia="方正小标宋简体" w:cs="宋体"/>
                <w:kern w:val="0"/>
                <w:sz w:val="44"/>
                <w:szCs w:val="44"/>
              </w:rPr>
              <w:t>提升企业跨境贸易便利化工作三年行动计划任务分解表</w:t>
            </w:r>
          </w:p>
        </w:tc>
      </w:tr>
      <w:tr>
        <w:tblPrEx>
          <w:tblLayout w:type="fixed"/>
          <w:tblCellMar>
            <w:top w:w="15" w:type="dxa"/>
            <w:left w:w="15" w:type="dxa"/>
            <w:bottom w:w="15" w:type="dxa"/>
            <w:right w:w="15" w:type="dxa"/>
          </w:tblCellMar>
        </w:tblPrEx>
        <w:trPr>
          <w:gridBefore w:val="1"/>
          <w:wBefore w:w="431" w:type="dxa"/>
          <w:trHeight w:val="477"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项目</w:t>
            </w:r>
          </w:p>
        </w:tc>
        <w:tc>
          <w:tcPr>
            <w:tcW w:w="1930"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具体指标</w:t>
            </w:r>
          </w:p>
        </w:tc>
        <w:tc>
          <w:tcPr>
            <w:tcW w:w="8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lang w:eastAsia="zh-CN"/>
              </w:rPr>
              <w:t>陕西</w:t>
            </w:r>
            <w:r>
              <w:rPr>
                <w:rFonts w:hint="eastAsia" w:ascii="黑体" w:hAnsi="黑体" w:eastAsia="黑体" w:cs="黑体"/>
                <w:b w:val="0"/>
                <w:bCs/>
                <w:sz w:val="20"/>
                <w:szCs w:val="20"/>
              </w:rPr>
              <w:t>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862"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全国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平均水平</w:t>
            </w:r>
          </w:p>
        </w:tc>
        <w:tc>
          <w:tcPr>
            <w:tcW w:w="219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国内先进地区标准</w:t>
            </w:r>
          </w:p>
        </w:tc>
        <w:tc>
          <w:tcPr>
            <w:tcW w:w="284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陕西省三年行动计划</w:t>
            </w:r>
          </w:p>
        </w:tc>
        <w:tc>
          <w:tcPr>
            <w:tcW w:w="288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宝鸡市三年行动计划</w:t>
            </w: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黑体" w:hAnsi="黑体" w:eastAsia="黑体" w:cs="黑体"/>
                <w:b w:val="0"/>
                <w:bCs/>
                <w:sz w:val="20"/>
                <w:szCs w:val="20"/>
              </w:rPr>
              <w:t>责任单位</w:t>
            </w:r>
          </w:p>
        </w:tc>
      </w:tr>
      <w:tr>
        <w:tblPrEx>
          <w:tblLayout w:type="fixed"/>
          <w:tblCellMar>
            <w:top w:w="15" w:type="dxa"/>
            <w:left w:w="15" w:type="dxa"/>
            <w:bottom w:w="15" w:type="dxa"/>
            <w:right w:w="15" w:type="dxa"/>
          </w:tblCellMar>
        </w:tblPrEx>
        <w:trPr>
          <w:gridBefore w:val="1"/>
          <w:wBefore w:w="431" w:type="dxa"/>
          <w:trHeight w:val="445"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color w:val="000000"/>
                <w:sz w:val="20"/>
                <w:szCs w:val="20"/>
              </w:rPr>
            </w:pPr>
          </w:p>
        </w:tc>
        <w:tc>
          <w:tcPr>
            <w:tcW w:w="1930"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color w:val="000000"/>
                <w:kern w:val="0"/>
                <w:sz w:val="20"/>
                <w:szCs w:val="20"/>
              </w:rPr>
            </w:pPr>
          </w:p>
        </w:tc>
        <w:tc>
          <w:tcPr>
            <w:tcW w:w="861"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color w:val="000000"/>
                <w:sz w:val="20"/>
                <w:szCs w:val="20"/>
              </w:rPr>
            </w:pPr>
          </w:p>
        </w:tc>
        <w:tc>
          <w:tcPr>
            <w:tcW w:w="862"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黑体" w:hAnsi="黑体" w:eastAsia="黑体" w:cs="黑体"/>
                <w:b/>
                <w:color w:val="000000"/>
                <w:sz w:val="20"/>
                <w:szCs w:val="20"/>
              </w:rPr>
            </w:pP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北京</w:t>
            </w:r>
          </w:p>
        </w:tc>
        <w:tc>
          <w:tcPr>
            <w:tcW w:w="7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上海</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广州</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2018年</w:t>
            </w:r>
          </w:p>
        </w:tc>
        <w:tc>
          <w:tcPr>
            <w:tcW w:w="9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2019年</w:t>
            </w:r>
          </w:p>
        </w:tc>
        <w:tc>
          <w:tcPr>
            <w:tcW w:w="1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2020年</w:t>
            </w:r>
          </w:p>
        </w:tc>
        <w:tc>
          <w:tcPr>
            <w:tcW w:w="9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2018年</w:t>
            </w:r>
          </w:p>
        </w:tc>
        <w:tc>
          <w:tcPr>
            <w:tcW w:w="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2019年</w:t>
            </w:r>
          </w:p>
        </w:tc>
        <w:tc>
          <w:tcPr>
            <w:tcW w:w="9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0"/>
                <w:szCs w:val="20"/>
              </w:rPr>
            </w:pPr>
            <w:r>
              <w:rPr>
                <w:rFonts w:hint="eastAsia" w:ascii="黑体" w:hAnsi="黑体" w:eastAsia="黑体" w:cs="黑体"/>
                <w:b w:val="0"/>
                <w:bCs/>
                <w:sz w:val="20"/>
                <w:szCs w:val="20"/>
              </w:rPr>
              <w:t>2020年</w:t>
            </w:r>
          </w:p>
        </w:tc>
        <w:tc>
          <w:tcPr>
            <w:tcW w:w="1403"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牵头单位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县交通</w:t>
            </w:r>
            <w:r>
              <w:rPr>
                <w:rFonts w:hint="eastAsia" w:ascii="仿宋_GB2312" w:hAnsi="仿宋_GB2312" w:cs="仿宋_GB2312"/>
                <w:color w:val="000000"/>
                <w:kern w:val="0"/>
                <w:sz w:val="20"/>
                <w:szCs w:val="20"/>
                <w:lang w:eastAsia="zh-CN"/>
              </w:rPr>
              <w:t>运输</w:t>
            </w:r>
            <w:r>
              <w:rPr>
                <w:rFonts w:hint="eastAsia" w:ascii="仿宋_GB2312" w:hAnsi="仿宋_GB2312" w:eastAsia="仿宋_GB2312" w:cs="仿宋_GB2312"/>
                <w:color w:val="000000"/>
                <w:kern w:val="0"/>
                <w:sz w:val="20"/>
                <w:szCs w:val="20"/>
                <w:lang w:eastAsia="zh-CN"/>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成员单位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发改</w:t>
            </w:r>
            <w:r>
              <w:rPr>
                <w:rFonts w:hint="eastAsia" w:ascii="仿宋_GB2312" w:hAnsi="仿宋_GB2312" w:eastAsia="仿宋_GB2312" w:cs="仿宋_GB2312"/>
                <w:color w:val="000000"/>
                <w:kern w:val="0"/>
                <w:sz w:val="20"/>
                <w:szCs w:val="20"/>
                <w:lang w:eastAsia="zh-CN"/>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税务局</w:t>
            </w:r>
          </w:p>
        </w:tc>
      </w:tr>
      <w:tr>
        <w:tblPrEx>
          <w:tblLayout w:type="fixed"/>
          <w:tblCellMar>
            <w:top w:w="15" w:type="dxa"/>
            <w:left w:w="15" w:type="dxa"/>
            <w:bottom w:w="15" w:type="dxa"/>
            <w:right w:w="15" w:type="dxa"/>
          </w:tblCellMar>
        </w:tblPrEx>
        <w:trPr>
          <w:gridBefore w:val="1"/>
          <w:wBefore w:w="431" w:type="dxa"/>
          <w:trHeight w:val="729"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提升</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企业</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跨境</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贸易</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和投</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资便</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利化</w:t>
            </w:r>
          </w:p>
        </w:tc>
        <w:tc>
          <w:tcPr>
            <w:tcW w:w="52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进</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出</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口</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通</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关</w:t>
            </w: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海关通关放行</w:t>
            </w:r>
          </w:p>
        </w:tc>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进口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（小时）</w:t>
            </w: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12.61</w:t>
            </w: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15.87</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21.2</w:t>
            </w:r>
          </w:p>
        </w:tc>
        <w:tc>
          <w:tcPr>
            <w:tcW w:w="7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18.8</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12.7</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8.4</w:t>
            </w:r>
          </w:p>
        </w:tc>
        <w:tc>
          <w:tcPr>
            <w:tcW w:w="9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9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8.4</w:t>
            </w:r>
          </w:p>
        </w:tc>
        <w:tc>
          <w:tcPr>
            <w:tcW w:w="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9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403"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gridBefore w:val="1"/>
          <w:wBefore w:w="431" w:type="dxa"/>
          <w:trHeight w:val="645"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出口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（小时）</w:t>
            </w: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0.67</w:t>
            </w: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1.11</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1.3</w:t>
            </w:r>
          </w:p>
        </w:tc>
        <w:tc>
          <w:tcPr>
            <w:tcW w:w="7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1.3</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0.7</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0.45</w:t>
            </w:r>
          </w:p>
        </w:tc>
        <w:tc>
          <w:tcPr>
            <w:tcW w:w="9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9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0.45</w:t>
            </w:r>
          </w:p>
        </w:tc>
        <w:tc>
          <w:tcPr>
            <w:tcW w:w="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9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1403"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gridBefore w:val="1"/>
          <w:wBefore w:w="431" w:type="dxa"/>
          <w:trHeight w:val="645"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6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检验检疫通关</w:t>
            </w:r>
          </w:p>
        </w:tc>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进口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（小时）</w:t>
            </w: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5.76</w:t>
            </w: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9.36</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9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3.5</w:t>
            </w:r>
          </w:p>
        </w:tc>
        <w:tc>
          <w:tcPr>
            <w:tcW w:w="1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9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9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403"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gridBefore w:val="1"/>
          <w:wBefore w:w="431" w:type="dxa"/>
          <w:trHeight w:val="444"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6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p>
        </w:tc>
        <w:tc>
          <w:tcPr>
            <w:tcW w:w="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出口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（小时）</w:t>
            </w: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41.76</w:t>
            </w: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21.12</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7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27</w:t>
            </w:r>
          </w:p>
        </w:tc>
        <w:tc>
          <w:tcPr>
            <w:tcW w:w="9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24</w:t>
            </w:r>
          </w:p>
        </w:tc>
        <w:tc>
          <w:tcPr>
            <w:tcW w:w="1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21</w:t>
            </w:r>
          </w:p>
        </w:tc>
        <w:tc>
          <w:tcPr>
            <w:tcW w:w="9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24</w:t>
            </w:r>
          </w:p>
        </w:tc>
        <w:tc>
          <w:tcPr>
            <w:tcW w:w="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21</w:t>
            </w:r>
          </w:p>
        </w:tc>
        <w:tc>
          <w:tcPr>
            <w:tcW w:w="9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18</w:t>
            </w:r>
          </w:p>
        </w:tc>
        <w:tc>
          <w:tcPr>
            <w:tcW w:w="1403"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gridBefore w:val="1"/>
          <w:wBefore w:w="431" w:type="dxa"/>
          <w:trHeight w:val="523"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52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单</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证</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办</w:t>
            </w:r>
            <w:r>
              <w:rPr>
                <w:rFonts w:hint="eastAsia" w:ascii="仿宋_GB2312" w:hAnsi="仿宋_GB2312" w:eastAsia="仿宋_GB2312" w:cs="仿宋_GB2312"/>
                <w:b w:val="0"/>
                <w:bCs/>
                <w:sz w:val="20"/>
                <w:szCs w:val="20"/>
              </w:rPr>
              <w:br w:type="textWrapping"/>
            </w:r>
            <w:r>
              <w:rPr>
                <w:rFonts w:hint="eastAsia" w:ascii="仿宋_GB2312" w:hAnsi="仿宋_GB2312" w:eastAsia="仿宋_GB2312" w:cs="仿宋_GB2312"/>
                <w:b w:val="0"/>
                <w:bCs/>
                <w:sz w:val="20"/>
                <w:szCs w:val="20"/>
              </w:rPr>
              <w:t>理</w:t>
            </w: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对外贸易经营者备案（天）</w:t>
            </w: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7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1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1403"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gridBefore w:val="1"/>
          <w:wBefore w:w="431" w:type="dxa"/>
          <w:trHeight w:val="489"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国际货运代理企业备案（天）</w:t>
            </w: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7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1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1403"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gridBefore w:val="1"/>
          <w:wBefore w:w="431" w:type="dxa"/>
          <w:trHeight w:val="457"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进出口许可证（天）</w:t>
            </w: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7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1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9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当场办结</w:t>
            </w:r>
          </w:p>
        </w:tc>
        <w:tc>
          <w:tcPr>
            <w:tcW w:w="1403"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gridBefore w:val="1"/>
          <w:wBefore w:w="431" w:type="dxa"/>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0"/>
                <w:szCs w:val="20"/>
              </w:rPr>
            </w:pPr>
          </w:p>
        </w:tc>
        <w:tc>
          <w:tcPr>
            <w:tcW w:w="14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20"/>
                <w:szCs w:val="20"/>
              </w:rPr>
              <w:t>原产地证申领人备案（小时）</w:t>
            </w:r>
          </w:p>
        </w:tc>
        <w:tc>
          <w:tcPr>
            <w:tcW w:w="8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8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16</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7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8</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9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10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9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4</w:t>
            </w:r>
          </w:p>
        </w:tc>
        <w:tc>
          <w:tcPr>
            <w:tcW w:w="9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3</w:t>
            </w:r>
          </w:p>
        </w:tc>
        <w:tc>
          <w:tcPr>
            <w:tcW w:w="9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2</w:t>
            </w:r>
          </w:p>
        </w:tc>
        <w:tc>
          <w:tcPr>
            <w:tcW w:w="1403"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0"/>
                <w:szCs w:val="20"/>
              </w:rPr>
            </w:pPr>
          </w:p>
        </w:tc>
      </w:tr>
    </w:tbl>
    <w:p>
      <w:pPr>
        <w:keepNext w:val="0"/>
        <w:keepLines w:val="0"/>
        <w:pageBreakBefore w:val="0"/>
        <w:widowControl w:val="0"/>
        <w:kinsoku/>
        <w:wordWrap/>
        <w:topLinePunct w:val="0"/>
        <w:autoSpaceDE/>
        <w:autoSpaceDN/>
        <w:bidi w:val="0"/>
        <w:adjustRightInd/>
        <w:snapToGrid/>
        <w:spacing w:line="54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keepNext w:val="0"/>
        <w:keepLines w:val="0"/>
        <w:pageBreakBefore w:val="0"/>
        <w:widowControl w:val="0"/>
        <w:kinsoku/>
        <w:wordWrap/>
        <w:topLinePunct w:val="0"/>
        <w:autoSpaceDE/>
        <w:autoSpaceDN/>
        <w:bidi w:val="0"/>
        <w:adjustRightInd/>
        <w:snapToGrid/>
        <w:spacing w:line="54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lang w:eastAsia="zh-CN"/>
        </w:rPr>
        <w:t>太白县</w:t>
      </w:r>
      <w:r>
        <w:rPr>
          <w:rFonts w:hint="eastAsia" w:ascii="方正小标宋简体" w:eastAsia="方正小标宋简体" w:cs="宋体"/>
          <w:kern w:val="0"/>
          <w:sz w:val="44"/>
          <w:szCs w:val="44"/>
        </w:rPr>
        <w:t>降低企业运行成本工作三年行动计划任务分解表</w:t>
      </w:r>
    </w:p>
    <w:tbl>
      <w:tblPr>
        <w:tblStyle w:val="8"/>
        <w:tblW w:w="13363" w:type="dxa"/>
        <w:jc w:val="center"/>
        <w:tblInd w:w="0" w:type="dxa"/>
        <w:tblLayout w:type="fixed"/>
        <w:tblCellMar>
          <w:top w:w="15" w:type="dxa"/>
          <w:left w:w="15" w:type="dxa"/>
          <w:bottom w:w="15" w:type="dxa"/>
          <w:right w:w="15" w:type="dxa"/>
        </w:tblCellMar>
      </w:tblPr>
      <w:tblGrid>
        <w:gridCol w:w="654"/>
        <w:gridCol w:w="2034"/>
        <w:gridCol w:w="972"/>
        <w:gridCol w:w="958"/>
        <w:gridCol w:w="920"/>
        <w:gridCol w:w="705"/>
        <w:gridCol w:w="870"/>
        <w:gridCol w:w="810"/>
        <w:gridCol w:w="898"/>
        <w:gridCol w:w="930"/>
        <w:gridCol w:w="1042"/>
        <w:gridCol w:w="930"/>
        <w:gridCol w:w="1640"/>
      </w:tblGrid>
      <w:tr>
        <w:tblPrEx>
          <w:tblLayout w:type="fixed"/>
          <w:tblCellMar>
            <w:top w:w="15" w:type="dxa"/>
            <w:left w:w="15" w:type="dxa"/>
            <w:bottom w:w="15" w:type="dxa"/>
            <w:right w:w="15" w:type="dxa"/>
          </w:tblCellMar>
        </w:tblPrEx>
        <w:trPr>
          <w:trHeight w:val="392"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项目</w:t>
            </w:r>
          </w:p>
        </w:tc>
        <w:tc>
          <w:tcPr>
            <w:tcW w:w="20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具体指标</w:t>
            </w:r>
          </w:p>
        </w:tc>
        <w:tc>
          <w:tcPr>
            <w:tcW w:w="972"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2017年</w:t>
            </w:r>
            <w:r>
              <w:rPr>
                <w:rFonts w:hint="eastAsia" w:ascii="黑体" w:hAnsi="黑体" w:eastAsia="黑体" w:cs="黑体"/>
                <w:b w:val="0"/>
                <w:bCs/>
                <w:sz w:val="22"/>
                <w:szCs w:val="22"/>
                <w:lang w:eastAsia="zh-CN"/>
              </w:rPr>
              <w:t>宝鸡</w:t>
            </w:r>
            <w:r>
              <w:rPr>
                <w:rFonts w:hint="eastAsia" w:ascii="黑体" w:hAnsi="黑体" w:eastAsia="黑体" w:cs="黑体"/>
                <w:b w:val="0"/>
                <w:bCs/>
                <w:sz w:val="22"/>
                <w:szCs w:val="22"/>
              </w:rPr>
              <w:t>市降成本情况</w:t>
            </w:r>
          </w:p>
        </w:tc>
        <w:tc>
          <w:tcPr>
            <w:tcW w:w="9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2017年</w:t>
            </w:r>
            <w:r>
              <w:rPr>
                <w:rFonts w:hint="eastAsia" w:ascii="黑体" w:hAnsi="黑体" w:eastAsia="黑体" w:cs="黑体"/>
                <w:b w:val="0"/>
                <w:bCs/>
                <w:sz w:val="22"/>
                <w:szCs w:val="22"/>
                <w:lang w:eastAsia="zh-CN"/>
              </w:rPr>
              <w:t>陕西</w:t>
            </w:r>
            <w:r>
              <w:rPr>
                <w:rFonts w:hint="eastAsia" w:ascii="黑体" w:hAnsi="黑体" w:eastAsia="黑体" w:cs="黑体"/>
                <w:b w:val="0"/>
                <w:bCs/>
                <w:sz w:val="22"/>
                <w:szCs w:val="22"/>
              </w:rPr>
              <w:t>省降成本情况</w:t>
            </w:r>
          </w:p>
        </w:tc>
        <w:tc>
          <w:tcPr>
            <w:tcW w:w="9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全国平均水平</w:t>
            </w:r>
          </w:p>
        </w:tc>
        <w:tc>
          <w:tcPr>
            <w:tcW w:w="328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部分省市有关情况</w:t>
            </w:r>
          </w:p>
        </w:tc>
        <w:tc>
          <w:tcPr>
            <w:tcW w:w="290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三年行动计划</w:t>
            </w:r>
          </w:p>
        </w:tc>
        <w:tc>
          <w:tcPr>
            <w:tcW w:w="16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责任单位</w:t>
            </w:r>
          </w:p>
        </w:tc>
      </w:tr>
      <w:tr>
        <w:tblPrEx>
          <w:tblLayout w:type="fixed"/>
          <w:tblCellMar>
            <w:top w:w="15" w:type="dxa"/>
            <w:left w:w="15" w:type="dxa"/>
            <w:bottom w:w="15" w:type="dxa"/>
            <w:right w:w="15" w:type="dxa"/>
          </w:tblCellMar>
        </w:tblPrEx>
        <w:trPr>
          <w:trHeight w:val="40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Ansi="方正黑体" w:cs="方正黑体"/>
                <w:b/>
                <w:bCs/>
                <w:color w:val="000000"/>
                <w:sz w:val="22"/>
                <w:szCs w:val="22"/>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Ansi="方正黑体" w:cs="方正黑体"/>
                <w:b/>
                <w:bCs/>
                <w:color w:val="000000"/>
                <w:sz w:val="22"/>
                <w:szCs w:val="22"/>
              </w:rPr>
            </w:pPr>
          </w:p>
        </w:tc>
        <w:tc>
          <w:tcPr>
            <w:tcW w:w="972"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Ansi="方正黑体" w:cs="方正黑体"/>
                <w:b/>
                <w:bCs/>
                <w:color w:val="000000"/>
                <w:sz w:val="22"/>
                <w:szCs w:val="22"/>
              </w:rPr>
            </w:pPr>
          </w:p>
        </w:tc>
        <w:tc>
          <w:tcPr>
            <w:tcW w:w="9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Ansi="方正黑体" w:cs="方正黑体"/>
                <w:b/>
                <w:bCs/>
                <w:color w:val="000000"/>
                <w:sz w:val="22"/>
                <w:szCs w:val="22"/>
              </w:rPr>
            </w:pPr>
          </w:p>
        </w:tc>
        <w:tc>
          <w:tcPr>
            <w:tcW w:w="9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Ansi="方正黑体" w:cs="方正黑体"/>
                <w:b/>
                <w:bCs/>
                <w:color w:val="000000"/>
                <w:sz w:val="22"/>
                <w:szCs w:val="22"/>
              </w:rPr>
            </w:pP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江苏</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上海</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广东</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江西</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2018年</w:t>
            </w:r>
          </w:p>
        </w:tc>
        <w:tc>
          <w:tcPr>
            <w:tcW w:w="10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2019年</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val="0"/>
                <w:bCs/>
                <w:sz w:val="22"/>
                <w:szCs w:val="22"/>
              </w:rPr>
            </w:pPr>
            <w:r>
              <w:rPr>
                <w:rFonts w:hint="eastAsia" w:ascii="黑体" w:hAnsi="黑体" w:eastAsia="黑体" w:cs="黑体"/>
                <w:b w:val="0"/>
                <w:bCs/>
                <w:sz w:val="22"/>
                <w:szCs w:val="22"/>
              </w:rPr>
              <w:t>2020年</w:t>
            </w:r>
          </w:p>
        </w:tc>
        <w:tc>
          <w:tcPr>
            <w:tcW w:w="16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Ansi="方正书宋简体" w:cs="方正书宋简体"/>
                <w:b/>
                <w:color w:val="000000"/>
                <w:sz w:val="22"/>
                <w:szCs w:val="22"/>
              </w:rPr>
            </w:pPr>
          </w:p>
        </w:tc>
      </w:tr>
      <w:tr>
        <w:tblPrEx>
          <w:tblLayout w:type="fixed"/>
          <w:tblCellMar>
            <w:top w:w="15" w:type="dxa"/>
            <w:left w:w="15" w:type="dxa"/>
            <w:bottom w:w="15" w:type="dxa"/>
            <w:right w:w="15" w:type="dxa"/>
          </w:tblCellMar>
        </w:tblPrEx>
        <w:trPr>
          <w:trHeight w:val="81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降</w:t>
            </w:r>
            <w:r>
              <w:rPr>
                <w:rFonts w:hint="eastAsia" w:ascii="仿宋_GB2312" w:hAnsi="仿宋_GB2312" w:eastAsia="仿宋_GB2312" w:cs="仿宋_GB2312"/>
                <w:b w:val="0"/>
                <w:bCs/>
                <w:sz w:val="22"/>
                <w:szCs w:val="22"/>
              </w:rPr>
              <w:br w:type="textWrapping"/>
            </w:r>
            <w:r>
              <w:rPr>
                <w:rFonts w:hint="eastAsia" w:ascii="仿宋_GB2312" w:hAnsi="仿宋_GB2312" w:eastAsia="仿宋_GB2312" w:cs="仿宋_GB2312"/>
                <w:b w:val="0"/>
                <w:bCs/>
                <w:sz w:val="22"/>
                <w:szCs w:val="22"/>
              </w:rPr>
              <w:t>低</w:t>
            </w:r>
            <w:r>
              <w:rPr>
                <w:rFonts w:hint="eastAsia" w:ascii="仿宋_GB2312" w:hAnsi="仿宋_GB2312" w:eastAsia="仿宋_GB2312" w:cs="仿宋_GB2312"/>
                <w:b w:val="0"/>
                <w:bCs/>
                <w:sz w:val="22"/>
                <w:szCs w:val="22"/>
              </w:rPr>
              <w:br w:type="textWrapping"/>
            </w:r>
            <w:r>
              <w:rPr>
                <w:rFonts w:hint="eastAsia" w:ascii="仿宋_GB2312" w:hAnsi="仿宋_GB2312" w:eastAsia="仿宋_GB2312" w:cs="仿宋_GB2312"/>
                <w:b w:val="0"/>
                <w:bCs/>
                <w:sz w:val="22"/>
                <w:szCs w:val="22"/>
              </w:rPr>
              <w:t>企</w:t>
            </w:r>
            <w:r>
              <w:rPr>
                <w:rFonts w:hint="eastAsia" w:ascii="仿宋_GB2312" w:hAnsi="仿宋_GB2312" w:eastAsia="仿宋_GB2312" w:cs="仿宋_GB2312"/>
                <w:b w:val="0"/>
                <w:bCs/>
                <w:sz w:val="22"/>
                <w:szCs w:val="22"/>
              </w:rPr>
              <w:br w:type="textWrapping"/>
            </w:r>
            <w:r>
              <w:rPr>
                <w:rFonts w:hint="eastAsia" w:ascii="仿宋_GB2312" w:hAnsi="仿宋_GB2312" w:eastAsia="仿宋_GB2312" w:cs="仿宋_GB2312"/>
                <w:b w:val="0"/>
                <w:bCs/>
                <w:sz w:val="22"/>
                <w:szCs w:val="22"/>
              </w:rPr>
              <w:t>业</w:t>
            </w:r>
            <w:r>
              <w:rPr>
                <w:rFonts w:hint="eastAsia" w:ascii="仿宋_GB2312" w:hAnsi="仿宋_GB2312" w:eastAsia="仿宋_GB2312" w:cs="仿宋_GB2312"/>
                <w:b w:val="0"/>
                <w:bCs/>
                <w:sz w:val="22"/>
                <w:szCs w:val="22"/>
              </w:rPr>
              <w:br w:type="textWrapping"/>
            </w:r>
            <w:r>
              <w:rPr>
                <w:rFonts w:hint="eastAsia" w:ascii="仿宋_GB2312" w:hAnsi="仿宋_GB2312" w:eastAsia="仿宋_GB2312" w:cs="仿宋_GB2312"/>
                <w:b w:val="0"/>
                <w:bCs/>
                <w:sz w:val="22"/>
                <w:szCs w:val="22"/>
              </w:rPr>
              <w:t>运</w:t>
            </w:r>
            <w:r>
              <w:rPr>
                <w:rFonts w:hint="eastAsia" w:ascii="仿宋_GB2312" w:hAnsi="仿宋_GB2312" w:eastAsia="仿宋_GB2312" w:cs="仿宋_GB2312"/>
                <w:b w:val="0"/>
                <w:bCs/>
                <w:sz w:val="22"/>
                <w:szCs w:val="22"/>
              </w:rPr>
              <w:br w:type="textWrapping"/>
            </w:r>
            <w:r>
              <w:rPr>
                <w:rFonts w:hint="eastAsia" w:ascii="仿宋_GB2312" w:hAnsi="仿宋_GB2312" w:eastAsia="仿宋_GB2312" w:cs="仿宋_GB2312"/>
                <w:b w:val="0"/>
                <w:bCs/>
                <w:sz w:val="22"/>
                <w:szCs w:val="22"/>
              </w:rPr>
              <w:t>行</w:t>
            </w:r>
            <w:r>
              <w:rPr>
                <w:rFonts w:hint="eastAsia" w:ascii="仿宋_GB2312" w:hAnsi="仿宋_GB2312" w:eastAsia="仿宋_GB2312" w:cs="仿宋_GB2312"/>
                <w:b w:val="0"/>
                <w:bCs/>
                <w:sz w:val="22"/>
                <w:szCs w:val="22"/>
              </w:rPr>
              <w:br w:type="textWrapping"/>
            </w:r>
            <w:r>
              <w:rPr>
                <w:rFonts w:hint="eastAsia" w:ascii="仿宋_GB2312" w:hAnsi="仿宋_GB2312" w:eastAsia="仿宋_GB2312" w:cs="仿宋_GB2312"/>
                <w:b w:val="0"/>
                <w:bCs/>
                <w:sz w:val="22"/>
                <w:szCs w:val="22"/>
              </w:rPr>
              <w:t>成</w:t>
            </w:r>
            <w:r>
              <w:rPr>
                <w:rFonts w:hint="eastAsia" w:ascii="仿宋_GB2312" w:hAnsi="仿宋_GB2312" w:eastAsia="仿宋_GB2312" w:cs="仿宋_GB2312"/>
                <w:b w:val="0"/>
                <w:bCs/>
                <w:sz w:val="22"/>
                <w:szCs w:val="22"/>
              </w:rPr>
              <w:br w:type="textWrapping"/>
            </w:r>
            <w:r>
              <w:rPr>
                <w:rFonts w:hint="eastAsia" w:ascii="仿宋_GB2312" w:hAnsi="仿宋_GB2312" w:eastAsia="仿宋_GB2312" w:cs="仿宋_GB2312"/>
                <w:b w:val="0"/>
                <w:bCs/>
                <w:sz w:val="22"/>
                <w:szCs w:val="22"/>
              </w:rPr>
              <w:t>本</w:t>
            </w:r>
          </w:p>
        </w:tc>
        <w:tc>
          <w:tcPr>
            <w:tcW w:w="20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税费负担（亿元）</w:t>
            </w:r>
          </w:p>
        </w:tc>
        <w:tc>
          <w:tcPr>
            <w:tcW w:w="97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13.2</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277</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10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93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1640"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cs="宋体"/>
                <w:b/>
                <w:bCs/>
                <w:color w:val="000000"/>
                <w:kern w:val="0"/>
                <w:sz w:val="22"/>
                <w:szCs w:val="22"/>
              </w:rPr>
            </w:pPr>
            <w:r>
              <w:rPr>
                <w:rFonts w:hint="eastAsia" w:cs="宋体"/>
                <w:b/>
                <w:bCs/>
                <w:color w:val="000000"/>
                <w:kern w:val="0"/>
                <w:sz w:val="22"/>
                <w:szCs w:val="22"/>
              </w:rPr>
              <w:t>牵头单位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eastAsia="仿宋_GB2312" w:cs="宋体"/>
                <w:color w:val="000000"/>
                <w:kern w:val="0"/>
                <w:sz w:val="22"/>
                <w:szCs w:val="22"/>
                <w:lang w:eastAsia="zh-CN"/>
              </w:rPr>
            </w:pPr>
            <w:r>
              <w:rPr>
                <w:rFonts w:hint="eastAsia" w:cs="宋体"/>
                <w:color w:val="000000"/>
                <w:kern w:val="0"/>
                <w:sz w:val="22"/>
                <w:szCs w:val="22"/>
                <w:lang w:eastAsia="zh-CN"/>
              </w:rPr>
              <w:t>县</w:t>
            </w:r>
            <w:r>
              <w:rPr>
                <w:rFonts w:hint="eastAsia" w:cs="宋体"/>
                <w:color w:val="000000"/>
                <w:kern w:val="0"/>
                <w:sz w:val="22"/>
                <w:szCs w:val="22"/>
              </w:rPr>
              <w:t>发改</w:t>
            </w:r>
            <w:r>
              <w:rPr>
                <w:rFonts w:hint="eastAsia" w:cs="宋体"/>
                <w:color w:val="000000"/>
                <w:kern w:val="0"/>
                <w:sz w:val="22"/>
                <w:szCs w:val="22"/>
                <w:lang w:eastAsia="zh-CN"/>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cs="宋体"/>
                <w:b/>
                <w:bCs/>
                <w:color w:val="000000"/>
                <w:kern w:val="0"/>
                <w:sz w:val="22"/>
                <w:szCs w:val="22"/>
              </w:rPr>
            </w:pPr>
            <w:r>
              <w:rPr>
                <w:rFonts w:hint="eastAsia" w:cs="宋体"/>
                <w:b/>
                <w:bCs/>
                <w:color w:val="000000"/>
                <w:kern w:val="0"/>
                <w:sz w:val="22"/>
                <w:szCs w:val="22"/>
              </w:rPr>
              <w:t>成员单位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cs="宋体"/>
                <w:color w:val="000000"/>
                <w:kern w:val="0"/>
                <w:sz w:val="22"/>
                <w:szCs w:val="22"/>
              </w:rPr>
            </w:pPr>
            <w:r>
              <w:rPr>
                <w:rFonts w:hint="eastAsia" w:cs="宋体"/>
                <w:color w:val="000000"/>
                <w:kern w:val="0"/>
                <w:sz w:val="22"/>
                <w:szCs w:val="22"/>
                <w:lang w:eastAsia="zh-CN"/>
              </w:rPr>
              <w:t>县</w:t>
            </w:r>
            <w:r>
              <w:rPr>
                <w:rFonts w:hint="eastAsia" w:cs="宋体"/>
                <w:color w:val="000000"/>
                <w:kern w:val="0"/>
                <w:sz w:val="22"/>
                <w:szCs w:val="22"/>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cs="宋体"/>
                <w:color w:val="000000"/>
                <w:kern w:val="0"/>
                <w:sz w:val="22"/>
                <w:szCs w:val="22"/>
              </w:rPr>
            </w:pPr>
            <w:r>
              <w:rPr>
                <w:rFonts w:hint="eastAsia" w:cs="宋体"/>
                <w:color w:val="000000"/>
                <w:kern w:val="0"/>
                <w:sz w:val="22"/>
                <w:szCs w:val="22"/>
                <w:lang w:eastAsia="zh-CN"/>
              </w:rPr>
              <w:t>县</w:t>
            </w:r>
            <w:r>
              <w:rPr>
                <w:rFonts w:hint="eastAsia" w:cs="宋体"/>
                <w:color w:val="000000"/>
                <w:kern w:val="0"/>
                <w:sz w:val="22"/>
                <w:szCs w:val="22"/>
              </w:rPr>
              <w:t>人社局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cs="宋体"/>
                <w:color w:val="000000"/>
                <w:kern w:val="0"/>
                <w:sz w:val="22"/>
                <w:szCs w:val="22"/>
                <w:lang w:eastAsia="zh-CN"/>
              </w:rPr>
            </w:pPr>
            <w:r>
              <w:rPr>
                <w:rFonts w:hint="eastAsia" w:cs="宋体"/>
                <w:color w:val="000000"/>
                <w:kern w:val="0"/>
                <w:sz w:val="22"/>
                <w:szCs w:val="22"/>
                <w:lang w:eastAsia="zh-CN"/>
              </w:rPr>
              <w:t>县交通运输局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cs="宋体"/>
                <w:color w:val="000000"/>
                <w:kern w:val="0"/>
                <w:sz w:val="22"/>
                <w:szCs w:val="22"/>
              </w:rPr>
            </w:pPr>
            <w:r>
              <w:rPr>
                <w:rFonts w:hint="eastAsia" w:cs="宋体"/>
                <w:color w:val="000000"/>
                <w:kern w:val="0"/>
                <w:sz w:val="22"/>
                <w:szCs w:val="22"/>
                <w:lang w:eastAsia="zh-CN"/>
              </w:rPr>
              <w:t>县</w:t>
            </w:r>
            <w:r>
              <w:rPr>
                <w:rFonts w:hint="eastAsia" w:cs="宋体"/>
                <w:color w:val="000000"/>
                <w:kern w:val="0"/>
                <w:sz w:val="22"/>
                <w:szCs w:val="22"/>
              </w:rPr>
              <w:t>国土</w:t>
            </w:r>
            <w:r>
              <w:rPr>
                <w:rFonts w:hint="eastAsia" w:cs="宋体"/>
                <w:color w:val="000000"/>
                <w:kern w:val="0"/>
                <w:sz w:val="22"/>
                <w:szCs w:val="22"/>
                <w:lang w:eastAsia="zh-CN"/>
              </w:rPr>
              <w:t>资源</w:t>
            </w:r>
            <w:r>
              <w:rPr>
                <w:rFonts w:hint="eastAsia" w:cs="宋体"/>
                <w:color w:val="000000"/>
                <w:kern w:val="0"/>
                <w:sz w:val="22"/>
                <w:szCs w:val="22"/>
              </w:rPr>
              <w:t>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cs="宋体"/>
                <w:color w:val="000000"/>
                <w:kern w:val="0"/>
                <w:sz w:val="22"/>
                <w:szCs w:val="22"/>
              </w:rPr>
            </w:pPr>
            <w:r>
              <w:rPr>
                <w:rFonts w:hint="eastAsia" w:cs="宋体"/>
                <w:color w:val="000000"/>
                <w:kern w:val="0"/>
                <w:sz w:val="22"/>
                <w:szCs w:val="22"/>
                <w:lang w:eastAsia="zh-CN"/>
              </w:rPr>
              <w:t>县</w:t>
            </w:r>
            <w:r>
              <w:rPr>
                <w:rFonts w:hint="eastAsia" w:cs="宋体"/>
                <w:color w:val="000000"/>
                <w:kern w:val="0"/>
                <w:sz w:val="22"/>
                <w:szCs w:val="22"/>
              </w:rPr>
              <w:t>住建局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cs="宋体"/>
                <w:color w:val="000000"/>
                <w:kern w:val="0"/>
                <w:sz w:val="22"/>
                <w:szCs w:val="22"/>
              </w:rPr>
            </w:pPr>
            <w:r>
              <w:rPr>
                <w:rFonts w:hint="eastAsia" w:cs="宋体"/>
                <w:color w:val="000000"/>
                <w:kern w:val="0"/>
                <w:sz w:val="22"/>
                <w:szCs w:val="22"/>
                <w:lang w:eastAsia="zh-CN"/>
              </w:rPr>
              <w:t>县</w:t>
            </w:r>
            <w:r>
              <w:rPr>
                <w:rFonts w:hint="eastAsia" w:cs="宋体"/>
                <w:color w:val="000000"/>
                <w:kern w:val="0"/>
                <w:sz w:val="22"/>
                <w:szCs w:val="22"/>
              </w:rPr>
              <w:t>民政局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cs="宋体"/>
                <w:color w:val="000000"/>
                <w:kern w:val="0"/>
                <w:sz w:val="22"/>
                <w:szCs w:val="22"/>
              </w:rPr>
            </w:pPr>
            <w:r>
              <w:rPr>
                <w:rFonts w:hint="eastAsia" w:cs="宋体"/>
                <w:color w:val="000000"/>
                <w:kern w:val="0"/>
                <w:sz w:val="22"/>
                <w:szCs w:val="22"/>
                <w:lang w:eastAsia="zh-CN"/>
              </w:rPr>
              <w:t>县</w:t>
            </w:r>
            <w:r>
              <w:rPr>
                <w:rFonts w:hint="eastAsia" w:cs="宋体"/>
                <w:color w:val="000000"/>
                <w:kern w:val="0"/>
                <w:sz w:val="22"/>
                <w:szCs w:val="22"/>
              </w:rPr>
              <w:t>税务局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cs="宋体"/>
                <w:color w:val="000000"/>
                <w:kern w:val="0"/>
                <w:sz w:val="22"/>
                <w:szCs w:val="22"/>
              </w:rPr>
            </w:pPr>
            <w:r>
              <w:rPr>
                <w:rFonts w:hint="eastAsia" w:cs="宋体"/>
                <w:color w:val="000000"/>
                <w:kern w:val="0"/>
                <w:sz w:val="22"/>
                <w:szCs w:val="22"/>
                <w:lang w:eastAsia="zh-CN"/>
              </w:rPr>
              <w:t>县</w:t>
            </w:r>
            <w:r>
              <w:rPr>
                <w:rFonts w:hint="eastAsia" w:cs="宋体"/>
                <w:color w:val="000000"/>
                <w:kern w:val="0"/>
                <w:sz w:val="22"/>
                <w:szCs w:val="22"/>
              </w:rPr>
              <w:t>金融办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Ansi="方正书宋简体" w:cs="方正书宋简体"/>
                <w:color w:val="000000"/>
                <w:sz w:val="22"/>
                <w:szCs w:val="22"/>
              </w:rPr>
            </w:pPr>
            <w:r>
              <w:rPr>
                <w:rFonts w:hint="eastAsia" w:cs="宋体"/>
                <w:color w:val="000000"/>
                <w:kern w:val="0"/>
                <w:sz w:val="22"/>
                <w:szCs w:val="22"/>
                <w:lang w:eastAsia="zh-CN"/>
              </w:rPr>
              <w:t>县</w:t>
            </w:r>
            <w:r>
              <w:rPr>
                <w:rFonts w:hint="eastAsia" w:cs="宋体"/>
                <w:color w:val="000000"/>
                <w:kern w:val="0"/>
                <w:sz w:val="22"/>
                <w:szCs w:val="22"/>
              </w:rPr>
              <w:t>物价局</w:t>
            </w:r>
          </w:p>
        </w:tc>
      </w:tr>
      <w:tr>
        <w:tblPrEx>
          <w:tblLayout w:type="fixed"/>
          <w:tblCellMar>
            <w:top w:w="15" w:type="dxa"/>
            <w:left w:w="15" w:type="dxa"/>
            <w:bottom w:w="15" w:type="dxa"/>
            <w:right w:w="15" w:type="dxa"/>
          </w:tblCellMar>
        </w:tblPrEx>
        <w:trPr>
          <w:trHeight w:val="816"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p>
        </w:tc>
        <w:tc>
          <w:tcPr>
            <w:tcW w:w="20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融资成本（亿元）</w:t>
            </w:r>
          </w:p>
        </w:tc>
        <w:tc>
          <w:tcPr>
            <w:tcW w:w="97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10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93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1640"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Ansi="方正书宋简体" w:cs="方正书宋简体"/>
                <w:color w:val="000000"/>
                <w:sz w:val="22"/>
                <w:szCs w:val="22"/>
              </w:rPr>
            </w:pPr>
          </w:p>
        </w:tc>
      </w:tr>
      <w:tr>
        <w:tblPrEx>
          <w:tblLayout w:type="fixed"/>
          <w:tblCellMar>
            <w:top w:w="15" w:type="dxa"/>
            <w:left w:w="15" w:type="dxa"/>
            <w:bottom w:w="15" w:type="dxa"/>
            <w:right w:w="15" w:type="dxa"/>
          </w:tblCellMar>
        </w:tblPrEx>
        <w:trPr>
          <w:trHeight w:val="833"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p>
        </w:tc>
        <w:tc>
          <w:tcPr>
            <w:tcW w:w="20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人工成本（亿元）</w:t>
            </w:r>
          </w:p>
        </w:tc>
        <w:tc>
          <w:tcPr>
            <w:tcW w:w="97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3.9</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26.35</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10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93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1640"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Ansi="方正书宋简体" w:cs="方正书宋简体"/>
                <w:color w:val="000000"/>
                <w:sz w:val="22"/>
                <w:szCs w:val="22"/>
              </w:rPr>
            </w:pPr>
          </w:p>
        </w:tc>
      </w:tr>
      <w:tr>
        <w:tblPrEx>
          <w:tblLayout w:type="fixed"/>
          <w:tblCellMar>
            <w:top w:w="15" w:type="dxa"/>
            <w:left w:w="15" w:type="dxa"/>
            <w:bottom w:w="15" w:type="dxa"/>
            <w:right w:w="15" w:type="dxa"/>
          </w:tblCellMar>
        </w:tblPrEx>
        <w:trPr>
          <w:trHeight w:val="863"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p>
        </w:tc>
        <w:tc>
          <w:tcPr>
            <w:tcW w:w="20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用能成本（亿元）</w:t>
            </w:r>
          </w:p>
        </w:tc>
        <w:tc>
          <w:tcPr>
            <w:tcW w:w="97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6.1</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25</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10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93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1640"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Ansi="方正书宋简体" w:cs="方正书宋简体"/>
                <w:color w:val="000000"/>
                <w:sz w:val="22"/>
                <w:szCs w:val="22"/>
              </w:rPr>
            </w:pPr>
          </w:p>
        </w:tc>
      </w:tr>
      <w:tr>
        <w:tblPrEx>
          <w:tblLayout w:type="fixed"/>
          <w:tblCellMar>
            <w:top w:w="15" w:type="dxa"/>
            <w:left w:w="15" w:type="dxa"/>
            <w:bottom w:w="15" w:type="dxa"/>
            <w:right w:w="15" w:type="dxa"/>
          </w:tblCellMar>
        </w:tblPrEx>
        <w:trPr>
          <w:trHeight w:val="945"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p>
        </w:tc>
        <w:tc>
          <w:tcPr>
            <w:tcW w:w="20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物流成本（亿元）</w:t>
            </w:r>
          </w:p>
        </w:tc>
        <w:tc>
          <w:tcPr>
            <w:tcW w:w="97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0.8</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40.5</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104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93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p>
        </w:tc>
        <w:tc>
          <w:tcPr>
            <w:tcW w:w="1640"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Ansi="方正书宋简体" w:cs="方正书宋简体"/>
                <w:color w:val="000000"/>
                <w:sz w:val="22"/>
                <w:szCs w:val="22"/>
              </w:rPr>
            </w:pPr>
          </w:p>
        </w:tc>
      </w:tr>
      <w:tr>
        <w:tblPrEx>
          <w:tblLayout w:type="fixed"/>
          <w:tblCellMar>
            <w:top w:w="15" w:type="dxa"/>
            <w:left w:w="15" w:type="dxa"/>
            <w:bottom w:w="15" w:type="dxa"/>
            <w:right w:w="15" w:type="dxa"/>
          </w:tblCellMar>
        </w:tblPrEx>
        <w:trPr>
          <w:trHeight w:val="871"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p>
        </w:tc>
        <w:tc>
          <w:tcPr>
            <w:tcW w:w="20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合计（亿元）</w:t>
            </w:r>
          </w:p>
        </w:tc>
        <w:tc>
          <w:tcPr>
            <w:tcW w:w="97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368.85</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1300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2600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1135</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20以上</w:t>
            </w:r>
          </w:p>
        </w:tc>
        <w:tc>
          <w:tcPr>
            <w:tcW w:w="93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20以上</w:t>
            </w:r>
          </w:p>
        </w:tc>
        <w:tc>
          <w:tcPr>
            <w:tcW w:w="1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20以上</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20以上</w:t>
            </w:r>
          </w:p>
        </w:tc>
        <w:tc>
          <w:tcPr>
            <w:tcW w:w="1640"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2"/>
                <w:szCs w:val="22"/>
              </w:rPr>
            </w:pPr>
          </w:p>
        </w:tc>
      </w:tr>
    </w:tbl>
    <w:p>
      <w:pPr>
        <w:pStyle w:val="2"/>
        <w:keepNext w:val="0"/>
        <w:keepLines w:val="0"/>
        <w:pageBreakBefore w:val="0"/>
        <w:widowControl w:val="0"/>
        <w:kinsoku/>
        <w:wordWrap/>
        <w:topLinePunct w:val="0"/>
        <w:autoSpaceDE/>
        <w:autoSpaceDN/>
        <w:bidi w:val="0"/>
        <w:adjustRightInd/>
        <w:snapToGrid/>
        <w:spacing w:line="540" w:lineRule="exact"/>
        <w:ind w:left="0" w:leftChars="0" w:firstLine="0" w:firstLineChars="0"/>
        <w:sectPr>
          <w:headerReference r:id="rId6" w:type="default"/>
          <w:footerReference r:id="rId7" w:type="default"/>
          <w:pgSz w:w="16838" w:h="11906" w:orient="landscape"/>
          <w:pgMar w:top="2098" w:right="1474" w:bottom="1984" w:left="1587" w:header="851" w:footer="992" w:gutter="0"/>
          <w:pgBorders>
            <w:top w:val="none" w:sz="0" w:space="0"/>
            <w:left w:val="none" w:sz="0" w:space="0"/>
            <w:bottom w:val="none" w:sz="0" w:space="0"/>
            <w:right w:val="none" w:sz="0" w:space="0"/>
          </w:pgBorders>
          <w:pgNumType w:fmt="numberInDash" w:start="17"/>
          <w:cols w:space="0" w:num="1"/>
          <w:rtlGutter w:val="0"/>
          <w:docGrid w:type="lines" w:linePitch="460" w:charSpace="0"/>
        </w:sectPr>
      </w:pPr>
    </w:p>
    <w:p>
      <w:pPr>
        <w:keepNext w:val="0"/>
        <w:keepLines w:val="0"/>
        <w:pageBreakBefore w:val="0"/>
        <w:widowControl w:val="0"/>
        <w:kinsoku/>
        <w:wordWrap/>
        <w:topLinePunct w:val="0"/>
        <w:autoSpaceDE/>
        <w:autoSpaceDN/>
        <w:bidi w:val="0"/>
        <w:adjustRightInd/>
        <w:snapToGrid/>
        <w:spacing w:line="540" w:lineRule="exact"/>
      </w:pPr>
    </w:p>
    <w:p>
      <w:pPr>
        <w:pStyle w:val="2"/>
        <w:keepNext w:val="0"/>
        <w:keepLines w:val="0"/>
        <w:pageBreakBefore w:val="0"/>
        <w:widowControl w:val="0"/>
        <w:kinsoku/>
        <w:wordWrap/>
        <w:topLinePunct w:val="0"/>
        <w:autoSpaceDE/>
        <w:autoSpaceDN/>
        <w:bidi w:val="0"/>
        <w:adjustRightInd/>
        <w:snapToGrid/>
        <w:spacing w:line="540" w:lineRule="exact"/>
      </w:pPr>
    </w:p>
    <w:p>
      <w:pPr>
        <w:keepNext w:val="0"/>
        <w:keepLines w:val="0"/>
        <w:pageBreakBefore w:val="0"/>
        <w:widowControl w:val="0"/>
        <w:kinsoku/>
        <w:wordWrap/>
        <w:topLinePunct w:val="0"/>
        <w:autoSpaceDE/>
        <w:autoSpaceDN/>
        <w:bidi w:val="0"/>
        <w:adjustRightInd/>
        <w:snapToGrid/>
        <w:spacing w:line="540" w:lineRule="exact"/>
      </w:pPr>
    </w:p>
    <w:p>
      <w:pPr>
        <w:pStyle w:val="2"/>
        <w:keepNext w:val="0"/>
        <w:keepLines w:val="0"/>
        <w:pageBreakBefore w:val="0"/>
        <w:widowControl w:val="0"/>
        <w:kinsoku/>
        <w:wordWrap/>
        <w:topLinePunct w:val="0"/>
        <w:autoSpaceDE/>
        <w:autoSpaceDN/>
        <w:bidi w:val="0"/>
        <w:adjustRightInd/>
        <w:snapToGrid/>
        <w:spacing w:line="540" w:lineRule="exact"/>
      </w:pPr>
    </w:p>
    <w:p>
      <w:pPr>
        <w:keepNext w:val="0"/>
        <w:keepLines w:val="0"/>
        <w:pageBreakBefore w:val="0"/>
        <w:widowControl w:val="0"/>
        <w:kinsoku/>
        <w:wordWrap/>
        <w:topLinePunct w:val="0"/>
        <w:autoSpaceDE/>
        <w:autoSpaceDN/>
        <w:bidi w:val="0"/>
        <w:adjustRightInd/>
        <w:snapToGrid/>
        <w:spacing w:line="540" w:lineRule="exact"/>
      </w:pPr>
    </w:p>
    <w:p>
      <w:pPr>
        <w:pStyle w:val="2"/>
        <w:keepNext w:val="0"/>
        <w:keepLines w:val="0"/>
        <w:pageBreakBefore w:val="0"/>
        <w:widowControl w:val="0"/>
        <w:kinsoku/>
        <w:wordWrap/>
        <w:topLinePunct w:val="0"/>
        <w:autoSpaceDE/>
        <w:autoSpaceDN/>
        <w:bidi w:val="0"/>
        <w:adjustRightInd/>
        <w:snapToGrid/>
        <w:spacing w:line="540" w:lineRule="exact"/>
      </w:pPr>
    </w:p>
    <w:p>
      <w:pPr>
        <w:keepNext w:val="0"/>
        <w:keepLines w:val="0"/>
        <w:pageBreakBefore w:val="0"/>
        <w:widowControl w:val="0"/>
        <w:kinsoku/>
        <w:wordWrap/>
        <w:topLinePunct w:val="0"/>
        <w:autoSpaceDE/>
        <w:autoSpaceDN/>
        <w:bidi w:val="0"/>
        <w:adjustRightInd/>
        <w:snapToGrid/>
        <w:spacing w:line="540" w:lineRule="exact"/>
      </w:pPr>
    </w:p>
    <w:p>
      <w:pPr>
        <w:pStyle w:val="2"/>
        <w:keepNext w:val="0"/>
        <w:keepLines w:val="0"/>
        <w:pageBreakBefore w:val="0"/>
        <w:widowControl w:val="0"/>
        <w:kinsoku/>
        <w:wordWrap/>
        <w:topLinePunct w:val="0"/>
        <w:autoSpaceDE/>
        <w:autoSpaceDN/>
        <w:bidi w:val="0"/>
        <w:adjustRightInd/>
        <w:snapToGrid/>
        <w:spacing w:line="540" w:lineRule="exact"/>
      </w:pPr>
    </w:p>
    <w:p>
      <w:pPr>
        <w:keepNext w:val="0"/>
        <w:keepLines w:val="0"/>
        <w:pageBreakBefore w:val="0"/>
        <w:widowControl w:val="0"/>
        <w:kinsoku/>
        <w:wordWrap/>
        <w:topLinePunct w:val="0"/>
        <w:autoSpaceDE/>
        <w:autoSpaceDN/>
        <w:bidi w:val="0"/>
        <w:adjustRightInd/>
        <w:snapToGrid/>
        <w:spacing w:line="540" w:lineRule="exact"/>
      </w:pPr>
    </w:p>
    <w:p>
      <w:pPr>
        <w:pStyle w:val="2"/>
        <w:keepNext w:val="0"/>
        <w:keepLines w:val="0"/>
        <w:pageBreakBefore w:val="0"/>
        <w:widowControl w:val="0"/>
        <w:kinsoku/>
        <w:wordWrap/>
        <w:topLinePunct w:val="0"/>
        <w:autoSpaceDE/>
        <w:autoSpaceDN/>
        <w:bidi w:val="0"/>
        <w:adjustRightInd/>
        <w:snapToGrid/>
        <w:spacing w:line="540" w:lineRule="exact"/>
      </w:pPr>
    </w:p>
    <w:p>
      <w:pPr>
        <w:pStyle w:val="2"/>
        <w:keepNext w:val="0"/>
        <w:keepLines w:val="0"/>
        <w:pageBreakBefore w:val="0"/>
        <w:widowControl w:val="0"/>
        <w:kinsoku/>
        <w:wordWrap/>
        <w:topLinePunct w:val="0"/>
        <w:autoSpaceDE/>
        <w:autoSpaceDN/>
        <w:bidi w:val="0"/>
        <w:adjustRightInd/>
        <w:snapToGrid/>
        <w:spacing w:line="540" w:lineRule="exact"/>
      </w:pPr>
    </w:p>
    <w:p>
      <w:pPr>
        <w:keepNext w:val="0"/>
        <w:keepLines w:val="0"/>
        <w:pageBreakBefore w:val="0"/>
        <w:widowControl w:val="0"/>
        <w:kinsoku/>
        <w:wordWrap/>
        <w:topLinePunct w:val="0"/>
        <w:autoSpaceDE/>
        <w:autoSpaceDN/>
        <w:bidi w:val="0"/>
        <w:adjustRightInd/>
        <w:snapToGrid/>
        <w:spacing w:line="540" w:lineRule="exact"/>
      </w:pPr>
    </w:p>
    <w:p>
      <w:pPr>
        <w:pStyle w:val="2"/>
        <w:keepNext w:val="0"/>
        <w:keepLines w:val="0"/>
        <w:pageBreakBefore w:val="0"/>
        <w:widowControl w:val="0"/>
        <w:kinsoku/>
        <w:wordWrap/>
        <w:topLinePunct w:val="0"/>
        <w:autoSpaceDE/>
        <w:autoSpaceDN/>
        <w:bidi w:val="0"/>
        <w:adjustRightInd/>
        <w:snapToGrid/>
        <w:spacing w:line="540" w:lineRule="exact"/>
      </w:pPr>
    </w:p>
    <w:p>
      <w:pPr>
        <w:keepNext w:val="0"/>
        <w:keepLines w:val="0"/>
        <w:pageBreakBefore w:val="0"/>
        <w:widowControl w:val="0"/>
        <w:kinsoku/>
        <w:wordWrap/>
        <w:topLinePunct w:val="0"/>
        <w:autoSpaceDE/>
        <w:autoSpaceDN/>
        <w:bidi w:val="0"/>
        <w:adjustRightInd/>
        <w:snapToGrid/>
        <w:spacing w:line="540" w:lineRule="exact"/>
      </w:pPr>
    </w:p>
    <w:p>
      <w:pPr>
        <w:pStyle w:val="2"/>
        <w:keepNext w:val="0"/>
        <w:keepLines w:val="0"/>
        <w:pageBreakBefore w:val="0"/>
        <w:widowControl w:val="0"/>
        <w:kinsoku/>
        <w:wordWrap/>
        <w:topLinePunct w:val="0"/>
        <w:autoSpaceDE/>
        <w:autoSpaceDN/>
        <w:bidi w:val="0"/>
        <w:adjustRightInd/>
        <w:snapToGrid/>
        <w:spacing w:line="540" w:lineRule="exact"/>
      </w:pPr>
    </w:p>
    <w:p>
      <w:pPr>
        <w:keepNext w:val="0"/>
        <w:keepLines w:val="0"/>
        <w:pageBreakBefore w:val="0"/>
        <w:widowControl w:val="0"/>
        <w:kinsoku/>
        <w:wordWrap/>
        <w:topLinePunct w:val="0"/>
        <w:autoSpaceDE/>
        <w:autoSpaceDN/>
        <w:bidi w:val="0"/>
        <w:adjustRightInd/>
        <w:snapToGrid/>
        <w:spacing w:line="540" w:lineRule="exact"/>
      </w:pPr>
    </w:p>
    <w:p>
      <w:pPr>
        <w:pStyle w:val="2"/>
        <w:keepNext w:val="0"/>
        <w:keepLines w:val="0"/>
        <w:pageBreakBefore w:val="0"/>
        <w:widowControl w:val="0"/>
        <w:kinsoku/>
        <w:wordWrap/>
        <w:topLinePunct w:val="0"/>
        <w:autoSpaceDE/>
        <w:autoSpaceDN/>
        <w:bidi w:val="0"/>
        <w:adjustRightInd/>
        <w:snapToGrid/>
        <w:spacing w:line="540" w:lineRule="exact"/>
      </w:pPr>
    </w:p>
    <w:p>
      <w:pPr>
        <w:keepNext w:val="0"/>
        <w:keepLines w:val="0"/>
        <w:pageBreakBefore w:val="0"/>
        <w:widowControl w:val="0"/>
        <w:kinsoku/>
        <w:wordWrap/>
        <w:topLinePunct w:val="0"/>
        <w:autoSpaceDE/>
        <w:autoSpaceDN/>
        <w:bidi w:val="0"/>
        <w:adjustRightInd/>
        <w:snapToGrid/>
        <w:spacing w:line="540" w:lineRule="exact"/>
      </w:pPr>
    </w:p>
    <w:p>
      <w:pPr>
        <w:keepNext w:val="0"/>
        <w:keepLines w:val="0"/>
        <w:pageBreakBefore w:val="0"/>
        <w:widowControl w:val="0"/>
        <w:kinsoku/>
        <w:wordWrap/>
        <w:topLinePunct w:val="0"/>
        <w:autoSpaceDE/>
        <w:autoSpaceDN/>
        <w:bidi w:val="0"/>
        <w:adjustRightInd/>
        <w:snapToGrid/>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u w:val="thick"/>
        </w:rPr>
      </w:pPr>
      <w:r>
        <w:rPr>
          <w:rFonts w:hint="eastAsia" w:ascii="仿宋_GB2312" w:hAnsi="仿宋_GB2312" w:eastAsia="仿宋_GB2312" w:cs="仿宋_GB2312"/>
          <w:sz w:val="28"/>
          <w:szCs w:val="28"/>
          <w:u w:val="thick"/>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snapToGrid w:val="0"/>
          <w:color w:val="000000"/>
          <w:sz w:val="28"/>
          <w:szCs w:val="28"/>
          <w:u w:val="none"/>
          <w:lang w:eastAsia="zh-CN"/>
        </w:rPr>
      </w:pPr>
      <w:r>
        <w:rPr>
          <w:rFonts w:hint="eastAsia" w:ascii="仿宋_GB2312" w:hAnsi="仿宋_GB2312" w:eastAsia="仿宋_GB2312" w:cs="仿宋_GB2312"/>
          <w:sz w:val="28"/>
          <w:szCs w:val="28"/>
          <w:u w:val="none"/>
        </w:rPr>
        <w:t xml:space="preserve">  抄送：</w:t>
      </w:r>
      <w:r>
        <w:rPr>
          <w:rFonts w:hint="eastAsia" w:ascii="仿宋_GB2312" w:hAnsi="仿宋_GB2312" w:eastAsia="仿宋_GB2312" w:cs="仿宋_GB2312"/>
          <w:bCs/>
          <w:snapToGrid w:val="0"/>
          <w:color w:val="000000"/>
          <w:sz w:val="28"/>
          <w:szCs w:val="28"/>
          <w:u w:val="none"/>
          <w:lang w:eastAsia="zh-CN"/>
        </w:rPr>
        <w:t>市</w:t>
      </w:r>
      <w:r>
        <w:rPr>
          <w:rFonts w:hint="eastAsia" w:ascii="仿宋_GB2312" w:hAnsi="仿宋_GB2312" w:eastAsia="仿宋_GB2312" w:cs="仿宋_GB2312"/>
          <w:bCs/>
          <w:snapToGrid w:val="0"/>
          <w:color w:val="000000"/>
          <w:sz w:val="28"/>
          <w:szCs w:val="28"/>
          <w:u w:val="none"/>
        </w:rPr>
        <w:t>营商办</w:t>
      </w:r>
      <w:r>
        <w:rPr>
          <w:rFonts w:hint="eastAsia" w:ascii="仿宋_GB2312" w:hAnsi="仿宋_GB2312" w:eastAsia="仿宋_GB2312" w:cs="仿宋_GB2312"/>
          <w:bCs/>
          <w:snapToGrid w:val="0"/>
          <w:color w:val="00000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bCs/>
          <w:snapToGrid w:val="0"/>
          <w:color w:val="000000"/>
          <w:sz w:val="28"/>
          <w:szCs w:val="28"/>
          <w:u w:val="single"/>
          <w:lang w:val="en-US" w:eastAsia="zh-CN"/>
        </w:rPr>
        <w:t xml:space="preserve">        </w:t>
      </w:r>
      <w:r>
        <w:rPr>
          <w:rFonts w:hint="eastAsia" w:ascii="仿宋_GB2312" w:hAnsi="仿宋_GB2312" w:eastAsia="仿宋_GB2312" w:cs="仿宋_GB2312"/>
          <w:bCs/>
          <w:snapToGrid w:val="0"/>
          <w:color w:val="000000"/>
          <w:sz w:val="28"/>
          <w:szCs w:val="28"/>
          <w:u w:val="single"/>
          <w:lang w:eastAsia="zh-CN"/>
        </w:rPr>
        <w:t>县</w:t>
      </w:r>
      <w:r>
        <w:rPr>
          <w:rFonts w:hint="eastAsia" w:ascii="仿宋_GB2312" w:hAnsi="仿宋_GB2312" w:eastAsia="仿宋_GB2312" w:cs="仿宋_GB2312"/>
          <w:bCs/>
          <w:snapToGrid w:val="0"/>
          <w:color w:val="000000"/>
          <w:sz w:val="28"/>
          <w:szCs w:val="28"/>
          <w:u w:val="single"/>
        </w:rPr>
        <w:t>委办</w:t>
      </w:r>
      <w:r>
        <w:rPr>
          <w:rFonts w:hint="eastAsia" w:ascii="仿宋_GB2312" w:hAnsi="仿宋_GB2312" w:eastAsia="仿宋_GB2312" w:cs="仿宋_GB2312"/>
          <w:bCs/>
          <w:snapToGrid w:val="0"/>
          <w:color w:val="000000"/>
          <w:sz w:val="28"/>
          <w:szCs w:val="28"/>
          <w:u w:val="single"/>
          <w:lang w:eastAsia="zh-CN"/>
        </w:rPr>
        <w:t>公室</w:t>
      </w:r>
      <w:r>
        <w:rPr>
          <w:rFonts w:hint="eastAsia" w:ascii="仿宋_GB2312" w:hAnsi="仿宋_GB2312" w:eastAsia="仿宋_GB2312" w:cs="仿宋_GB2312"/>
          <w:bCs/>
          <w:snapToGrid w:val="0"/>
          <w:color w:val="000000"/>
          <w:sz w:val="28"/>
          <w:szCs w:val="28"/>
          <w:u w:val="single"/>
        </w:rPr>
        <w:t>、</w:t>
      </w:r>
      <w:r>
        <w:rPr>
          <w:rFonts w:hint="eastAsia" w:ascii="仿宋_GB2312" w:hAnsi="仿宋_GB2312" w:eastAsia="仿宋_GB2312" w:cs="仿宋_GB2312"/>
          <w:bCs/>
          <w:snapToGrid w:val="0"/>
          <w:color w:val="000000"/>
          <w:sz w:val="28"/>
          <w:szCs w:val="28"/>
          <w:u w:val="single"/>
          <w:lang w:eastAsia="zh-CN"/>
        </w:rPr>
        <w:t>县</w:t>
      </w:r>
      <w:r>
        <w:rPr>
          <w:rFonts w:hint="eastAsia" w:ascii="仿宋_GB2312" w:hAnsi="仿宋_GB2312" w:eastAsia="仿宋_GB2312" w:cs="仿宋_GB2312"/>
          <w:bCs/>
          <w:snapToGrid w:val="0"/>
          <w:color w:val="000000"/>
          <w:sz w:val="28"/>
          <w:szCs w:val="28"/>
          <w:u w:val="single"/>
        </w:rPr>
        <w:t>人大</w:t>
      </w:r>
      <w:r>
        <w:rPr>
          <w:rFonts w:hint="eastAsia" w:ascii="仿宋_GB2312" w:hAnsi="仿宋_GB2312" w:eastAsia="仿宋_GB2312" w:cs="仿宋_GB2312"/>
          <w:bCs/>
          <w:snapToGrid w:val="0"/>
          <w:color w:val="000000"/>
          <w:sz w:val="28"/>
          <w:szCs w:val="28"/>
          <w:u w:val="single"/>
          <w:lang w:eastAsia="zh-CN"/>
        </w:rPr>
        <w:t>常委会</w:t>
      </w:r>
      <w:r>
        <w:rPr>
          <w:rFonts w:hint="eastAsia" w:ascii="仿宋_GB2312" w:hAnsi="仿宋_GB2312" w:eastAsia="仿宋_GB2312" w:cs="仿宋_GB2312"/>
          <w:bCs/>
          <w:snapToGrid w:val="0"/>
          <w:color w:val="000000"/>
          <w:sz w:val="28"/>
          <w:szCs w:val="28"/>
          <w:u w:val="single"/>
        </w:rPr>
        <w:t>办</w:t>
      </w:r>
      <w:r>
        <w:rPr>
          <w:rFonts w:hint="eastAsia" w:ascii="仿宋_GB2312" w:hAnsi="仿宋_GB2312" w:eastAsia="仿宋_GB2312" w:cs="仿宋_GB2312"/>
          <w:bCs/>
          <w:snapToGrid w:val="0"/>
          <w:color w:val="000000"/>
          <w:sz w:val="28"/>
          <w:szCs w:val="28"/>
          <w:u w:val="single"/>
          <w:lang w:eastAsia="zh-CN"/>
        </w:rPr>
        <w:t>公室</w:t>
      </w:r>
      <w:r>
        <w:rPr>
          <w:rFonts w:hint="eastAsia" w:ascii="仿宋_GB2312" w:hAnsi="仿宋_GB2312" w:eastAsia="仿宋_GB2312" w:cs="仿宋_GB2312"/>
          <w:bCs/>
          <w:snapToGrid w:val="0"/>
          <w:color w:val="000000"/>
          <w:sz w:val="28"/>
          <w:szCs w:val="28"/>
          <w:u w:val="single"/>
        </w:rPr>
        <w:t>、</w:t>
      </w:r>
      <w:r>
        <w:rPr>
          <w:rFonts w:hint="eastAsia" w:ascii="仿宋_GB2312" w:hAnsi="仿宋_GB2312" w:eastAsia="仿宋_GB2312" w:cs="仿宋_GB2312"/>
          <w:bCs/>
          <w:snapToGrid w:val="0"/>
          <w:color w:val="000000"/>
          <w:sz w:val="28"/>
          <w:szCs w:val="28"/>
          <w:u w:val="single"/>
          <w:lang w:eastAsia="zh-CN"/>
        </w:rPr>
        <w:t>县</w:t>
      </w:r>
      <w:r>
        <w:rPr>
          <w:rFonts w:hint="eastAsia" w:ascii="仿宋_GB2312" w:hAnsi="仿宋_GB2312" w:eastAsia="仿宋_GB2312" w:cs="仿宋_GB2312"/>
          <w:bCs/>
          <w:snapToGrid w:val="0"/>
          <w:color w:val="000000"/>
          <w:sz w:val="28"/>
          <w:szCs w:val="28"/>
          <w:u w:val="single"/>
        </w:rPr>
        <w:t>政协办</w:t>
      </w:r>
      <w:r>
        <w:rPr>
          <w:rFonts w:hint="eastAsia" w:ascii="仿宋_GB2312" w:hAnsi="仿宋_GB2312" w:eastAsia="仿宋_GB2312" w:cs="仿宋_GB2312"/>
          <w:bCs/>
          <w:snapToGrid w:val="0"/>
          <w:color w:val="000000"/>
          <w:sz w:val="28"/>
          <w:szCs w:val="28"/>
          <w:u w:val="single"/>
          <w:lang w:eastAsia="zh-CN"/>
        </w:rPr>
        <w:t>公室</w:t>
      </w:r>
      <w:r>
        <w:rPr>
          <w:rFonts w:hint="eastAsia" w:ascii="仿宋_GB2312" w:hAnsi="仿宋_GB2312" w:eastAsia="仿宋_GB2312" w:cs="仿宋_GB2312"/>
          <w:bCs/>
          <w:snapToGrid w:val="0"/>
          <w:color w:val="000000"/>
          <w:sz w:val="28"/>
          <w:szCs w:val="28"/>
          <w:u w:val="single"/>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sz w:val="28"/>
          <w:szCs w:val="28"/>
        </w:rPr>
      </w:pPr>
      <w:r>
        <w:rPr>
          <w:rFonts w:hint="eastAsia" w:ascii="仿宋_GB2312" w:hAnsi="仿宋_GB2312" w:eastAsia="仿宋_GB2312" w:cs="仿宋_GB2312"/>
          <w:sz w:val="28"/>
          <w:szCs w:val="28"/>
          <w:u w:val="thick"/>
        </w:rPr>
        <w:t xml:space="preserve">  太白县</w:t>
      </w:r>
      <w:r>
        <w:rPr>
          <w:rFonts w:hint="eastAsia" w:ascii="仿宋_GB2312" w:hAnsi="仿宋_GB2312" w:cs="仿宋_GB2312"/>
          <w:sz w:val="28"/>
          <w:szCs w:val="28"/>
          <w:u w:val="thick"/>
          <w:lang w:eastAsia="zh-CN"/>
        </w:rPr>
        <w:t>人民政府</w:t>
      </w:r>
      <w:r>
        <w:rPr>
          <w:rFonts w:hint="eastAsia" w:ascii="仿宋_GB2312" w:hAnsi="仿宋_GB2312" w:eastAsia="仿宋_GB2312" w:cs="仿宋_GB2312"/>
          <w:sz w:val="28"/>
          <w:szCs w:val="28"/>
          <w:u w:val="thick"/>
        </w:rPr>
        <w:t xml:space="preserve">办公室                    </w:t>
      </w:r>
      <w:r>
        <w:rPr>
          <w:rFonts w:hint="eastAsia" w:ascii="仿宋_GB2312" w:hAnsi="仿宋_GB2312" w:eastAsia="仿宋_GB2312" w:cs="仿宋_GB2312"/>
          <w:sz w:val="28"/>
          <w:szCs w:val="28"/>
          <w:u w:val="thick"/>
          <w:lang w:val="en-US" w:eastAsia="zh-CN"/>
        </w:rPr>
        <w:t xml:space="preserve"> </w:t>
      </w:r>
      <w:r>
        <w:rPr>
          <w:rFonts w:hint="eastAsia" w:ascii="仿宋_GB2312" w:hAnsi="仿宋_GB2312" w:eastAsia="仿宋_GB2312" w:cs="仿宋_GB2312"/>
          <w:sz w:val="28"/>
          <w:szCs w:val="28"/>
          <w:u w:val="thick"/>
        </w:rPr>
        <w:t>201</w:t>
      </w:r>
      <w:r>
        <w:rPr>
          <w:rFonts w:hint="eastAsia" w:ascii="仿宋_GB2312" w:hAnsi="仿宋_GB2312" w:eastAsia="仿宋_GB2312" w:cs="仿宋_GB2312"/>
          <w:sz w:val="28"/>
          <w:szCs w:val="28"/>
          <w:u w:val="thick"/>
          <w:lang w:val="en-US" w:eastAsia="zh-CN"/>
        </w:rPr>
        <w:t>8</w:t>
      </w:r>
      <w:r>
        <w:rPr>
          <w:rFonts w:hint="eastAsia" w:ascii="仿宋_GB2312" w:hAnsi="仿宋_GB2312" w:eastAsia="仿宋_GB2312" w:cs="仿宋_GB2312"/>
          <w:sz w:val="28"/>
          <w:szCs w:val="28"/>
          <w:u w:val="thick"/>
        </w:rPr>
        <w:t>年9月</w:t>
      </w:r>
      <w:r>
        <w:rPr>
          <w:rFonts w:hint="eastAsia" w:ascii="仿宋_GB2312" w:hAnsi="仿宋_GB2312" w:cs="仿宋_GB2312"/>
          <w:sz w:val="28"/>
          <w:szCs w:val="28"/>
          <w:u w:val="thick"/>
          <w:lang w:val="en-US" w:eastAsia="zh-CN"/>
        </w:rPr>
        <w:t>13</w:t>
      </w:r>
      <w:r>
        <w:rPr>
          <w:rFonts w:hint="eastAsia" w:ascii="仿宋_GB2312" w:hAnsi="仿宋_GB2312" w:eastAsia="仿宋_GB2312" w:cs="仿宋_GB2312"/>
          <w:sz w:val="28"/>
          <w:szCs w:val="28"/>
          <w:u w:val="thick"/>
        </w:rPr>
        <w:t xml:space="preserve">日印发  </w:t>
      </w:r>
    </w:p>
    <w:sectPr>
      <w:footerReference r:id="rId8" w:type="default"/>
      <w:footerReference r:id="rId9" w:type="even"/>
      <w:pgSz w:w="11906" w:h="16838"/>
      <w:pgMar w:top="2098" w:right="1474" w:bottom="1984" w:left="1587" w:header="851" w:footer="992" w:gutter="0"/>
      <w:pgBorders>
        <w:top w:val="none" w:sz="0" w:space="0"/>
        <w:left w:val="none" w:sz="0" w:space="0"/>
        <w:bottom w:val="none" w:sz="0" w:space="0"/>
        <w:right w:val="none" w:sz="0" w:space="0"/>
      </w:pgBorders>
      <w:pgNumType w:fmt="numberInDash" w:start="2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
    <w:altName w:val="黑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rFonts w:hint="eastAsia"/>
      </w:rPr>
      <w:t>-</w:t>
    </w: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lang w:val="zh-CN"/>
      </w:rPr>
      <w:t>4</w:t>
    </w:r>
    <w:r>
      <w:rPr>
        <w:rFonts w:hint="eastAsia"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80445910"/>
                            <w:docPartObj>
                              <w:docPartGallery w:val="autotext"/>
                            </w:docPartObj>
                          </w:sdtPr>
                          <w:sdtEndPr>
                            <w:rPr>
                              <w:rFonts w:hint="eastAsia" w:ascii="仿宋_GB2312" w:eastAsia="仿宋_GB2312"/>
                              <w:sz w:val="28"/>
                              <w:szCs w:val="28"/>
                            </w:rPr>
                          </w:sdtEndPr>
                          <w:sdtContent>
                            <w:p>
                              <w:pPr>
                                <w:pStyle w:val="5"/>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p>
                          </w:sdtContent>
                        </w:sdt>
                        <w:p>
                          <w:pPr>
                            <w:rPr>
                              <w:rFonts w:hint="eastAsia"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080445910"/>
                      <w:docPartObj>
                        <w:docPartGallery w:val="autotext"/>
                      </w:docPartObj>
                    </w:sdtPr>
                    <w:sdtEndPr>
                      <w:rPr>
                        <w:rFonts w:hint="eastAsia" w:ascii="仿宋_GB2312" w:eastAsia="仿宋_GB2312"/>
                        <w:sz w:val="28"/>
                        <w:szCs w:val="28"/>
                      </w:rPr>
                    </w:sdtEndPr>
                    <w:sdtContent>
                      <w:p>
                        <w:pPr>
                          <w:pStyle w:val="5"/>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p>
                    </w:sdtContent>
                  </w:sdt>
                  <w:p>
                    <w:pPr>
                      <w:rPr>
                        <w:rFonts w:hint="eastAsia" w:ascii="仿宋_GB2312" w:eastAsia="仿宋_GB2312"/>
                        <w:sz w:val="28"/>
                        <w:szCs w:val="28"/>
                      </w:rPr>
                    </w:pP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10"/>
    <w:rsid w:val="00011EF5"/>
    <w:rsid w:val="00052D92"/>
    <w:rsid w:val="00085110"/>
    <w:rsid w:val="00120044"/>
    <w:rsid w:val="00130384"/>
    <w:rsid w:val="00154656"/>
    <w:rsid w:val="001C0B55"/>
    <w:rsid w:val="001F5AD0"/>
    <w:rsid w:val="002148D3"/>
    <w:rsid w:val="00231A76"/>
    <w:rsid w:val="00250C97"/>
    <w:rsid w:val="00284380"/>
    <w:rsid w:val="002977B3"/>
    <w:rsid w:val="002A7648"/>
    <w:rsid w:val="0033584F"/>
    <w:rsid w:val="00367DEB"/>
    <w:rsid w:val="003700EA"/>
    <w:rsid w:val="0038342F"/>
    <w:rsid w:val="003B11C0"/>
    <w:rsid w:val="003B7922"/>
    <w:rsid w:val="003C4E16"/>
    <w:rsid w:val="003C6783"/>
    <w:rsid w:val="003D5F30"/>
    <w:rsid w:val="003D60EC"/>
    <w:rsid w:val="003E45B0"/>
    <w:rsid w:val="003F607F"/>
    <w:rsid w:val="00402D68"/>
    <w:rsid w:val="00414AA8"/>
    <w:rsid w:val="00424058"/>
    <w:rsid w:val="0044214F"/>
    <w:rsid w:val="00443104"/>
    <w:rsid w:val="004458AD"/>
    <w:rsid w:val="004B03FC"/>
    <w:rsid w:val="004B562C"/>
    <w:rsid w:val="004E0244"/>
    <w:rsid w:val="005019DB"/>
    <w:rsid w:val="00504928"/>
    <w:rsid w:val="005220FE"/>
    <w:rsid w:val="00530F03"/>
    <w:rsid w:val="00542905"/>
    <w:rsid w:val="0054415B"/>
    <w:rsid w:val="005E205A"/>
    <w:rsid w:val="005E5D2E"/>
    <w:rsid w:val="00600F1A"/>
    <w:rsid w:val="00602F35"/>
    <w:rsid w:val="00605C20"/>
    <w:rsid w:val="00616477"/>
    <w:rsid w:val="00622B0A"/>
    <w:rsid w:val="00681494"/>
    <w:rsid w:val="006D4191"/>
    <w:rsid w:val="006F55EE"/>
    <w:rsid w:val="00733679"/>
    <w:rsid w:val="00742DDB"/>
    <w:rsid w:val="00770EC5"/>
    <w:rsid w:val="007941D5"/>
    <w:rsid w:val="007A3C43"/>
    <w:rsid w:val="007B7D2B"/>
    <w:rsid w:val="007D5F6B"/>
    <w:rsid w:val="00800E00"/>
    <w:rsid w:val="00807DC7"/>
    <w:rsid w:val="00821573"/>
    <w:rsid w:val="00880554"/>
    <w:rsid w:val="008A1E10"/>
    <w:rsid w:val="008B4801"/>
    <w:rsid w:val="008E6EC5"/>
    <w:rsid w:val="008F0A96"/>
    <w:rsid w:val="009200E8"/>
    <w:rsid w:val="009533A1"/>
    <w:rsid w:val="00960D31"/>
    <w:rsid w:val="009B2F16"/>
    <w:rsid w:val="009B6362"/>
    <w:rsid w:val="009B78E9"/>
    <w:rsid w:val="009D2900"/>
    <w:rsid w:val="009F38E8"/>
    <w:rsid w:val="009F56F2"/>
    <w:rsid w:val="009F6FEE"/>
    <w:rsid w:val="00A32A1E"/>
    <w:rsid w:val="00A366C8"/>
    <w:rsid w:val="00A545A7"/>
    <w:rsid w:val="00A62078"/>
    <w:rsid w:val="00A70B03"/>
    <w:rsid w:val="00A8797A"/>
    <w:rsid w:val="00A94C7D"/>
    <w:rsid w:val="00A979AE"/>
    <w:rsid w:val="00AB4A01"/>
    <w:rsid w:val="00AB5DA5"/>
    <w:rsid w:val="00AB7C0B"/>
    <w:rsid w:val="00AE1C94"/>
    <w:rsid w:val="00AF39FF"/>
    <w:rsid w:val="00B049B7"/>
    <w:rsid w:val="00B34313"/>
    <w:rsid w:val="00B54A3A"/>
    <w:rsid w:val="00B55DA2"/>
    <w:rsid w:val="00B74849"/>
    <w:rsid w:val="00B879E0"/>
    <w:rsid w:val="00BA1655"/>
    <w:rsid w:val="00BA32D2"/>
    <w:rsid w:val="00BC5219"/>
    <w:rsid w:val="00BD6E41"/>
    <w:rsid w:val="00BE2F18"/>
    <w:rsid w:val="00BF0A7D"/>
    <w:rsid w:val="00BF4BDD"/>
    <w:rsid w:val="00C0596C"/>
    <w:rsid w:val="00C22C1F"/>
    <w:rsid w:val="00C364DC"/>
    <w:rsid w:val="00C51FD3"/>
    <w:rsid w:val="00C625B7"/>
    <w:rsid w:val="00C72ACD"/>
    <w:rsid w:val="00CE24B5"/>
    <w:rsid w:val="00CE3675"/>
    <w:rsid w:val="00D113FC"/>
    <w:rsid w:val="00D1257C"/>
    <w:rsid w:val="00D568DA"/>
    <w:rsid w:val="00DD4E89"/>
    <w:rsid w:val="00DE144C"/>
    <w:rsid w:val="00E374EA"/>
    <w:rsid w:val="00E436E4"/>
    <w:rsid w:val="00EA2F14"/>
    <w:rsid w:val="00EA63CF"/>
    <w:rsid w:val="00F3363C"/>
    <w:rsid w:val="00F43F01"/>
    <w:rsid w:val="00F61870"/>
    <w:rsid w:val="00F71BA3"/>
    <w:rsid w:val="00F87A88"/>
    <w:rsid w:val="00FB215E"/>
    <w:rsid w:val="00FB353C"/>
    <w:rsid w:val="00FB3B49"/>
    <w:rsid w:val="00FD6D69"/>
    <w:rsid w:val="00FE77B2"/>
    <w:rsid w:val="00FF40F8"/>
    <w:rsid w:val="02075FA2"/>
    <w:rsid w:val="021371BC"/>
    <w:rsid w:val="021E149D"/>
    <w:rsid w:val="0230562B"/>
    <w:rsid w:val="02A66D9F"/>
    <w:rsid w:val="02F41997"/>
    <w:rsid w:val="03081D43"/>
    <w:rsid w:val="03573556"/>
    <w:rsid w:val="03996595"/>
    <w:rsid w:val="03B05C70"/>
    <w:rsid w:val="03DF5BD3"/>
    <w:rsid w:val="040115F0"/>
    <w:rsid w:val="042B096F"/>
    <w:rsid w:val="048B21CC"/>
    <w:rsid w:val="04B560F6"/>
    <w:rsid w:val="04C22EC7"/>
    <w:rsid w:val="04F11459"/>
    <w:rsid w:val="05C530A7"/>
    <w:rsid w:val="06F02345"/>
    <w:rsid w:val="07213B0F"/>
    <w:rsid w:val="076A49E1"/>
    <w:rsid w:val="07C6193C"/>
    <w:rsid w:val="07F65725"/>
    <w:rsid w:val="08323124"/>
    <w:rsid w:val="08432305"/>
    <w:rsid w:val="089D255B"/>
    <w:rsid w:val="08A2276A"/>
    <w:rsid w:val="08F81620"/>
    <w:rsid w:val="09C06CCD"/>
    <w:rsid w:val="0A765532"/>
    <w:rsid w:val="0B1168B9"/>
    <w:rsid w:val="0B416EB8"/>
    <w:rsid w:val="0B6F0DEF"/>
    <w:rsid w:val="0B7304B2"/>
    <w:rsid w:val="0B853C91"/>
    <w:rsid w:val="0BB903F6"/>
    <w:rsid w:val="0C11058A"/>
    <w:rsid w:val="0C461394"/>
    <w:rsid w:val="0C557E3E"/>
    <w:rsid w:val="0C937E4F"/>
    <w:rsid w:val="0C980FE1"/>
    <w:rsid w:val="0CF9321C"/>
    <w:rsid w:val="0D5E6823"/>
    <w:rsid w:val="0E153F39"/>
    <w:rsid w:val="0E272DD8"/>
    <w:rsid w:val="0E2B6FB0"/>
    <w:rsid w:val="0E31173E"/>
    <w:rsid w:val="0ECD073E"/>
    <w:rsid w:val="0F9F61E5"/>
    <w:rsid w:val="101556AC"/>
    <w:rsid w:val="108E3DD0"/>
    <w:rsid w:val="10CD172D"/>
    <w:rsid w:val="10FA0A6B"/>
    <w:rsid w:val="11676498"/>
    <w:rsid w:val="11816A39"/>
    <w:rsid w:val="119A61C2"/>
    <w:rsid w:val="11CE39A1"/>
    <w:rsid w:val="127C4342"/>
    <w:rsid w:val="130101C4"/>
    <w:rsid w:val="13A976E2"/>
    <w:rsid w:val="14732654"/>
    <w:rsid w:val="151565E9"/>
    <w:rsid w:val="15783556"/>
    <w:rsid w:val="15F96677"/>
    <w:rsid w:val="16933F82"/>
    <w:rsid w:val="16E74C52"/>
    <w:rsid w:val="179E2010"/>
    <w:rsid w:val="17A65727"/>
    <w:rsid w:val="182C42FA"/>
    <w:rsid w:val="1840575D"/>
    <w:rsid w:val="18BD1FD2"/>
    <w:rsid w:val="18EE5739"/>
    <w:rsid w:val="19714C56"/>
    <w:rsid w:val="1994753F"/>
    <w:rsid w:val="199D1B00"/>
    <w:rsid w:val="19A354CB"/>
    <w:rsid w:val="1A777199"/>
    <w:rsid w:val="1B581F70"/>
    <w:rsid w:val="1B846E22"/>
    <w:rsid w:val="1BB51FD1"/>
    <w:rsid w:val="1CD57F5E"/>
    <w:rsid w:val="1D165880"/>
    <w:rsid w:val="1D332816"/>
    <w:rsid w:val="1D3453E3"/>
    <w:rsid w:val="1D5522CC"/>
    <w:rsid w:val="1D732AD6"/>
    <w:rsid w:val="1DF84F8C"/>
    <w:rsid w:val="1E890F8D"/>
    <w:rsid w:val="1ED24AE7"/>
    <w:rsid w:val="1EDF0129"/>
    <w:rsid w:val="1F294391"/>
    <w:rsid w:val="205521D6"/>
    <w:rsid w:val="208D18BE"/>
    <w:rsid w:val="20FB3150"/>
    <w:rsid w:val="22225418"/>
    <w:rsid w:val="224A6A10"/>
    <w:rsid w:val="23472AFF"/>
    <w:rsid w:val="239C6843"/>
    <w:rsid w:val="23DD1CDD"/>
    <w:rsid w:val="23DF1232"/>
    <w:rsid w:val="23FA709A"/>
    <w:rsid w:val="240C3CD8"/>
    <w:rsid w:val="24996F45"/>
    <w:rsid w:val="252141CF"/>
    <w:rsid w:val="259C6ABF"/>
    <w:rsid w:val="25CD7B9A"/>
    <w:rsid w:val="25E623FE"/>
    <w:rsid w:val="26633C7D"/>
    <w:rsid w:val="268005A2"/>
    <w:rsid w:val="26BB3746"/>
    <w:rsid w:val="26C24E8A"/>
    <w:rsid w:val="27A40A35"/>
    <w:rsid w:val="27BB19A1"/>
    <w:rsid w:val="29521BE1"/>
    <w:rsid w:val="29F661CF"/>
    <w:rsid w:val="2A075C04"/>
    <w:rsid w:val="2A36568E"/>
    <w:rsid w:val="2A3859D2"/>
    <w:rsid w:val="2A4746BB"/>
    <w:rsid w:val="2AB2749E"/>
    <w:rsid w:val="2B1B721C"/>
    <w:rsid w:val="2B880828"/>
    <w:rsid w:val="2BB01F37"/>
    <w:rsid w:val="2BE26002"/>
    <w:rsid w:val="2C31465B"/>
    <w:rsid w:val="2C4565BF"/>
    <w:rsid w:val="2C5F5BFD"/>
    <w:rsid w:val="2DE108DF"/>
    <w:rsid w:val="2DFB6C30"/>
    <w:rsid w:val="2E760859"/>
    <w:rsid w:val="2E8308FB"/>
    <w:rsid w:val="2E9E2C16"/>
    <w:rsid w:val="2EC1687C"/>
    <w:rsid w:val="2F5534EA"/>
    <w:rsid w:val="2FBD5AB3"/>
    <w:rsid w:val="2FC81481"/>
    <w:rsid w:val="2FD75CCC"/>
    <w:rsid w:val="302F7FB8"/>
    <w:rsid w:val="30545E32"/>
    <w:rsid w:val="30756EAA"/>
    <w:rsid w:val="30C66728"/>
    <w:rsid w:val="30F60366"/>
    <w:rsid w:val="317C7AF5"/>
    <w:rsid w:val="31CF6370"/>
    <w:rsid w:val="3243268A"/>
    <w:rsid w:val="32564038"/>
    <w:rsid w:val="3295769C"/>
    <w:rsid w:val="32FC637F"/>
    <w:rsid w:val="3304741E"/>
    <w:rsid w:val="33B62EE8"/>
    <w:rsid w:val="33D038BD"/>
    <w:rsid w:val="34211355"/>
    <w:rsid w:val="345832D4"/>
    <w:rsid w:val="347D6B74"/>
    <w:rsid w:val="349009E4"/>
    <w:rsid w:val="36B66003"/>
    <w:rsid w:val="37C26A75"/>
    <w:rsid w:val="387349F1"/>
    <w:rsid w:val="3A637173"/>
    <w:rsid w:val="3AFA5EDC"/>
    <w:rsid w:val="3B087A44"/>
    <w:rsid w:val="3BFF28A7"/>
    <w:rsid w:val="3C18693A"/>
    <w:rsid w:val="3C250DE2"/>
    <w:rsid w:val="3C523474"/>
    <w:rsid w:val="3C9B23C8"/>
    <w:rsid w:val="3CA64A3F"/>
    <w:rsid w:val="3CD805AE"/>
    <w:rsid w:val="3D37460C"/>
    <w:rsid w:val="3D836708"/>
    <w:rsid w:val="3DD570B2"/>
    <w:rsid w:val="3E146A0E"/>
    <w:rsid w:val="3E3D2F50"/>
    <w:rsid w:val="3E844E92"/>
    <w:rsid w:val="3E90551F"/>
    <w:rsid w:val="3EBB7E6B"/>
    <w:rsid w:val="3F395C70"/>
    <w:rsid w:val="3FD35D34"/>
    <w:rsid w:val="40133739"/>
    <w:rsid w:val="402879AC"/>
    <w:rsid w:val="40AB3EB6"/>
    <w:rsid w:val="40B321C4"/>
    <w:rsid w:val="40FF1F59"/>
    <w:rsid w:val="41066292"/>
    <w:rsid w:val="41430D46"/>
    <w:rsid w:val="41905687"/>
    <w:rsid w:val="41921472"/>
    <w:rsid w:val="41A56B53"/>
    <w:rsid w:val="41D62D15"/>
    <w:rsid w:val="4222148F"/>
    <w:rsid w:val="422C3A04"/>
    <w:rsid w:val="42342BCD"/>
    <w:rsid w:val="4244110B"/>
    <w:rsid w:val="426519A4"/>
    <w:rsid w:val="436C3C5F"/>
    <w:rsid w:val="43A041FA"/>
    <w:rsid w:val="43AE2411"/>
    <w:rsid w:val="44603DDC"/>
    <w:rsid w:val="450C633D"/>
    <w:rsid w:val="459866FD"/>
    <w:rsid w:val="45CC5428"/>
    <w:rsid w:val="45E200B5"/>
    <w:rsid w:val="45FD6A6F"/>
    <w:rsid w:val="46A64365"/>
    <w:rsid w:val="46D516D4"/>
    <w:rsid w:val="470B5E8E"/>
    <w:rsid w:val="4755335E"/>
    <w:rsid w:val="47C60231"/>
    <w:rsid w:val="488A4348"/>
    <w:rsid w:val="48B94FD3"/>
    <w:rsid w:val="48DF42FE"/>
    <w:rsid w:val="491015C4"/>
    <w:rsid w:val="49397929"/>
    <w:rsid w:val="49402C35"/>
    <w:rsid w:val="4950340D"/>
    <w:rsid w:val="49CD1CE5"/>
    <w:rsid w:val="49F43821"/>
    <w:rsid w:val="4A553B62"/>
    <w:rsid w:val="4A822DDA"/>
    <w:rsid w:val="4A926276"/>
    <w:rsid w:val="4AF27722"/>
    <w:rsid w:val="4B30611A"/>
    <w:rsid w:val="4B7671DD"/>
    <w:rsid w:val="4B8516D1"/>
    <w:rsid w:val="4BBA1F84"/>
    <w:rsid w:val="4BD3593F"/>
    <w:rsid w:val="4C5843F2"/>
    <w:rsid w:val="4C6865F6"/>
    <w:rsid w:val="4C992769"/>
    <w:rsid w:val="4D7E7ED0"/>
    <w:rsid w:val="4DEB16F6"/>
    <w:rsid w:val="4E224F2A"/>
    <w:rsid w:val="4E45474B"/>
    <w:rsid w:val="4EC36C39"/>
    <w:rsid w:val="4ECF45AB"/>
    <w:rsid w:val="4F750707"/>
    <w:rsid w:val="4FBC5AA3"/>
    <w:rsid w:val="4FFD1CCD"/>
    <w:rsid w:val="503020C0"/>
    <w:rsid w:val="50FA5570"/>
    <w:rsid w:val="51E52054"/>
    <w:rsid w:val="5215709E"/>
    <w:rsid w:val="52E02D8A"/>
    <w:rsid w:val="52FF5AC8"/>
    <w:rsid w:val="532615F1"/>
    <w:rsid w:val="53393C74"/>
    <w:rsid w:val="53512FAE"/>
    <w:rsid w:val="553C7C83"/>
    <w:rsid w:val="558D3EF6"/>
    <w:rsid w:val="55BA70AF"/>
    <w:rsid w:val="55EA3F9D"/>
    <w:rsid w:val="568913F6"/>
    <w:rsid w:val="56935927"/>
    <w:rsid w:val="56F332F7"/>
    <w:rsid w:val="574E6DF4"/>
    <w:rsid w:val="576E2650"/>
    <w:rsid w:val="57CD7247"/>
    <w:rsid w:val="585A11F2"/>
    <w:rsid w:val="5939546F"/>
    <w:rsid w:val="59A22617"/>
    <w:rsid w:val="5A1B6B2A"/>
    <w:rsid w:val="5A1D52F8"/>
    <w:rsid w:val="5AE86286"/>
    <w:rsid w:val="5B072B3D"/>
    <w:rsid w:val="5B875480"/>
    <w:rsid w:val="5B930C8F"/>
    <w:rsid w:val="5B931B5E"/>
    <w:rsid w:val="5C613D9C"/>
    <w:rsid w:val="5CA24A3C"/>
    <w:rsid w:val="5CFF7D94"/>
    <w:rsid w:val="5D2E1A3C"/>
    <w:rsid w:val="5D495025"/>
    <w:rsid w:val="5D715145"/>
    <w:rsid w:val="5DCC551F"/>
    <w:rsid w:val="5E877F17"/>
    <w:rsid w:val="5EA97BEC"/>
    <w:rsid w:val="5EDF7069"/>
    <w:rsid w:val="5F573E30"/>
    <w:rsid w:val="5F7D3D23"/>
    <w:rsid w:val="600C1F6F"/>
    <w:rsid w:val="60143DEB"/>
    <w:rsid w:val="60C928D5"/>
    <w:rsid w:val="61566B87"/>
    <w:rsid w:val="61762BA0"/>
    <w:rsid w:val="61C67C7A"/>
    <w:rsid w:val="622605A1"/>
    <w:rsid w:val="622D0553"/>
    <w:rsid w:val="629C0AA2"/>
    <w:rsid w:val="62EF380F"/>
    <w:rsid w:val="637B2816"/>
    <w:rsid w:val="63F55294"/>
    <w:rsid w:val="647D5C41"/>
    <w:rsid w:val="64C60FDF"/>
    <w:rsid w:val="65C27BEC"/>
    <w:rsid w:val="65DC4226"/>
    <w:rsid w:val="66155616"/>
    <w:rsid w:val="6709771A"/>
    <w:rsid w:val="670A3441"/>
    <w:rsid w:val="67422870"/>
    <w:rsid w:val="674B46DD"/>
    <w:rsid w:val="67783AF6"/>
    <w:rsid w:val="67791B8B"/>
    <w:rsid w:val="67E450CE"/>
    <w:rsid w:val="67E51542"/>
    <w:rsid w:val="680E7D9A"/>
    <w:rsid w:val="68DD374D"/>
    <w:rsid w:val="69002743"/>
    <w:rsid w:val="69A74665"/>
    <w:rsid w:val="69BC4FE8"/>
    <w:rsid w:val="69C148B9"/>
    <w:rsid w:val="69C6292C"/>
    <w:rsid w:val="6A494E47"/>
    <w:rsid w:val="6A877DF5"/>
    <w:rsid w:val="6B700D62"/>
    <w:rsid w:val="6CC06A11"/>
    <w:rsid w:val="6CED39C1"/>
    <w:rsid w:val="6D585C69"/>
    <w:rsid w:val="6D8075A9"/>
    <w:rsid w:val="6D9B1F3F"/>
    <w:rsid w:val="6DD00924"/>
    <w:rsid w:val="6E2A6F04"/>
    <w:rsid w:val="6E502196"/>
    <w:rsid w:val="6E762D5F"/>
    <w:rsid w:val="6E87619B"/>
    <w:rsid w:val="6EB63A42"/>
    <w:rsid w:val="6F683718"/>
    <w:rsid w:val="6F6B251E"/>
    <w:rsid w:val="6FFE531B"/>
    <w:rsid w:val="70175134"/>
    <w:rsid w:val="705D7756"/>
    <w:rsid w:val="707812F4"/>
    <w:rsid w:val="7086663D"/>
    <w:rsid w:val="708A314D"/>
    <w:rsid w:val="709E4CCE"/>
    <w:rsid w:val="70B762C1"/>
    <w:rsid w:val="723C218B"/>
    <w:rsid w:val="725146E0"/>
    <w:rsid w:val="72A171EB"/>
    <w:rsid w:val="72B14CF9"/>
    <w:rsid w:val="72B6288B"/>
    <w:rsid w:val="73313069"/>
    <w:rsid w:val="73360811"/>
    <w:rsid w:val="734E5838"/>
    <w:rsid w:val="740F6B81"/>
    <w:rsid w:val="74C31D2C"/>
    <w:rsid w:val="74D36761"/>
    <w:rsid w:val="74F0447A"/>
    <w:rsid w:val="753E4A50"/>
    <w:rsid w:val="75947C48"/>
    <w:rsid w:val="76D030A5"/>
    <w:rsid w:val="76D17F1A"/>
    <w:rsid w:val="76F64B76"/>
    <w:rsid w:val="777F5671"/>
    <w:rsid w:val="77906C5D"/>
    <w:rsid w:val="77F538F6"/>
    <w:rsid w:val="783427E2"/>
    <w:rsid w:val="783E487E"/>
    <w:rsid w:val="78917CDD"/>
    <w:rsid w:val="78D201EF"/>
    <w:rsid w:val="78DB6C5B"/>
    <w:rsid w:val="79241691"/>
    <w:rsid w:val="797925F2"/>
    <w:rsid w:val="79A255EB"/>
    <w:rsid w:val="79E23E52"/>
    <w:rsid w:val="79FD4C19"/>
    <w:rsid w:val="7A0718FA"/>
    <w:rsid w:val="7A850435"/>
    <w:rsid w:val="7B196E9A"/>
    <w:rsid w:val="7B3D77B4"/>
    <w:rsid w:val="7B6D7C9C"/>
    <w:rsid w:val="7B705F91"/>
    <w:rsid w:val="7BAA45A0"/>
    <w:rsid w:val="7C603E0F"/>
    <w:rsid w:val="7CC87B4E"/>
    <w:rsid w:val="7D4635A1"/>
    <w:rsid w:val="7D6D731D"/>
    <w:rsid w:val="7E215769"/>
    <w:rsid w:val="7E255785"/>
    <w:rsid w:val="7E4721B5"/>
    <w:rsid w:val="7E5045DD"/>
    <w:rsid w:val="7E7A214F"/>
    <w:rsid w:val="7EBF398E"/>
    <w:rsid w:val="7F052694"/>
    <w:rsid w:val="7FC62F58"/>
    <w:rsid w:val="7FD72FB1"/>
    <w:rsid w:val="7FE22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0"/>
    <w:pPr>
      <w:spacing w:line="360" w:lineRule="auto"/>
      <w:ind w:left="840" w:leftChars="200" w:hanging="420" w:hangingChars="200"/>
    </w:pPr>
    <w:rPr>
      <w:rFonts w:hint="eastAsia"/>
      <w:color w:val="000000"/>
      <w:kern w:val="0"/>
      <w:sz w:val="24"/>
    </w:rPr>
  </w:style>
  <w:style w:type="paragraph" w:styleId="3">
    <w:name w:val="Document Map"/>
    <w:basedOn w:val="1"/>
    <w:link w:val="14"/>
    <w:semiHidden/>
    <w:unhideWhenUsed/>
    <w:qFormat/>
    <w:uiPriority w:val="99"/>
    <w:rPr>
      <w:rFonts w:ascii="宋体" w:eastAsia="宋体"/>
      <w:sz w:val="18"/>
      <w:szCs w:val="18"/>
    </w:r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Char Char Char"/>
    <w:basedOn w:val="12"/>
    <w:qFormat/>
    <w:uiPriority w:val="0"/>
    <w:pPr>
      <w:shd w:val="clear" w:color="auto" w:fill="000080"/>
      <w:adjustRightInd w:val="0"/>
      <w:spacing w:line="436" w:lineRule="exact"/>
      <w:ind w:left="357" w:firstLine="0" w:firstLineChars="0"/>
      <w:jc w:val="left"/>
      <w:outlineLvl w:val="3"/>
    </w:pPr>
    <w:rPr>
      <w:rFonts w:eastAsia="宋体"/>
      <w:sz w:val="21"/>
      <w:szCs w:val="24"/>
    </w:rPr>
  </w:style>
  <w:style w:type="character" w:customStyle="1" w:styleId="14">
    <w:name w:val="文档结构图 Char"/>
    <w:basedOn w:val="7"/>
    <w:link w:val="3"/>
    <w:semiHidden/>
    <w:qFormat/>
    <w:uiPriority w:val="99"/>
    <w:rPr>
      <w:rFonts w:ascii="宋体" w:hAnsi="Times New Roman" w:eastAsia="宋体" w:cs="Times New Roman"/>
      <w:kern w:val="2"/>
      <w:sz w:val="18"/>
      <w:szCs w:val="18"/>
    </w:rPr>
  </w:style>
  <w:style w:type="character" w:customStyle="1" w:styleId="15">
    <w:name w:val="批注框文本 Char"/>
    <w:basedOn w:val="7"/>
    <w:link w:val="4"/>
    <w:semiHidden/>
    <w:qFormat/>
    <w:uiPriority w:val="99"/>
    <w:rPr>
      <w:rFonts w:ascii="Times New Roman" w:hAnsi="Times New Roman" w:eastAsia="仿宋_GB2312" w:cs="Times New Roman"/>
      <w:kern w:val="2"/>
      <w:sz w:val="18"/>
      <w:szCs w:val="18"/>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23</Pages>
  <Words>1842</Words>
  <Characters>10501</Characters>
  <Lines>87</Lines>
  <Paragraphs>24</Paragraphs>
  <TotalTime>18</TotalTime>
  <ScaleCrop>false</ScaleCrop>
  <LinksUpToDate>false</LinksUpToDate>
  <CharactersWithSpaces>12319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2018-06-29T07:10:00Z</dcterms:created>
  <dc:creator>HP Inc.</dc:creator>
  <cp:lastModifiedBy>零露</cp:lastModifiedBy>
  <cp:lastPrinted>2018-09-20T10:02:40Z</cp:lastPrinted>
  <dcterms:modified xsi:type="dcterms:W3CDTF">2018-09-20T10:04:18Z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