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E31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太白县烟草制品零售点合理布局规划</w:t>
      </w:r>
    </w:p>
    <w:p w14:paraId="695DFC2D">
      <w:pPr>
        <w:jc w:val="center"/>
        <w:rPr>
          <w:rFonts w:hint="eastAsia" w:ascii="方正小标宋简体"/>
          <w:color w:val="auto"/>
          <w:sz w:val="40"/>
          <w:szCs w:val="40"/>
          <w:highlight w:val="none"/>
        </w:rPr>
      </w:pPr>
    </w:p>
    <w:p w14:paraId="5B0375DA">
      <w:pPr>
        <w:keepNext w:val="0"/>
        <w:keepLines w:val="0"/>
        <w:pageBreakBefore w:val="0"/>
        <w:kinsoku/>
        <w:wordWrap/>
        <w:overflowPunct/>
        <w:topLinePunct w:val="0"/>
        <w:bidi w:val="0"/>
        <w:snapToGrid/>
        <w:spacing w:line="60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  则</w:t>
      </w:r>
    </w:p>
    <w:p w14:paraId="50AF0542">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黑体" w:hAnsi="黑体" w:eastAsia="黑体" w:cs="黑体"/>
          <w:color w:val="auto"/>
          <w:sz w:val="32"/>
          <w:szCs w:val="32"/>
        </w:rPr>
        <w:t>第一条</w:t>
      </w:r>
      <w:r>
        <w:rPr>
          <w:rFonts w:hint="eastAsia" w:ascii="仿宋_GB2312" w:eastAsia="仿宋_GB2312"/>
          <w:color w:val="auto"/>
          <w:sz w:val="32"/>
          <w:szCs w:val="32"/>
        </w:rPr>
        <w:t xml:space="preserve">  </w:t>
      </w:r>
      <w:r>
        <w:rPr>
          <w:rFonts w:hint="eastAsia" w:ascii="仿宋_GB2312" w:eastAsia="仿宋_GB2312"/>
          <w:color w:val="auto"/>
          <w:sz w:val="32"/>
          <w:szCs w:val="32"/>
          <w:lang w:eastAsia="zh-CN"/>
        </w:rPr>
        <w:t>为</w:t>
      </w:r>
      <w:r>
        <w:rPr>
          <w:rFonts w:hint="eastAsia" w:ascii="仿宋_GB2312" w:eastAsia="仿宋_GB2312"/>
          <w:color w:val="auto"/>
          <w:sz w:val="32"/>
          <w:szCs w:val="32"/>
        </w:rPr>
        <w:t>加强烟草专卖</w:t>
      </w:r>
      <w:r>
        <w:rPr>
          <w:rFonts w:hint="eastAsia" w:ascii="仿宋_GB2312" w:eastAsia="仿宋_GB2312"/>
          <w:color w:val="auto"/>
          <w:sz w:val="32"/>
          <w:szCs w:val="32"/>
          <w:lang w:eastAsia="zh-CN"/>
        </w:rPr>
        <w:t>零售</w:t>
      </w:r>
      <w:r>
        <w:rPr>
          <w:rFonts w:hint="eastAsia" w:ascii="仿宋_GB2312" w:eastAsia="仿宋_GB2312"/>
          <w:color w:val="auto"/>
          <w:sz w:val="32"/>
          <w:szCs w:val="32"/>
        </w:rPr>
        <w:t>许可管理，合理布局烟草制品零售点，规范卷烟市场流通秩序，保护未成年人身心健康，</w:t>
      </w:r>
      <w:r>
        <w:rPr>
          <w:rFonts w:hint="eastAsia" w:ascii="仿宋_GB2312" w:eastAsia="仿宋_GB2312"/>
          <w:color w:val="auto"/>
          <w:sz w:val="32"/>
          <w:szCs w:val="32"/>
          <w:lang w:eastAsia="zh-CN"/>
        </w:rPr>
        <w:t>进一步</w:t>
      </w:r>
      <w:r>
        <w:rPr>
          <w:rFonts w:hint="eastAsia" w:ascii="仿宋_GB2312" w:eastAsia="仿宋_GB2312"/>
          <w:color w:val="auto"/>
          <w:sz w:val="32"/>
          <w:szCs w:val="32"/>
        </w:rPr>
        <w:t>维护</w:t>
      </w:r>
      <w:r>
        <w:rPr>
          <w:rFonts w:hint="eastAsia" w:ascii="仿宋_GB2312" w:eastAsia="仿宋_GB2312"/>
          <w:color w:val="auto"/>
          <w:sz w:val="32"/>
          <w:szCs w:val="32"/>
          <w:lang w:eastAsia="zh-CN"/>
        </w:rPr>
        <w:t>国家利益和消费者</w:t>
      </w:r>
      <w:r>
        <w:rPr>
          <w:rFonts w:hint="eastAsia" w:ascii="仿宋_GB2312" w:eastAsia="仿宋_GB2312"/>
          <w:color w:val="auto"/>
          <w:sz w:val="32"/>
          <w:szCs w:val="32"/>
        </w:rPr>
        <w:t>的合法权益，根据《中华人民共和国行政许可法》《中华人民共和国未成年人保护法》《中华人民共和国烟草专卖法》《中华人民共和国烟草专卖法实施条例》《烟草专卖许可证管理办法》等法律、法规、规章，结合</w:t>
      </w:r>
      <w:r>
        <w:rPr>
          <w:rFonts w:hint="eastAsia" w:ascii="仿宋_GB2312" w:eastAsia="仿宋_GB2312"/>
          <w:color w:val="auto"/>
          <w:sz w:val="32"/>
          <w:szCs w:val="32"/>
          <w:lang w:eastAsia="zh-CN"/>
        </w:rPr>
        <w:t>太白</w:t>
      </w:r>
      <w:r>
        <w:rPr>
          <w:rFonts w:hint="eastAsia" w:ascii="仿宋_GB2312" w:eastAsia="仿宋_GB2312"/>
          <w:color w:val="auto"/>
          <w:sz w:val="32"/>
          <w:szCs w:val="32"/>
        </w:rPr>
        <w:t>县（以下简称我县）烟草制品零售市场实际，制定本规划。</w:t>
      </w:r>
    </w:p>
    <w:p w14:paraId="0A1E16CC">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黑体" w:hAnsi="黑体" w:eastAsia="黑体" w:cs="黑体"/>
          <w:color w:val="auto"/>
          <w:sz w:val="32"/>
          <w:szCs w:val="32"/>
        </w:rPr>
        <w:t>第二条</w:t>
      </w:r>
      <w:r>
        <w:rPr>
          <w:rFonts w:hint="eastAsia" w:ascii="仿宋_GB2312" w:eastAsia="仿宋_GB2312"/>
          <w:color w:val="auto"/>
          <w:sz w:val="32"/>
          <w:szCs w:val="32"/>
        </w:rPr>
        <w:t xml:space="preserve">  本规划适用于在我县行政区划内申请烟草专卖零售许可证经营卷烟、雪茄烟零售业务的公民、法人和其他组织。已取得烟草专卖零售许可证的公民、法人和其他组织，在许可证有效期内经营主体或经营地址发生变化，重新申办烟草专卖零售许可证的，遵照本规划。</w:t>
      </w:r>
    </w:p>
    <w:p w14:paraId="5EB02D77">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黑体" w:hAnsi="黑体" w:eastAsia="黑体" w:cs="黑体"/>
          <w:color w:val="auto"/>
          <w:sz w:val="32"/>
          <w:szCs w:val="32"/>
        </w:rPr>
        <w:t>第三条</w:t>
      </w:r>
      <w:r>
        <w:rPr>
          <w:rFonts w:hint="eastAsia" w:ascii="仿宋_GB2312" w:eastAsia="仿宋_GB2312"/>
          <w:color w:val="auto"/>
          <w:sz w:val="32"/>
          <w:szCs w:val="32"/>
        </w:rPr>
        <w:t xml:space="preserve">  本规划所称烟草制品零售点（以下简称零售点），是指依法取得烟草专卖零售许可证（经营范围为卷烟、雪茄烟本店零售，不含电子烟，下同）的公民、法人或其他组织开展烟草制品零售业务的经营场所。</w:t>
      </w:r>
    </w:p>
    <w:p w14:paraId="508530B0">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黑体" w:hAnsi="黑体" w:eastAsia="黑体" w:cs="黑体"/>
          <w:color w:val="auto"/>
          <w:sz w:val="32"/>
          <w:szCs w:val="32"/>
        </w:rPr>
        <w:t xml:space="preserve">第四条  </w:t>
      </w:r>
      <w:r>
        <w:rPr>
          <w:rFonts w:hint="eastAsia" w:ascii="仿宋_GB2312" w:eastAsia="仿宋_GB2312"/>
          <w:color w:val="auto"/>
          <w:sz w:val="32"/>
          <w:szCs w:val="32"/>
        </w:rPr>
        <w:t>零售点合理布局遵循以下基本原则：</w:t>
      </w:r>
    </w:p>
    <w:p w14:paraId="2FDC93FF">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olor w:val="auto"/>
          <w:sz w:val="32"/>
          <w:szCs w:val="32"/>
          <w:lang w:val="zh-CN"/>
        </w:rPr>
      </w:pPr>
      <w:r>
        <w:rPr>
          <w:rFonts w:hint="eastAsia" w:ascii="楷体_GB2312" w:hAnsi="楷体_GB2312" w:eastAsia="楷体_GB2312" w:cs="楷体_GB2312"/>
          <w:color w:val="auto"/>
          <w:sz w:val="32"/>
          <w:szCs w:val="32"/>
          <w:lang w:val="zh-CN"/>
        </w:rPr>
        <w:t>（一）依法行政原则。</w:t>
      </w:r>
      <w:r>
        <w:rPr>
          <w:rFonts w:hint="eastAsia" w:ascii="仿宋_GB2312" w:eastAsia="仿宋_GB2312"/>
          <w:color w:val="auto"/>
          <w:sz w:val="32"/>
          <w:szCs w:val="32"/>
          <w:lang w:val="zh-CN"/>
        </w:rPr>
        <w:t>烟草制品零售点合理布局规划以法律、法规、规章为依据，保证符合法定条件的行政相对人有依法取得烟草专卖零售许可证的平等权利。零售点布局规划经过深入调研，广泛听取意见，依法履行听证、备案等程序，按照相关规定及时公示，并向社会公布，其执行情况接受社会的监督，做到公开、公平、公正。</w:t>
      </w:r>
    </w:p>
    <w:p w14:paraId="628A24A5">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olor w:val="auto"/>
          <w:sz w:val="32"/>
          <w:szCs w:val="32"/>
          <w:lang w:val="zh-CN"/>
        </w:rPr>
      </w:pPr>
      <w:r>
        <w:rPr>
          <w:rFonts w:hint="eastAsia" w:ascii="楷体_GB2312" w:hAnsi="楷体_GB2312" w:eastAsia="楷体_GB2312" w:cs="楷体_GB2312"/>
          <w:color w:val="auto"/>
          <w:sz w:val="32"/>
          <w:szCs w:val="32"/>
          <w:lang w:val="zh-CN"/>
        </w:rPr>
        <w:t>（二）科学规划原则。</w:t>
      </w:r>
      <w:r>
        <w:rPr>
          <w:rFonts w:hint="eastAsia" w:ascii="仿宋_GB2312" w:eastAsia="仿宋_GB2312"/>
          <w:color w:val="auto"/>
          <w:sz w:val="32"/>
          <w:szCs w:val="32"/>
          <w:lang w:val="zh-CN"/>
        </w:rPr>
        <w:t>烟草制品零售点合理布局规划量化分析烟草制品零售相关的人口数量、地理位置、交通状况、经济发展水平、消费需求等因素，尊重客观事实，遵循市场规律，预测发展趋势，合理测算数量范围与间距标准，既便于消费者购买，又保护零售户经营利益，限制零售点之间无序竞争。</w:t>
      </w:r>
    </w:p>
    <w:p w14:paraId="0BAE2BEC">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olor w:val="auto"/>
          <w:sz w:val="32"/>
          <w:szCs w:val="32"/>
          <w:lang w:val="zh-CN"/>
        </w:rPr>
      </w:pPr>
      <w:r>
        <w:rPr>
          <w:rFonts w:hint="eastAsia" w:ascii="楷体_GB2312" w:hAnsi="楷体_GB2312" w:eastAsia="楷体_GB2312" w:cs="楷体_GB2312"/>
          <w:color w:val="auto"/>
          <w:sz w:val="32"/>
          <w:szCs w:val="32"/>
          <w:lang w:val="zh-CN"/>
        </w:rPr>
        <w:t>（三）服务社会原则。</w:t>
      </w:r>
      <w:r>
        <w:rPr>
          <w:rFonts w:hint="eastAsia" w:ascii="仿宋_GB2312" w:eastAsia="仿宋_GB2312"/>
          <w:color w:val="auto"/>
          <w:sz w:val="32"/>
          <w:szCs w:val="32"/>
          <w:lang w:val="zh-CN"/>
        </w:rPr>
        <w:t>烟草制品零售点合理布局规划以服务社会为主，统筹考虑控烟履约、未成年人保护、便利消费者和卷烟零售户经营利益等因素，关注民生，服务就业与稳定，对社会弱势群体予以重点帮扶和政策倾斜，提高政务服务水平，不断提升行政服务效能，方便群众办事。</w:t>
      </w:r>
    </w:p>
    <w:p w14:paraId="67937736">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olor w:val="auto"/>
          <w:sz w:val="32"/>
          <w:szCs w:val="32"/>
          <w:lang w:val="zh-CN"/>
        </w:rPr>
      </w:pPr>
      <w:r>
        <w:rPr>
          <w:rFonts w:hint="eastAsia" w:ascii="楷体_GB2312" w:hAnsi="楷体_GB2312" w:eastAsia="楷体_GB2312" w:cs="楷体_GB2312"/>
          <w:color w:val="auto"/>
          <w:sz w:val="32"/>
          <w:szCs w:val="32"/>
          <w:lang w:val="zh-CN"/>
        </w:rPr>
        <w:t>（四）均衡发展原则。</w:t>
      </w:r>
      <w:r>
        <w:rPr>
          <w:rFonts w:hint="eastAsia" w:ascii="仿宋_GB2312" w:eastAsia="仿宋_GB2312"/>
          <w:color w:val="auto"/>
          <w:sz w:val="32"/>
          <w:szCs w:val="32"/>
          <w:lang w:val="zh-CN"/>
        </w:rPr>
        <w:t>烟草制品零售点合理布局规划体现前瞻性，坚持均衡发展，保持零售点数量与烟草制品消费需求相适应、零售点分布与卷烟市场区位相协调，维持零售户数量的合理稳定，在便利消费的同时坚持零售点数量平衡。</w:t>
      </w:r>
    </w:p>
    <w:p w14:paraId="24AB89F5">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olor w:val="auto"/>
          <w:sz w:val="32"/>
          <w:szCs w:val="32"/>
        </w:rPr>
      </w:pPr>
      <w:r>
        <w:rPr>
          <w:rFonts w:ascii="黑体" w:hAnsi="黑体" w:eastAsia="黑体" w:cs="黑体"/>
          <w:color w:val="auto"/>
          <w:sz w:val="32"/>
          <w:szCs w:val="32"/>
        </w:rPr>
        <w:t>第</w:t>
      </w:r>
      <w:r>
        <w:rPr>
          <w:rFonts w:hint="eastAsia" w:ascii="黑体" w:hAnsi="黑体" w:eastAsia="黑体" w:cs="黑体"/>
          <w:color w:val="auto"/>
          <w:sz w:val="32"/>
          <w:szCs w:val="32"/>
          <w:lang w:eastAsia="zh-CN"/>
        </w:rPr>
        <w:t>五</w:t>
      </w:r>
      <w:r>
        <w:rPr>
          <w:rFonts w:ascii="黑体" w:hAnsi="黑体" w:eastAsia="黑体" w:cs="黑体"/>
          <w:color w:val="auto"/>
          <w:sz w:val="32"/>
          <w:szCs w:val="32"/>
        </w:rPr>
        <w:t>条</w:t>
      </w:r>
      <w:r>
        <w:rPr>
          <w:rFonts w:hint="eastAsia" w:ascii="黑体" w:hAnsi="黑体" w:eastAsia="黑体" w:cs="黑体"/>
          <w:color w:val="auto"/>
          <w:sz w:val="32"/>
          <w:szCs w:val="32"/>
        </w:rPr>
        <w:t xml:space="preserve">  </w:t>
      </w:r>
      <w:r>
        <w:rPr>
          <w:rFonts w:ascii="仿宋_GB2312" w:eastAsia="仿宋_GB2312"/>
          <w:color w:val="auto"/>
          <w:sz w:val="32"/>
          <w:szCs w:val="32"/>
        </w:rPr>
        <w:t>结合我</w:t>
      </w:r>
      <w:r>
        <w:rPr>
          <w:rFonts w:hint="eastAsia" w:ascii="仿宋_GB2312" w:eastAsia="仿宋_GB2312"/>
          <w:color w:val="auto"/>
          <w:sz w:val="32"/>
          <w:szCs w:val="32"/>
        </w:rPr>
        <w:t>县</w:t>
      </w:r>
      <w:r>
        <w:rPr>
          <w:rFonts w:ascii="仿宋_GB2312" w:eastAsia="仿宋_GB2312"/>
          <w:color w:val="auto"/>
          <w:sz w:val="32"/>
          <w:szCs w:val="32"/>
        </w:rPr>
        <w:t>经济发展需要，避免过度竞争，使</w:t>
      </w:r>
      <w:r>
        <w:rPr>
          <w:rFonts w:hint="eastAsia" w:ascii="仿宋_GB2312" w:eastAsia="仿宋_GB2312"/>
          <w:color w:val="auto"/>
          <w:sz w:val="32"/>
          <w:szCs w:val="32"/>
          <w:lang w:val="zh-CN"/>
        </w:rPr>
        <w:t>烟草制品零售点</w:t>
      </w:r>
      <w:r>
        <w:rPr>
          <w:rFonts w:ascii="仿宋_GB2312" w:eastAsia="仿宋_GB2312"/>
          <w:color w:val="auto"/>
          <w:sz w:val="32"/>
          <w:szCs w:val="32"/>
        </w:rPr>
        <w:t>数量和盈利水平适中，保持市场主体规模相对稳定</w:t>
      </w:r>
      <w:r>
        <w:rPr>
          <w:rFonts w:hint="eastAsia" w:ascii="仿宋_GB2312" w:eastAsia="仿宋_GB2312"/>
          <w:color w:val="auto"/>
          <w:sz w:val="32"/>
          <w:szCs w:val="32"/>
        </w:rPr>
        <w:t>，</w:t>
      </w:r>
      <w:r>
        <w:rPr>
          <w:rFonts w:ascii="仿宋_GB2312" w:eastAsia="仿宋_GB2312"/>
          <w:color w:val="auto"/>
          <w:sz w:val="32"/>
          <w:szCs w:val="32"/>
        </w:rPr>
        <w:t>增速合理。</w:t>
      </w:r>
    </w:p>
    <w:p w14:paraId="2644078C">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color w:val="auto"/>
          <w:highlight w:val="none"/>
        </w:rPr>
      </w:pPr>
      <w:r>
        <w:rPr>
          <w:rFonts w:ascii="黑体" w:hAnsi="黑体" w:eastAsia="黑体" w:cs="黑体"/>
          <w:color w:val="auto"/>
          <w:sz w:val="32"/>
          <w:szCs w:val="32"/>
        </w:rPr>
        <w:t>第</w:t>
      </w:r>
      <w:r>
        <w:rPr>
          <w:rFonts w:hint="eastAsia" w:ascii="黑体" w:hAnsi="黑体" w:eastAsia="黑体" w:cs="黑体"/>
          <w:color w:val="auto"/>
          <w:sz w:val="32"/>
          <w:szCs w:val="32"/>
          <w:lang w:eastAsia="zh-CN"/>
        </w:rPr>
        <w:t>六</w:t>
      </w:r>
      <w:r>
        <w:rPr>
          <w:rFonts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eastAsia="仿宋_GB2312"/>
          <w:color w:val="auto"/>
          <w:sz w:val="32"/>
          <w:szCs w:val="32"/>
          <w:lang w:val="en-US" w:eastAsia="zh-CN"/>
        </w:rPr>
        <w:t>零售点合理布局根据经济社会发展、消费水平变化等，实行定期评价、动态管理，动态调整最小单元格及零售点数量，经法定程序发布后实施，新标准发布后旧标准自动废止。</w:t>
      </w:r>
    </w:p>
    <w:p w14:paraId="16A0DA2F">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eastAsia" w:ascii="黑体" w:hAnsi="黑体" w:eastAsia="黑体" w:cs="黑体"/>
          <w:bCs/>
          <w:color w:val="auto"/>
          <w:sz w:val="32"/>
          <w:szCs w:val="36"/>
          <w:lang w:eastAsia="zh-CN"/>
        </w:rPr>
      </w:pPr>
    </w:p>
    <w:p w14:paraId="6F1DA259">
      <w:pPr>
        <w:keepNext w:val="0"/>
        <w:keepLines w:val="0"/>
        <w:pageBreakBefore w:val="0"/>
        <w:widowControl w:val="0"/>
        <w:numPr>
          <w:ilvl w:val="0"/>
          <w:numId w:val="0"/>
        </w:numPr>
        <w:kinsoku/>
        <w:wordWrap/>
        <w:overflowPunct/>
        <w:topLinePunct w:val="0"/>
        <w:autoSpaceDE/>
        <w:autoSpaceDN/>
        <w:bidi w:val="0"/>
        <w:snapToGrid/>
        <w:spacing w:line="600" w:lineRule="exact"/>
        <w:jc w:val="center"/>
        <w:textAlignment w:val="auto"/>
        <w:rPr>
          <w:rFonts w:hint="eastAsia" w:ascii="黑体" w:hAnsi="黑体" w:eastAsia="黑体" w:cs="黑体"/>
          <w:bCs/>
          <w:color w:val="auto"/>
          <w:sz w:val="32"/>
          <w:szCs w:val="36"/>
        </w:rPr>
      </w:pPr>
      <w:r>
        <w:rPr>
          <w:rFonts w:hint="eastAsia" w:ascii="黑体" w:hAnsi="黑体" w:eastAsia="黑体" w:cs="黑体"/>
          <w:bCs/>
          <w:color w:val="auto"/>
          <w:sz w:val="32"/>
          <w:szCs w:val="36"/>
          <w:lang w:eastAsia="zh-CN"/>
        </w:rPr>
        <w:t>第二章</w:t>
      </w:r>
      <w:r>
        <w:rPr>
          <w:rFonts w:hint="eastAsia" w:ascii="黑体" w:hAnsi="黑体" w:eastAsia="黑体" w:cs="黑体"/>
          <w:bCs/>
          <w:color w:val="auto"/>
          <w:sz w:val="32"/>
          <w:szCs w:val="36"/>
          <w:lang w:val="en-US" w:eastAsia="zh-CN"/>
        </w:rPr>
        <w:t xml:space="preserve">  </w:t>
      </w:r>
      <w:r>
        <w:rPr>
          <w:rFonts w:hint="eastAsia" w:ascii="黑体" w:hAnsi="黑体" w:eastAsia="黑体" w:cs="黑体"/>
          <w:bCs/>
          <w:color w:val="auto"/>
          <w:sz w:val="32"/>
          <w:szCs w:val="36"/>
        </w:rPr>
        <w:t>布局标准</w:t>
      </w:r>
    </w:p>
    <w:p w14:paraId="7E7E357F">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lang w:val="en-US" w:eastAsia="zh-CN"/>
        </w:rPr>
        <w:t>第七条</w:t>
      </w:r>
      <w:r>
        <w:rPr>
          <w:rFonts w:hint="eastAsia" w:ascii="仿宋_GB2312" w:hAnsi="Times New Roman" w:eastAsia="仿宋_GB2312" w:cs="Times New Roman"/>
          <w:color w:val="auto"/>
          <w:sz w:val="32"/>
          <w:szCs w:val="32"/>
          <w:highlight w:val="none"/>
          <w:lang w:val="en-US" w:eastAsia="zh-CN"/>
        </w:rPr>
        <w:t xml:space="preserve">  本规划采取“总量+间距+限制性规定”的模式，各区域市场单元内设置零售点应当在限制性规定外，按照各区域网格单元布局标准设置零售点。  </w:t>
      </w:r>
    </w:p>
    <w:p w14:paraId="5A65DED9">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（一）市场单元划分</w:t>
      </w:r>
    </w:p>
    <w:p w14:paraId="7E735406">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根据县域商业网点历史形成的集中经营特征、居民居住特点、消费购买习惯等因素，结合县域行政设置、地理位置和社会功能属性，将我县烟草制品零售市场分为城区、乡镇、行政村、特殊区域四个市场单元。</w:t>
      </w:r>
    </w:p>
    <w:p w14:paraId="406CFCF8">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（二）网格单元划分</w:t>
      </w:r>
    </w:p>
    <w:p w14:paraId="4DE0A33E">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城区指太白县城主体区域，以汉源路以东、北环路以南、军民路以西、虢川河以北（见附件1）的主副干道为商业区，划分为12个单元格，按照“总量+间距”模式设置零售点，新设零售点与现有零售点间的距离不少于30米。</w:t>
      </w:r>
    </w:p>
    <w:p w14:paraId="0814EAFC">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2.乡镇指各镇政府驻地所在街道（包含镇政府驻地所在行政村），划分为6个单元格（见附件2），包括靖口镇街道（关上街）、桃川镇街道（灵丹庙村）、鹦鸽镇街道（鹦鸽街村）、王家堎镇街道（中明村）、太白河镇街道（兴隆村）、黄柏塬镇街道（黄柏塬村），按照“总量+间距”模式设置零售点，新设零售点与现有零售点间的距离不少于20米。</w:t>
      </w:r>
    </w:p>
    <w:p w14:paraId="44376603">
      <w:pPr>
        <w:wordWrap w:val="0"/>
        <w:spacing w:line="360" w:lineRule="auto"/>
        <w:ind w:firstLine="640" w:firstLineChars="200"/>
        <w:rPr>
          <w:rFonts w:hint="eastAsia" w:ascii="仿宋_GB2312" w:hAnsi="仿宋_GB2312" w:eastAsia="仿宋_GB2312" w:cs="仿宋_GB2312"/>
          <w:color w:val="auto"/>
          <w:highlight w:val="none"/>
          <w:lang w:val="en-US" w:eastAsia="zh-CN"/>
        </w:rPr>
      </w:pPr>
      <w:r>
        <w:rPr>
          <w:rFonts w:hint="eastAsia" w:ascii="仿宋_GB2312" w:hAnsi="Times New Roman" w:eastAsia="仿宋_GB2312" w:cs="Times New Roman"/>
          <w:color w:val="auto"/>
          <w:sz w:val="32"/>
          <w:szCs w:val="32"/>
          <w:highlight w:val="none"/>
          <w:lang w:val="en-US" w:eastAsia="zh-CN"/>
        </w:rPr>
        <w:t>3.行政村（不含镇政府驻地所在行政村）指依法设定的建制村，包含行政村所辖全部区域，划分为37个网格单元（见附件2），行政村</w:t>
      </w:r>
      <w:r>
        <w:rPr>
          <w:rFonts w:hint="eastAsia" w:ascii="仿宋_GB2312" w:hAnsi="仿宋_GB2312" w:eastAsia="仿宋_GB2312" w:cs="仿宋_GB2312"/>
          <w:sz w:val="32"/>
          <w:szCs w:val="32"/>
          <w:highlight w:val="none"/>
        </w:rPr>
        <w:t>按照现有零售点数量并综合参考消费水平、人</w:t>
      </w:r>
      <w:r>
        <w:rPr>
          <w:rFonts w:hint="eastAsia" w:ascii="仿宋" w:hAnsi="仿宋" w:eastAsia="仿宋" w:cs="仿宋"/>
          <w:sz w:val="32"/>
          <w:szCs w:val="32"/>
          <w:highlight w:val="none"/>
        </w:rPr>
        <w:t>口</w:t>
      </w:r>
      <w:r>
        <w:rPr>
          <w:rFonts w:hint="eastAsia" w:ascii="仿宋" w:hAnsi="仿宋" w:eastAsia="仿宋" w:cs="仿宋"/>
          <w:sz w:val="32"/>
          <w:szCs w:val="32"/>
          <w:highlight w:val="none"/>
          <w:lang w:val="en-US" w:eastAsia="zh-CN"/>
        </w:rPr>
        <w:t>数量</w:t>
      </w:r>
      <w:r>
        <w:rPr>
          <w:rFonts w:hint="eastAsia" w:ascii="仿宋" w:hAnsi="仿宋" w:eastAsia="仿宋" w:cs="仿宋"/>
          <w:sz w:val="32"/>
          <w:szCs w:val="32"/>
          <w:highlight w:val="none"/>
        </w:rPr>
        <w:t>增减等因素</w:t>
      </w:r>
      <w:r>
        <w:rPr>
          <w:rFonts w:hint="eastAsia" w:ascii="仿宋_GB2312" w:hAnsi="Times New Roman" w:eastAsia="仿宋_GB2312" w:cs="Times New Roman"/>
          <w:color w:val="auto"/>
          <w:sz w:val="32"/>
          <w:szCs w:val="32"/>
          <w:highlight w:val="none"/>
          <w:lang w:val="en-US" w:eastAsia="zh-CN"/>
        </w:rPr>
        <w:t>采取总量控制的模式进行布局。</w:t>
      </w:r>
      <w:r>
        <w:rPr>
          <w:rFonts w:hint="eastAsia" w:ascii="仿宋" w:hAnsi="仿宋" w:eastAsia="仿宋" w:cs="仿宋"/>
          <w:sz w:val="32"/>
          <w:szCs w:val="32"/>
          <w:highlight w:val="none"/>
          <w:lang w:val="en-US" w:eastAsia="zh-CN"/>
        </w:rPr>
        <w:t>新设零售点需符合该区域所在最小市场单元零售点规划数量要求（规划数量见附件）。</w:t>
      </w:r>
    </w:p>
    <w:p w14:paraId="3F323627">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4.特殊区域指根据县域实际情况，不适用本条款第1、2、3项范围内的区域。</w:t>
      </w:r>
    </w:p>
    <w:p w14:paraId="1F374962">
      <w:pPr>
        <w:spacing w:line="360" w:lineRule="auto"/>
        <w:ind w:firstLine="423"/>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（1）由政府统一规划建设的农贸综合批发市场、专业市场、贸易市场、物流园区内部，从严限量设置零售点，防止出现连片、集中经营现象进而形成自由批发交易市场，</w:t>
      </w:r>
      <w:r>
        <w:rPr>
          <w:rFonts w:hint="eastAsia" w:ascii="仿宋_GB2312" w:hAnsi="仿宋_GB2312" w:eastAsia="仿宋_GB2312" w:cs="仿宋_GB2312"/>
          <w:sz w:val="32"/>
          <w:szCs w:val="32"/>
          <w:highlight w:val="none"/>
        </w:rPr>
        <w:t>新设零售</w:t>
      </w:r>
      <w:r>
        <w:rPr>
          <w:rFonts w:hint="eastAsia" w:ascii="仿宋_GB2312" w:hAnsi="Times New Roman" w:eastAsia="仿宋_GB2312" w:cs="Times New Roman"/>
          <w:color w:val="auto"/>
          <w:sz w:val="32"/>
          <w:szCs w:val="32"/>
          <w:highlight w:val="none"/>
          <w:lang w:val="en-US" w:eastAsia="zh-CN"/>
        </w:rPr>
        <w:t>点与已有零售点的可行间距不低于30米，设置总数最多不超过2个。</w:t>
      </w:r>
    </w:p>
    <w:p w14:paraId="67D8F340">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（2）宾馆、酒店在营业场所内部设有独立的吧台和卷烟存放场所，且营业面积在1000㎡以上的，</w:t>
      </w:r>
      <w:r>
        <w:rPr>
          <w:rFonts w:hint="eastAsia" w:ascii="仿宋_GB2312" w:eastAsia="仿宋_GB2312" w:cs="Times New Roman"/>
          <w:color w:val="auto"/>
          <w:sz w:val="32"/>
          <w:szCs w:val="32"/>
          <w:highlight w:val="none"/>
          <w:lang w:val="en-US" w:eastAsia="zh-CN"/>
        </w:rPr>
        <w:t>在符合本区域合理布局要求的情况下，</w:t>
      </w:r>
      <w:r>
        <w:rPr>
          <w:rFonts w:hint="eastAsia" w:ascii="仿宋_GB2312" w:hAnsi="Times New Roman" w:eastAsia="仿宋_GB2312" w:cs="Times New Roman"/>
          <w:color w:val="auto"/>
          <w:sz w:val="32"/>
          <w:szCs w:val="32"/>
          <w:highlight w:val="none"/>
          <w:lang w:val="en-US" w:eastAsia="zh-CN"/>
        </w:rPr>
        <w:t>可设置1个零售点。</w:t>
      </w:r>
    </w:p>
    <w:p w14:paraId="6DB510A3">
      <w:pPr>
        <w:spacing w:line="360" w:lineRule="auto"/>
        <w:ind w:firstLine="423"/>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风景区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娱乐区、商业区等以旅游、休闲、游玩为主的场所</w:t>
      </w:r>
      <w:r>
        <w:rPr>
          <w:rFonts w:hint="eastAsia" w:ascii="仿宋_GB2312" w:eastAsia="仿宋_GB2312"/>
          <w:color w:val="auto"/>
          <w:sz w:val="32"/>
          <w:szCs w:val="32"/>
          <w:highlight w:val="none"/>
        </w:rPr>
        <w:t>内可以设置</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个</w:t>
      </w:r>
      <w:r>
        <w:rPr>
          <w:rFonts w:hint="eastAsia" w:ascii="仿宋_GB2312" w:hAnsi="Times New Roman" w:eastAsia="仿宋_GB2312" w:cs="Times New Roman"/>
          <w:color w:val="auto"/>
          <w:sz w:val="32"/>
          <w:szCs w:val="32"/>
          <w:highlight w:val="none"/>
        </w:rPr>
        <w:t>零售点</w:t>
      </w:r>
      <w:r>
        <w:rPr>
          <w:rFonts w:hint="eastAsia" w:ascii="仿宋_GB2312" w:hAnsi="Times New Roman" w:eastAsia="仿宋_GB2312" w:cs="Times New Roman"/>
          <w:color w:val="auto"/>
          <w:sz w:val="32"/>
          <w:szCs w:val="32"/>
          <w:highlight w:val="none"/>
          <w:lang w:eastAsia="zh-CN"/>
        </w:rPr>
        <w:t>，</w:t>
      </w:r>
      <w:r>
        <w:rPr>
          <w:rFonts w:hint="eastAsia" w:ascii="仿宋_GB2312" w:hAnsi="仿宋_GB2312" w:eastAsia="仿宋_GB2312" w:cs="仿宋_GB2312"/>
          <w:sz w:val="32"/>
          <w:szCs w:val="32"/>
          <w:highlight w:val="none"/>
        </w:rPr>
        <w:t>新设零售点与已有零售点的可行间距不低于</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米</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文化旅游管理部门或森林管理部门有规定不宜设置零售点的，不予发放烟草专卖零售许可证。</w:t>
      </w:r>
    </w:p>
    <w:p w14:paraId="5F0EC39F">
      <w:pPr>
        <w:spacing w:line="360" w:lineRule="auto"/>
        <w:ind w:firstLine="423"/>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（4）工</w:t>
      </w:r>
      <w:r>
        <w:rPr>
          <w:rFonts w:hint="eastAsia" w:ascii="仿宋_GB2312" w:eastAsia="仿宋_GB2312"/>
          <w:color w:val="auto"/>
          <w:sz w:val="32"/>
          <w:szCs w:val="32"/>
          <w:highlight w:val="none"/>
        </w:rPr>
        <w:t>矿</w:t>
      </w:r>
      <w:r>
        <w:rPr>
          <w:rFonts w:hint="eastAsia" w:ascii="仿宋_GB2312" w:eastAsia="仿宋_GB2312"/>
          <w:color w:val="auto"/>
          <w:sz w:val="32"/>
          <w:szCs w:val="32"/>
          <w:highlight w:val="none"/>
          <w:lang w:val="en-US" w:eastAsia="zh-CN"/>
        </w:rPr>
        <w:t>企业</w:t>
      </w:r>
      <w:r>
        <w:rPr>
          <w:rFonts w:hint="eastAsia" w:ascii="仿宋_GB2312" w:eastAsia="仿宋_GB2312"/>
          <w:color w:val="auto"/>
          <w:sz w:val="32"/>
          <w:szCs w:val="32"/>
          <w:highlight w:val="none"/>
        </w:rPr>
        <w:t>生活区内可设置</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个零售点。</w:t>
      </w:r>
    </w:p>
    <w:p w14:paraId="362BA46A">
      <w:pPr>
        <w:spacing w:line="360" w:lineRule="auto"/>
        <w:ind w:firstLine="423"/>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（5）</w:t>
      </w:r>
      <w:r>
        <w:rPr>
          <w:rFonts w:hint="eastAsia" w:ascii="仿宋_GB2312" w:hAnsi="仿宋_GB2312" w:eastAsia="仿宋_GB2312" w:cs="仿宋_GB2312"/>
          <w:sz w:val="32"/>
          <w:szCs w:val="32"/>
        </w:rPr>
        <w:t>高速公路服务区（含服务区加油站），道路单侧可设置2个零售点，新设零售点与原有零售点间距按不低于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0米</w:t>
      </w:r>
      <w:r>
        <w:rPr>
          <w:rFonts w:hint="eastAsia" w:ascii="仿宋_GB2312" w:hAnsi="仿宋_GB2312" w:eastAsia="仿宋_GB2312" w:cs="仿宋_GB2312"/>
          <w:sz w:val="32"/>
          <w:szCs w:val="32"/>
          <w:lang w:eastAsia="zh-CN"/>
        </w:rPr>
        <w:t>。</w:t>
      </w:r>
    </w:p>
    <w:p w14:paraId="03914779">
      <w:pPr>
        <w:wordWrap w:val="0"/>
        <w:topLinePunct/>
        <w:spacing w:line="360" w:lineRule="auto"/>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lang w:val="en-US" w:eastAsia="zh-CN"/>
        </w:rPr>
        <w:t>太白县县城区域以外居民住宅小区</w:t>
      </w:r>
      <w:r>
        <w:rPr>
          <w:rFonts w:hint="eastAsia" w:ascii="仿宋_GB2312" w:eastAsia="仿宋_GB2312" w:cs="Times New Roman"/>
          <w:color w:val="auto"/>
          <w:sz w:val="32"/>
          <w:szCs w:val="32"/>
          <w:highlight w:val="none"/>
          <w:lang w:val="en-US" w:eastAsia="zh-CN"/>
        </w:rPr>
        <w:t>（包含小区周边配套的商业街、步行街等）</w:t>
      </w:r>
      <w:r>
        <w:rPr>
          <w:rFonts w:hint="eastAsia" w:ascii="仿宋_GB2312" w:hAnsi="Times New Roman" w:eastAsia="仿宋_GB2312" w:cs="Times New Roman"/>
          <w:color w:val="auto"/>
          <w:sz w:val="32"/>
          <w:szCs w:val="32"/>
          <w:highlight w:val="none"/>
          <w:lang w:val="en-US" w:eastAsia="zh-CN"/>
        </w:rPr>
        <w:t>，每30米可设置</w:t>
      </w:r>
      <w:r>
        <w:rPr>
          <w:rFonts w:hint="eastAsia" w:ascii="仿宋_GB2312" w:hAnsi="仿宋_GB2312" w:eastAsia="仿宋_GB2312" w:cs="仿宋_GB2312"/>
          <w:sz w:val="32"/>
          <w:szCs w:val="32"/>
          <w:highlight w:val="none"/>
        </w:rPr>
        <w:t>1个零售点</w:t>
      </w:r>
      <w:r>
        <w:rPr>
          <w:rFonts w:hint="eastAsia" w:ascii="仿宋_GB2312" w:hAnsi="仿宋_GB2312" w:eastAsia="仿宋_GB2312" w:cs="仿宋_GB2312"/>
          <w:sz w:val="32"/>
          <w:szCs w:val="32"/>
          <w:highlight w:val="none"/>
          <w:lang w:eastAsia="zh-CN"/>
        </w:rPr>
        <w:t>。</w:t>
      </w:r>
    </w:p>
    <w:p w14:paraId="390C00E3">
      <w:pPr>
        <w:wordWrap w:val="0"/>
        <w:topLinePunct/>
        <w:spacing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辖区内国道公路沿线加油站、加气站（指除辖区县城范围和高速服务区加油站、加气站外）在符合安全、消防等相关规定的前提下，每个加油站、加气站可设置1个零售点（加油站、加气站在同一场所的视为一体）。</w:t>
      </w:r>
    </w:p>
    <w:p w14:paraId="510ED83C">
      <w:pPr>
        <w:wordWrap w:val="0"/>
        <w:topLinePunct/>
        <w:spacing w:line="360" w:lineRule="auto"/>
        <w:ind w:firstLine="640" w:firstLineChars="200"/>
        <w:jc w:val="left"/>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（8）重大工程项目生活服务区(施工期在一年以上的)，施工人员100人以上的可临时设置1个零售点。</w:t>
      </w:r>
    </w:p>
    <w:p w14:paraId="0BA1412E">
      <w:pPr>
        <w:wordWrap w:val="0"/>
        <w:topLinePunct/>
        <w:spacing w:line="360" w:lineRule="auto"/>
        <w:ind w:firstLine="640"/>
        <w:jc w:val="left"/>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（9）</w:t>
      </w:r>
      <w:r>
        <w:rPr>
          <w:rFonts w:hint="eastAsia" w:ascii="仿宋_GB2312" w:eastAsia="仿宋_GB2312"/>
          <w:color w:val="auto"/>
          <w:sz w:val="32"/>
          <w:szCs w:val="32"/>
          <w:highlight w:val="none"/>
          <w:lang w:val="en-US" w:eastAsia="zh-CN"/>
        </w:rPr>
        <w:t>主营业务与烟草制品零售业务没有直接互补营销关系的经营场所，包括但不限于母婴用品、学生用品、文化体育、书报刊店、传真打印、医械药店、洗浴按摩、足疗</w:t>
      </w:r>
      <w:r>
        <w:rPr>
          <w:rFonts w:hint="eastAsia" w:ascii="仿宋_GB2312" w:eastAsia="仿宋_GB2312"/>
          <w:color w:val="auto"/>
          <w:sz w:val="32"/>
          <w:szCs w:val="32"/>
          <w:highlight w:val="none"/>
        </w:rPr>
        <w:t>美容</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美发美甲</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五金建材、家用电器、电子音像、金银珠宝、服装鞋帽、床上用品、劳保用品、汽车销售、物流配送、快递网点、中介劳务、寄卖典当、祭祀用品、殡葬服务、金融证券、彩票销售、仪器仪表、通信器材、农具农资、渔具店、宠物店、照相馆、旅行社、旅店饭馆、熟食快餐、餐饮小吃、烧烤店、冷饮店、蛋糕店、鲜花店、瓜果蔬菜、粮油调料、生鲜肉品、海产品、水产品、棋牌茶楼、健身场馆、工艺美术、广告设计、影剧院、歌舞厅、游戏厅、台球厅、网吧、</w:t>
      </w:r>
      <w:r>
        <w:rPr>
          <w:rFonts w:hint="eastAsia" w:ascii="仿宋_GB2312" w:eastAsia="仿宋_GB2312"/>
          <w:color w:val="auto"/>
          <w:sz w:val="32"/>
          <w:szCs w:val="32"/>
          <w:highlight w:val="none"/>
        </w:rPr>
        <w:t>建材装潢、化妆洗涤</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修理修配、</w:t>
      </w:r>
      <w:r>
        <w:rPr>
          <w:rFonts w:hint="eastAsia" w:ascii="仿宋_GB2312" w:eastAsia="仿宋_GB2312"/>
          <w:color w:val="auto"/>
          <w:sz w:val="32"/>
          <w:szCs w:val="32"/>
          <w:highlight w:val="none"/>
        </w:rPr>
        <w:t>汽车美容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装饰装修、皮革塑料、家具家私</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废品回收、公厕</w:t>
      </w:r>
      <w:r>
        <w:rPr>
          <w:rFonts w:hint="eastAsia" w:ascii="仿宋_GB2312" w:eastAsia="仿宋_GB2312"/>
          <w:color w:val="auto"/>
          <w:sz w:val="32"/>
          <w:szCs w:val="32"/>
          <w:highlight w:val="none"/>
          <w:lang w:val="en-US" w:eastAsia="zh-CN"/>
        </w:rPr>
        <w:t>等，</w:t>
      </w:r>
      <w:r>
        <w:rPr>
          <w:rFonts w:hint="eastAsia" w:ascii="仿宋_GB2312" w:hAnsi="仿宋_GB2312" w:eastAsia="仿宋_GB2312" w:cs="仿宋_GB2312"/>
          <w:color w:val="auto"/>
          <w:sz w:val="32"/>
          <w:szCs w:val="32"/>
          <w:lang w:val="en-US" w:eastAsia="zh-CN"/>
        </w:rPr>
        <w:t>其设置零售点数量不超过全县零售点规划数量的1%，且与最近零售点之间的可同行距离不小于100米。</w:t>
      </w:r>
    </w:p>
    <w:p w14:paraId="682777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第八条</w:t>
      </w:r>
      <w:r>
        <w:rPr>
          <w:rFonts w:hint="eastAsia" w:ascii="黑体" w:hAnsi="黑体" w:eastAsia="黑体" w:cs="黑体"/>
          <w:color w:val="auto"/>
          <w:highlight w:val="none"/>
          <w:lang w:val="en-US" w:eastAsia="zh-CN"/>
        </w:rPr>
        <w:t xml:space="preserve">  </w:t>
      </w:r>
      <w:r>
        <w:rPr>
          <w:rFonts w:hint="eastAsia" w:ascii="仿宋_GB2312" w:eastAsia="仿宋_GB2312"/>
          <w:color w:val="auto"/>
          <w:sz w:val="32"/>
          <w:szCs w:val="32"/>
          <w:highlight w:val="none"/>
          <w:lang w:val="en-US" w:eastAsia="zh-CN"/>
        </w:rPr>
        <w:t>单元格分为发展、一般、饱和三种单元格属性。</w:t>
      </w:r>
    </w:p>
    <w:p w14:paraId="11FAEA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lang w:val="en-US" w:eastAsia="zh-CN"/>
        </w:rPr>
        <w:t>发展区</w:t>
      </w:r>
      <w:r>
        <w:rPr>
          <w:rFonts w:hint="eastAsia" w:ascii="楷体_GB2312" w:hAnsi="楷体_GB2312" w:eastAsia="楷体_GB2312" w:cs="楷体_GB2312"/>
          <w:color w:val="auto"/>
          <w:sz w:val="32"/>
          <w:szCs w:val="32"/>
          <w:highlight w:val="none"/>
          <w:lang w:val="en-US" w:eastAsia="zh-CN"/>
        </w:rPr>
        <w:t>：</w:t>
      </w:r>
      <w:r>
        <w:rPr>
          <w:rFonts w:hint="eastAsia" w:ascii="仿宋_GB2312" w:eastAsia="仿宋_GB2312"/>
          <w:color w:val="auto"/>
          <w:sz w:val="32"/>
          <w:szCs w:val="32"/>
          <w:highlight w:val="none"/>
          <w:lang w:val="en-US" w:eastAsia="zh-CN"/>
        </w:rPr>
        <w:t>区域网格内现存零售户数量小于零售点规划数量的为发展区。该区域内在符合合理化布局要求的情况下，实行“有进有出”的要求布点，可办理烟草专卖零售许可证。</w:t>
      </w:r>
    </w:p>
    <w:p w14:paraId="2AFB7B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（二）一般区：</w:t>
      </w:r>
      <w:r>
        <w:rPr>
          <w:rFonts w:hint="eastAsia" w:ascii="仿宋_GB2312" w:eastAsia="仿宋_GB2312"/>
          <w:color w:val="auto"/>
          <w:sz w:val="32"/>
          <w:szCs w:val="32"/>
          <w:highlight w:val="none"/>
          <w:lang w:val="en-US" w:eastAsia="zh-CN"/>
        </w:rPr>
        <w:t>区域网格内现存零售户数量等于零售点规划数量的为一般区。该区域有注销、收回等情形导致现存零售户数量减少后低于零售点规划数量的，实行“退一进一”制度，总体保持零售点数量平稳。</w:t>
      </w:r>
    </w:p>
    <w:p w14:paraId="39570B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（三）饱和区：</w:t>
      </w:r>
      <w:r>
        <w:rPr>
          <w:rFonts w:hint="eastAsia" w:ascii="仿宋_GB2312" w:eastAsia="仿宋_GB2312"/>
          <w:color w:val="auto"/>
          <w:sz w:val="32"/>
          <w:szCs w:val="32"/>
          <w:highlight w:val="none"/>
          <w:lang w:val="en-US" w:eastAsia="zh-CN"/>
        </w:rPr>
        <w:t>区域网格内现存零售户数量大于零售点规划数量的为饱和区。该区域保持冻结不办理零售许可的状态，实行“只出不进”的要求，通过公平竞争、自然淘汰、依法注销等综合调控手段，逐步调整优化，最终达到零售点数量与市场的容量基本合理。</w:t>
      </w:r>
    </w:p>
    <w:p w14:paraId="383BD8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 xml:space="preserve">单元格属性根据现存零售户数量、零售点规划数量变化而调整，通过办证窗口向社会公示。 </w:t>
      </w:r>
    </w:p>
    <w:p w14:paraId="0EFC3B4B">
      <w:pPr>
        <w:keepNext w:val="0"/>
        <w:keepLines w:val="0"/>
        <w:pageBreakBefore w:val="0"/>
        <w:kinsoku/>
        <w:wordWrap/>
        <w:overflowPunct/>
        <w:topLinePunct w:val="0"/>
        <w:bidi w:val="0"/>
        <w:snapToGrid/>
        <w:spacing w:line="60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第三章  申办条件</w:t>
      </w:r>
    </w:p>
    <w:p w14:paraId="167CC6FD">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条</w:t>
      </w:r>
      <w:r>
        <w:rPr>
          <w:rFonts w:hint="eastAsia" w:ascii="仿宋_GB2312" w:eastAsia="仿宋_GB2312"/>
          <w:color w:val="auto"/>
          <w:sz w:val="32"/>
          <w:szCs w:val="32"/>
        </w:rPr>
        <w:t xml:space="preserve">  申请烟草专卖零售许可证应具备以下条件：</w:t>
      </w:r>
    </w:p>
    <w:p w14:paraId="356BC16B">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 xml:space="preserve">（一）具有与经营烟草制品零售业务相适应的资金； </w:t>
      </w:r>
    </w:p>
    <w:p w14:paraId="4205E582">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（二）有与住所相独立的固定经营场所；</w:t>
      </w:r>
    </w:p>
    <w:p w14:paraId="2F66CAC0">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（三）符合本规划的要求；</w:t>
      </w:r>
    </w:p>
    <w:p w14:paraId="65DE8FAB">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（四）</w:t>
      </w:r>
      <w:r>
        <w:rPr>
          <w:rFonts w:hint="eastAsia" w:ascii="仿宋_GB2312" w:eastAsia="仿宋_GB2312"/>
          <w:color w:val="auto"/>
          <w:sz w:val="32"/>
          <w:szCs w:val="32"/>
          <w:lang w:eastAsia="zh-CN"/>
        </w:rPr>
        <w:t>国家烟草专卖局</w:t>
      </w:r>
      <w:r>
        <w:rPr>
          <w:rFonts w:hint="eastAsia" w:ascii="仿宋_GB2312" w:eastAsia="仿宋_GB2312"/>
          <w:color w:val="auto"/>
          <w:sz w:val="32"/>
          <w:szCs w:val="32"/>
        </w:rPr>
        <w:t xml:space="preserve">规定的其他条件。 </w:t>
      </w:r>
    </w:p>
    <w:p w14:paraId="1351CFDE">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黑体" w:hAnsi="黑体" w:eastAsia="黑体" w:cs="黑体"/>
          <w:color w:val="auto"/>
          <w:sz w:val="32"/>
          <w:szCs w:val="32"/>
        </w:rPr>
        <w:t>第十条</w:t>
      </w:r>
      <w:r>
        <w:rPr>
          <w:rFonts w:hint="eastAsia" w:ascii="仿宋_GB2312" w:eastAsia="仿宋_GB2312"/>
          <w:color w:val="auto"/>
          <w:sz w:val="32"/>
          <w:szCs w:val="32"/>
        </w:rPr>
        <w:t xml:space="preserve">  两个或两个以上申请人的申请因合理布局所限，无法同时都给予行政许可的，应当根据受理的先后顺序作出是否准予行政许可的决定。</w:t>
      </w:r>
    </w:p>
    <w:p w14:paraId="73DA33B9">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kern w:val="0"/>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 xml:space="preserve">条  </w:t>
      </w:r>
      <w:r>
        <w:rPr>
          <w:rFonts w:hint="eastAsia" w:ascii="仿宋_GB2312" w:eastAsia="仿宋_GB2312"/>
          <w:color w:val="auto"/>
          <w:sz w:val="32"/>
          <w:szCs w:val="32"/>
        </w:rPr>
        <w:t>有下列情形之一的，不予发放烟草专卖零售许可证：</w:t>
      </w:r>
    </w:p>
    <w:p w14:paraId="79B0C521">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（一）申请主体资格方面</w:t>
      </w:r>
      <w:r>
        <w:rPr>
          <w:rFonts w:hint="eastAsia" w:ascii="楷体_GB2312" w:hAnsi="楷体_GB2312" w:eastAsia="楷体_GB2312" w:cs="楷体_GB2312"/>
          <w:color w:val="auto"/>
          <w:sz w:val="32"/>
          <w:szCs w:val="32"/>
          <w:lang w:eastAsia="zh-CN"/>
        </w:rPr>
        <w:t>：</w:t>
      </w:r>
    </w:p>
    <w:p w14:paraId="5D1D2E5D">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1.未领取营业执照的；</w:t>
      </w:r>
    </w:p>
    <w:p w14:paraId="62CDCBB5">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申请人为未满18周岁的未成年人及其他无民事行为能力人、限制民事行为能力人的；</w:t>
      </w:r>
    </w:p>
    <w:p w14:paraId="41929047">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3.外商投资的商业企业（零售业态属于“娱乐服务类”的企业或有《烟草专卖许可证管理办法》第六十</w:t>
      </w:r>
      <w:r>
        <w:rPr>
          <w:rFonts w:hint="eastAsia" w:ascii="仿宋_GB2312" w:eastAsia="仿宋_GB2312"/>
          <w:color w:val="auto"/>
          <w:sz w:val="32"/>
          <w:szCs w:val="32"/>
          <w:highlight w:val="none"/>
          <w:lang w:val="en-US" w:eastAsia="zh-CN"/>
        </w:rPr>
        <w:t>三</w:t>
      </w:r>
      <w:r>
        <w:rPr>
          <w:rFonts w:hint="eastAsia" w:ascii="仿宋_GB2312" w:eastAsia="仿宋_GB2312"/>
          <w:color w:val="auto"/>
          <w:sz w:val="32"/>
          <w:szCs w:val="32"/>
        </w:rPr>
        <w:t>条情形的除外）或者个体工商户，及其以特许、吸纳加盟店及其他再投资等形式从事烟草专卖品经营业务的；</w:t>
      </w:r>
    </w:p>
    <w:p w14:paraId="64ADF1F3">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4.取消从事烟草专卖业务资格不满三年的；</w:t>
      </w:r>
    </w:p>
    <w:p w14:paraId="68EAF9D2">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5.申请人隐瞒有关情况或者提供虚假材料，或因隐瞒有关情况或者提供虚假材料，烟草专卖局作出不予受理或者不予发证决定后，一年内再次提出申请的；</w:t>
      </w:r>
    </w:p>
    <w:p w14:paraId="6AF7411D">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6.因申请人以欺骗、贿赂等不正当手段取得的烟草专卖许可证被撤销后，申请人三年内再次提出申请的；</w:t>
      </w:r>
    </w:p>
    <w:p w14:paraId="17163628">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7.未领取烟草专卖零售许可证经营烟草专卖品业务，并且一年内被执法机关处罚两次以上，在三年内申请领取烟草专卖零售许可证的；</w:t>
      </w:r>
    </w:p>
    <w:p w14:paraId="580EE9A5">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8.未领取烟草专卖零售许可证经营烟草专卖品业务被追究刑事责任，在三年内申请领取烟草专卖零售许可证的；</w:t>
      </w:r>
    </w:p>
    <w:p w14:paraId="060FC9C0">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9.依据《陕西省违法失信“黑名单”信息共享和联合惩戒办法》，被列入各级人民政府、法院等社会公共信用信息平台《违法失信黑名单》的申请主体，不予发放烟草专卖零售许可证，直至其被移出“黑名单”。</w:t>
      </w:r>
    </w:p>
    <w:p w14:paraId="65D8D352">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（二）经营场所方面</w:t>
      </w:r>
      <w:r>
        <w:rPr>
          <w:rFonts w:hint="eastAsia" w:ascii="楷体_GB2312" w:hAnsi="楷体_GB2312" w:eastAsia="楷体_GB2312" w:cs="楷体_GB2312"/>
          <w:color w:val="auto"/>
          <w:sz w:val="32"/>
          <w:szCs w:val="32"/>
          <w:lang w:eastAsia="zh-CN"/>
        </w:rPr>
        <w:t>：</w:t>
      </w:r>
    </w:p>
    <w:p w14:paraId="48ABA2AB">
      <w:pPr>
        <w:spacing w:line="360" w:lineRule="auto"/>
        <w:ind w:firstLine="640" w:firstLineChars="200"/>
        <w:rPr>
          <w:rFonts w:ascii="仿宋_GB2312" w:eastAsia="仿宋_GB2312"/>
          <w:color w:val="auto"/>
          <w:sz w:val="32"/>
          <w:szCs w:val="32"/>
          <w:highlight w:val="none"/>
        </w:rPr>
      </w:pPr>
      <w:r>
        <w:rPr>
          <w:rFonts w:hint="eastAsia" w:ascii="仿宋_GB2312" w:eastAsia="仿宋_GB2312"/>
          <w:color w:val="auto"/>
          <w:sz w:val="32"/>
          <w:szCs w:val="32"/>
        </w:rPr>
        <w:t>1.无固定经营</w:t>
      </w:r>
      <w:r>
        <w:rPr>
          <w:rFonts w:hint="eastAsia" w:ascii="仿宋_GB2312" w:eastAsia="仿宋_GB2312"/>
          <w:color w:val="auto"/>
          <w:sz w:val="32"/>
          <w:szCs w:val="32"/>
          <w:highlight w:val="none"/>
        </w:rPr>
        <w:t>场所的；</w:t>
      </w:r>
      <w:r>
        <w:rPr>
          <w:rFonts w:hint="eastAsia" w:ascii="仿宋_GB2312" w:hAnsi="仿宋_GB2312" w:eastAsia="仿宋_GB2312" w:cs="仿宋_GB2312"/>
          <w:sz w:val="32"/>
          <w:szCs w:val="32"/>
          <w:highlight w:val="none"/>
        </w:rPr>
        <w:t>无固定经营场所包括但不限于：临时搭建的简易房、彩钢房、活动板房、集装箱屋、违章建筑、临时建筑、危房、待拆建筑、尚未竣工或未交付使用的场所；流动摊点、流动售货车、简易搭盖、报刊亭、电话亭；地下室、车库、楼梯间、过道、楼道、门道、易拆除的临时搭建物、易拆除的分隔店铺；占用公共消防通道及其他未经规划部门批准建设的违规场所。</w:t>
      </w:r>
    </w:p>
    <w:p w14:paraId="2D9CD641">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rPr>
        <w:t>2.经营场所与住所不相独立的</w:t>
      </w:r>
      <w:r>
        <w:rPr>
          <w:rFonts w:hint="eastAsia" w:ascii="仿宋_GB2312" w:eastAsia="仿宋_GB2312"/>
          <w:color w:val="auto"/>
          <w:sz w:val="32"/>
          <w:szCs w:val="32"/>
          <w:highlight w:val="none"/>
        </w:rPr>
        <w:t>；</w:t>
      </w:r>
      <w:r>
        <w:rPr>
          <w:rFonts w:hint="eastAsia" w:ascii="仿宋_GB2312" w:hAnsi="仿宋_GB2312" w:eastAsia="仿宋_GB2312" w:cs="仿宋_GB2312"/>
          <w:sz w:val="32"/>
          <w:szCs w:val="32"/>
          <w:highlight w:val="none"/>
          <w:lang w:val="en-US" w:eastAsia="zh-CN"/>
        </w:rPr>
        <w:t>经营场所与客厅、餐厅、厨房、卧室、阳台、楼梯间、储藏室等日常生活区域混同的，视为场所不独立（农村自建房已设立临街固定经营场所的除外）；无临街敞开式经营门面，或经营场所位于住宅楼内、非一楼平层对外开放式经营性用房的，不予设置烟草制品零售点。</w:t>
      </w:r>
    </w:p>
    <w:p w14:paraId="28C9F6E2">
      <w:pPr>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3.商业办公楼、写字楼、公寓、住宅楼等，除地面一楼平层（含地下一层）对公众全开放的店铺以外的其它经营场所；</w:t>
      </w:r>
    </w:p>
    <w:p w14:paraId="24A8B1D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rPr>
        <w:t>4.</w:t>
      </w:r>
      <w:r>
        <w:rPr>
          <w:rFonts w:hint="eastAsia" w:ascii="仿宋_GB2312" w:eastAsia="仿宋_GB2312"/>
          <w:color w:val="auto"/>
          <w:sz w:val="32"/>
          <w:szCs w:val="32"/>
          <w:highlight w:val="none"/>
        </w:rPr>
        <w:t>经营场所基于安全因素不适宜经营烟草制品的，包括但不限于生产、经营、存储有毒有害、放射性、易挥发类物质，容易造成烟草制品污染的易燃易爆品、油漆化工、农药化肥、</w:t>
      </w:r>
      <w:r>
        <w:rPr>
          <w:rFonts w:hint="eastAsia" w:ascii="仿宋_GB2312" w:eastAsia="仿宋_GB2312"/>
          <w:color w:val="auto"/>
          <w:sz w:val="32"/>
          <w:szCs w:val="32"/>
          <w:highlight w:val="none"/>
          <w:lang w:val="en-US" w:eastAsia="zh-CN"/>
        </w:rPr>
        <w:t>汽油</w:t>
      </w:r>
      <w:r>
        <w:rPr>
          <w:rFonts w:hint="eastAsia" w:ascii="仿宋_GB2312" w:eastAsia="仿宋_GB2312"/>
          <w:color w:val="auto"/>
          <w:sz w:val="32"/>
          <w:szCs w:val="32"/>
          <w:highlight w:val="none"/>
        </w:rPr>
        <w:t>机油制品等（具备安全保障措施的加油站便利店除外）；</w:t>
      </w:r>
    </w:p>
    <w:p w14:paraId="1C1CDA3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.同一经营地址已申领烟草专卖零售许可证的。（门牌号不同但空间连续构成同一经营场所的，按一址申请办证。）</w:t>
      </w:r>
    </w:p>
    <w:p w14:paraId="558FD58C">
      <w:pPr>
        <w:pStyle w:val="8"/>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（三）经营模式方面</w:t>
      </w:r>
      <w:r>
        <w:rPr>
          <w:rFonts w:hint="eastAsia" w:ascii="楷体_GB2312" w:hAnsi="楷体_GB2312" w:eastAsia="楷体_GB2312" w:cs="楷体_GB2312"/>
          <w:color w:val="auto"/>
          <w:sz w:val="32"/>
          <w:szCs w:val="32"/>
          <w:lang w:eastAsia="zh-CN"/>
        </w:rPr>
        <w:t>：</w:t>
      </w:r>
    </w:p>
    <w:p w14:paraId="684C0B5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1.利用自动售货机等自助模式销售烟草制品的；</w:t>
      </w:r>
    </w:p>
    <w:p w14:paraId="651EC2B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2.通过信息网络销售烟草制品的。</w:t>
      </w:r>
    </w:p>
    <w:p w14:paraId="1217E523">
      <w:pPr>
        <w:pStyle w:val="8"/>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lang w:eastAsia="zh-CN"/>
        </w:rPr>
      </w:pPr>
      <w:bookmarkStart w:id="0" w:name="OLE_LINK3"/>
      <w:r>
        <w:rPr>
          <w:rFonts w:hint="eastAsia" w:ascii="楷体_GB2312" w:hAnsi="楷体_GB2312" w:eastAsia="楷体_GB2312" w:cs="楷体_GB2312"/>
          <w:color w:val="auto"/>
          <w:sz w:val="32"/>
          <w:szCs w:val="32"/>
        </w:rPr>
        <w:t>（四）特殊区域</w:t>
      </w:r>
      <w:r>
        <w:rPr>
          <w:rFonts w:hint="eastAsia" w:ascii="楷体_GB2312" w:hAnsi="楷体_GB2312" w:eastAsia="楷体_GB2312" w:cs="楷体_GB2312"/>
          <w:color w:val="auto"/>
          <w:sz w:val="32"/>
          <w:szCs w:val="32"/>
          <w:lang w:eastAsia="zh-CN"/>
        </w:rPr>
        <w:t>：</w:t>
      </w:r>
    </w:p>
    <w:p w14:paraId="494B161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eastAsia="zh-CN"/>
        </w:rPr>
        <w:t>县城区域</w:t>
      </w:r>
      <w:r>
        <w:rPr>
          <w:rFonts w:hint="eastAsia" w:ascii="仿宋_GB2312" w:eastAsia="仿宋_GB2312"/>
          <w:color w:val="auto"/>
          <w:sz w:val="32"/>
          <w:szCs w:val="32"/>
        </w:rPr>
        <w:t>中小学校</w:t>
      </w:r>
      <w:r>
        <w:rPr>
          <w:rFonts w:hint="eastAsia" w:ascii="仿宋_GB2312" w:eastAsia="仿宋_GB2312"/>
          <w:color w:val="auto"/>
          <w:sz w:val="32"/>
          <w:szCs w:val="32"/>
          <w:lang w:eastAsia="zh-CN"/>
        </w:rPr>
        <w:t>、幼儿园</w:t>
      </w:r>
      <w:r>
        <w:rPr>
          <w:rFonts w:hint="eastAsia" w:ascii="仿宋_GB2312" w:eastAsia="仿宋_GB2312"/>
          <w:color w:val="auto"/>
          <w:sz w:val="32"/>
          <w:szCs w:val="32"/>
        </w:rPr>
        <w:t>内部及进出通道口两侧分别向外延伸距离小于</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米的经营场所；</w:t>
      </w:r>
    </w:p>
    <w:p w14:paraId="17740A8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w:t>
      </w:r>
      <w:r>
        <w:rPr>
          <w:rFonts w:hint="eastAsia" w:ascii="仿宋_GB2312" w:eastAsia="仿宋_GB2312"/>
          <w:color w:val="auto"/>
          <w:sz w:val="32"/>
          <w:szCs w:val="32"/>
          <w:lang w:eastAsia="zh-CN"/>
        </w:rPr>
        <w:t>乡镇及行政村区域</w:t>
      </w:r>
      <w:r>
        <w:rPr>
          <w:rFonts w:hint="eastAsia" w:ascii="仿宋_GB2312" w:eastAsia="仿宋_GB2312"/>
          <w:color w:val="auto"/>
          <w:sz w:val="32"/>
          <w:szCs w:val="32"/>
        </w:rPr>
        <w:t>中小学校</w:t>
      </w:r>
      <w:r>
        <w:rPr>
          <w:rFonts w:hint="eastAsia" w:ascii="仿宋_GB2312" w:eastAsia="仿宋_GB2312"/>
          <w:color w:val="auto"/>
          <w:sz w:val="32"/>
          <w:szCs w:val="32"/>
          <w:lang w:eastAsia="zh-CN"/>
        </w:rPr>
        <w:t>、幼儿园</w:t>
      </w:r>
      <w:r>
        <w:rPr>
          <w:rFonts w:hint="eastAsia" w:ascii="仿宋_GB2312" w:eastAsia="仿宋_GB2312"/>
          <w:color w:val="auto"/>
          <w:sz w:val="32"/>
          <w:szCs w:val="32"/>
        </w:rPr>
        <w:t>内部及进出通道口两侧分别向外延伸距离</w:t>
      </w:r>
      <w:r>
        <w:rPr>
          <w:rFonts w:hint="eastAsia" w:ascii="仿宋_GB2312" w:eastAsia="仿宋_GB2312"/>
          <w:color w:val="auto"/>
          <w:sz w:val="32"/>
          <w:szCs w:val="32"/>
          <w:lang w:val="en-US" w:eastAsia="zh-CN"/>
        </w:rPr>
        <w:t>小于60米的</w:t>
      </w:r>
      <w:r>
        <w:rPr>
          <w:rFonts w:hint="eastAsia" w:ascii="仿宋_GB2312" w:eastAsia="仿宋_GB2312"/>
          <w:color w:val="auto"/>
          <w:sz w:val="32"/>
          <w:szCs w:val="32"/>
        </w:rPr>
        <w:t>经营场所；</w:t>
      </w:r>
    </w:p>
    <w:p w14:paraId="70695E0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.县级以上人民政府或行业主管部门明令禁止经营烟草制品的区域，包括但不限于党政机关内部、医疗卫生机构内部、青少年活动中心内部等；</w:t>
      </w:r>
    </w:p>
    <w:p w14:paraId="2481AE0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（五）法律、法规和规章规定的其他不予发证的情形。</w:t>
      </w:r>
      <w:bookmarkEnd w:id="0"/>
    </w:p>
    <w:p w14:paraId="188722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auto"/>
          <w:sz w:val="32"/>
          <w:szCs w:val="32"/>
          <w:highlight w:val="none"/>
          <w:lang w:val="en-US" w:eastAsia="zh-CN"/>
        </w:rPr>
      </w:pPr>
      <w:r>
        <w:rPr>
          <w:rFonts w:hint="eastAsia" w:ascii="黑体" w:hAnsi="黑体" w:eastAsia="黑体" w:cs="黑体"/>
          <w:color w:val="auto"/>
          <w:sz w:val="32"/>
          <w:szCs w:val="40"/>
          <w:highlight w:val="none"/>
        </w:rPr>
        <w:t>第</w:t>
      </w:r>
      <w:r>
        <w:rPr>
          <w:rFonts w:hint="eastAsia" w:ascii="黑体" w:hAnsi="黑体" w:eastAsia="黑体" w:cs="黑体"/>
          <w:color w:val="auto"/>
          <w:sz w:val="32"/>
          <w:szCs w:val="40"/>
          <w:highlight w:val="none"/>
          <w:lang w:val="en-US" w:eastAsia="zh-CN"/>
        </w:rPr>
        <w:t>十二</w:t>
      </w:r>
      <w:r>
        <w:rPr>
          <w:rFonts w:hint="eastAsia" w:ascii="黑体" w:hAnsi="黑体" w:eastAsia="黑体" w:cs="黑体"/>
          <w:color w:val="auto"/>
          <w:sz w:val="32"/>
          <w:szCs w:val="40"/>
          <w:highlight w:val="none"/>
        </w:rPr>
        <w:t>条</w:t>
      </w:r>
      <w:r>
        <w:rPr>
          <w:rFonts w:hint="eastAsia" w:ascii="仿宋_GB2312" w:hAnsi="仿宋_GB2312" w:eastAsia="仿宋_GB2312" w:cs="仿宋_GB2312"/>
          <w:color w:val="auto"/>
          <w:kern w:val="0"/>
          <w:highlight w:val="none"/>
          <w:shd w:val="clear" w:color="auto" w:fill="FFFFFF"/>
        </w:rPr>
        <w:t xml:space="preserve"> </w:t>
      </w:r>
      <w:r>
        <w:rPr>
          <w:rFonts w:hint="eastAsia" w:ascii="仿宋_GB2312" w:eastAsia="仿宋_GB2312"/>
          <w:color w:val="auto"/>
          <w:sz w:val="32"/>
          <w:szCs w:val="32"/>
          <w:highlight w:val="none"/>
          <w:lang w:val="en-US" w:eastAsia="zh-CN"/>
        </w:rPr>
        <w:t xml:space="preserve"> 持有合法有效证明的残疾人且确属家庭经济困难（相关部门出具书面材料）的，申领烟草专卖零售许可证的，可适当放宽合理布局限制，有间距限制的区域间距执行所在区域的50%，有数量限制的区域可额外增设1个零售点。残疾标准如下：</w:t>
      </w:r>
    </w:p>
    <w:p w14:paraId="5430F2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1.视力残疾：一级、二级；</w:t>
      </w:r>
    </w:p>
    <w:p w14:paraId="220854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2.听力残疾：一、二、三级；</w:t>
      </w:r>
    </w:p>
    <w:p w14:paraId="5C43BF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3.言语残疾：一、二、三级；</w:t>
      </w:r>
    </w:p>
    <w:p w14:paraId="7224D9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4.肢体残疾：重度（一级）、中度（二级）。</w:t>
      </w:r>
    </w:p>
    <w:p w14:paraId="1BF95217">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40"/>
          <w:highlight w:val="none"/>
          <w:lang w:val="en-US" w:eastAsia="zh-CN"/>
        </w:rPr>
        <w:t>第十三条</w:t>
      </w:r>
      <w:r>
        <w:rPr>
          <w:rFonts w:hint="eastAsia" w:ascii="黑体" w:hAnsi="黑体" w:eastAsia="黑体" w:cs="黑体"/>
          <w:color w:val="auto"/>
          <w:highlight w:val="none"/>
          <w:lang w:val="en-US" w:eastAsia="zh-CN"/>
        </w:rPr>
        <w:t xml:space="preserve">  </w:t>
      </w:r>
      <w:r>
        <w:rPr>
          <w:rFonts w:hint="eastAsia" w:ascii="仿宋_GB2312" w:hAnsi="Times New Roman" w:eastAsia="仿宋_GB2312" w:cs="Times New Roman"/>
          <w:color w:val="auto"/>
          <w:sz w:val="32"/>
          <w:szCs w:val="32"/>
          <w:highlight w:val="none"/>
          <w:lang w:val="en-US" w:eastAsia="zh-CN"/>
        </w:rPr>
        <w:t>具有下列情形之一的</w:t>
      </w:r>
      <w:r>
        <w:rPr>
          <w:rFonts w:hint="eastAsia" w:ascii="仿宋_GB2312" w:eastAsia="仿宋_GB2312" w:cs="Times New Roman"/>
          <w:color w:val="auto"/>
          <w:sz w:val="32"/>
          <w:szCs w:val="32"/>
          <w:highlight w:val="none"/>
          <w:lang w:val="en-US" w:eastAsia="zh-CN"/>
        </w:rPr>
        <w:t>残疾人</w:t>
      </w:r>
      <w:r>
        <w:rPr>
          <w:rFonts w:hint="eastAsia" w:ascii="仿宋_GB2312" w:hAnsi="Times New Roman" w:eastAsia="仿宋_GB2312" w:cs="Times New Roman"/>
          <w:color w:val="auto"/>
          <w:sz w:val="32"/>
          <w:szCs w:val="32"/>
          <w:highlight w:val="none"/>
          <w:lang w:val="en-US" w:eastAsia="zh-CN"/>
        </w:rPr>
        <w:t>不予放宽办证条件：</w:t>
      </w:r>
    </w:p>
    <w:p w14:paraId="3BA8FE0B">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（一）有固定职业及稳定收入来源的；</w:t>
      </w:r>
    </w:p>
    <w:p w14:paraId="2C1DEEC4">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（二）享受退休、退职、退养、供养（因战、因公、因病的残疾军人）待遇具有稳定生活保障的；</w:t>
      </w:r>
    </w:p>
    <w:p w14:paraId="0CE853E2">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（三）非本人或直系亲属（仅限配偶、父母、子女）经营的；</w:t>
      </w:r>
    </w:p>
    <w:p w14:paraId="4CF0E8A7">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（四）较低级别的视力残疾、听力残疾、言语残疾和肢体残疾且可以从事一般社会工作的；</w:t>
      </w:r>
    </w:p>
    <w:p w14:paraId="1A966693">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（五）已在本行政区域或其他市县内享受过一次放宽办证政策的；</w:t>
      </w:r>
    </w:p>
    <w:p w14:paraId="0F6B7A46">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eastAsia" w:ascii="仿宋_GB2312" w:eastAsia="仿宋_GB2312"/>
          <w:color w:val="auto"/>
          <w:sz w:val="32"/>
          <w:szCs w:val="32"/>
        </w:rPr>
      </w:pPr>
      <w:r>
        <w:rPr>
          <w:rFonts w:hint="eastAsia" w:ascii="仿宋_GB2312" w:hAnsi="Times New Roman" w:eastAsia="仿宋_GB2312" w:cs="Times New Roman"/>
          <w:color w:val="auto"/>
          <w:sz w:val="32"/>
          <w:szCs w:val="32"/>
          <w:highlight w:val="none"/>
          <w:lang w:val="en-US" w:eastAsia="zh-CN"/>
        </w:rPr>
        <w:t>（六）法律法规及其他规范性文件规定的不予放宽的情形。</w:t>
      </w:r>
    </w:p>
    <w:p w14:paraId="3A50DC4E">
      <w:pPr>
        <w:wordWrap w:val="0"/>
        <w:spacing w:line="360" w:lineRule="auto"/>
        <w:ind w:firstLine="640" w:firstLineChars="200"/>
        <w:rPr>
          <w:rFonts w:ascii="仿宋_GB2312" w:eastAsia="仿宋_GB2312"/>
          <w:color w:val="auto"/>
          <w:sz w:val="32"/>
          <w:szCs w:val="32"/>
          <w:highlight w:val="none"/>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仿宋_GB2312" w:eastAsia="仿宋_GB2312"/>
          <w:color w:val="auto"/>
          <w:sz w:val="32"/>
          <w:szCs w:val="32"/>
        </w:rPr>
        <w:t xml:space="preserve">  有下列情形之一的，设置</w:t>
      </w:r>
      <w:r>
        <w:rPr>
          <w:rFonts w:hint="eastAsia" w:ascii="仿宋_GB2312" w:eastAsia="仿宋_GB2312"/>
          <w:color w:val="auto"/>
          <w:sz w:val="32"/>
          <w:szCs w:val="32"/>
          <w:highlight w:val="none"/>
        </w:rPr>
        <w:t>零售点</w:t>
      </w:r>
      <w:r>
        <w:rPr>
          <w:rFonts w:hint="eastAsia" w:ascii="仿宋_GB2312" w:hAnsi="仿宋_GB2312" w:eastAsia="仿宋_GB2312" w:cs="仿宋_GB2312"/>
          <w:sz w:val="32"/>
          <w:szCs w:val="32"/>
          <w:highlight w:val="none"/>
        </w:rPr>
        <w:t>可以在合理布局规划的数量、间距方面予以适当放宽。</w:t>
      </w:r>
    </w:p>
    <w:p w14:paraId="07CB61E4">
      <w:pPr>
        <w:wordWrap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w:t>
      </w:r>
      <w:r>
        <w:rPr>
          <w:rFonts w:hint="eastAsia" w:ascii="仿宋_GB2312" w:eastAsia="仿宋_GB2312"/>
          <w:color w:val="auto"/>
          <w:sz w:val="32"/>
          <w:szCs w:val="32"/>
          <w:lang w:val="en-US" w:eastAsia="zh-CN"/>
        </w:rPr>
        <w:t>因道路规划、城市建设等客观原因导致原持证经营场所拆迁，需更换新址继续经营的，或者在中小学校、幼儿园周围因合理布局规划距离限制造成无法在核定经营地址经营，持证人需继续从事烟草制品零售业务的，在烟草专卖零售许可证有效期内持证人申请变更到辖区内其他地址经营的；可适当放宽合理布局限制，有间距限制的区域间距执行所在区域的50%，有数量限制的区域可额外增设1个零售点。</w:t>
      </w:r>
    </w:p>
    <w:p w14:paraId="2FA12338">
      <w:pPr>
        <w:wordWrap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lang w:val="en-US" w:eastAsia="zh-CN"/>
        </w:rPr>
        <w:t>法院判决法人或其他组织分立、合并，或个体工商户转型为企业等，在原经营场所重新申领许可证的；可适当放宽合理布局限制，有间距限制的区域间距执行所在区域的50%，有数量限制的区</w:t>
      </w:r>
      <w:bookmarkStart w:id="4" w:name="_GoBack"/>
      <w:bookmarkEnd w:id="4"/>
      <w:r>
        <w:rPr>
          <w:rFonts w:hint="eastAsia" w:ascii="仿宋_GB2312" w:eastAsia="仿宋_GB2312"/>
          <w:color w:val="auto"/>
          <w:sz w:val="32"/>
          <w:szCs w:val="32"/>
          <w:lang w:val="en-US" w:eastAsia="zh-CN"/>
        </w:rPr>
        <w:t>域可额外增设1个零售点。</w:t>
      </w:r>
      <w:r>
        <w:rPr>
          <w:rFonts w:hint="eastAsia" w:ascii="仿宋_GB2312" w:eastAsia="仿宋_GB2312"/>
          <w:color w:val="auto"/>
          <w:sz w:val="32"/>
          <w:szCs w:val="32"/>
        </w:rPr>
        <w:t xml:space="preserve"> </w:t>
      </w:r>
      <w:r>
        <w:rPr>
          <w:rFonts w:hint="eastAsia" w:ascii="仿宋_GB2312" w:eastAsia="仿宋_GB2312"/>
          <w:color w:val="auto"/>
          <w:sz w:val="32"/>
          <w:szCs w:val="32"/>
        </w:rPr>
        <w:t xml:space="preserve"> </w:t>
      </w:r>
    </w:p>
    <w:p w14:paraId="19CA4D0D">
      <w:pPr>
        <w:wordWrap w:val="0"/>
        <w:spacing w:line="360" w:lineRule="auto"/>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针对组成形式为个人经营的个体工商户，若持证人死亡，其家庭成员（仅限其配偶、父母、子女）可持相关有效证明材料，先注销原烟草专卖零售许可证，再在原址重新申领新许可证，该情形不受所在最小市场单元总量限制、零售点间距限制。</w:t>
      </w:r>
    </w:p>
    <w:p w14:paraId="2C5A7602">
      <w:pPr>
        <w:wordWrap w:val="0"/>
        <w:topLinePunct/>
        <w:spacing w:line="360" w:lineRule="auto"/>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（四）因经营场所位于中小学校、幼儿园周围为禁止经营烟草专卖零售业务，持证人主动变更到我县辖区内其他地址经营或主动办理歇业手续的，若</w:t>
      </w:r>
      <w:r>
        <w:rPr>
          <w:rFonts w:hint="eastAsia" w:ascii="仿宋_GB2312" w:hAnsi="仿宋_GB2312" w:eastAsia="仿宋_GB2312" w:cs="仿宋_GB2312"/>
          <w:b w:val="0"/>
          <w:bCs w:val="0"/>
          <w:i w:val="0"/>
          <w:iCs w:val="0"/>
          <w:caps w:val="0"/>
          <w:color w:val="auto"/>
          <w:spacing w:val="0"/>
          <w:sz w:val="32"/>
          <w:szCs w:val="32"/>
          <w:shd w:val="clear" w:fill="FFFFFF"/>
        </w:rPr>
        <w:t>中小学</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校</w:t>
      </w:r>
      <w:r>
        <w:rPr>
          <w:rFonts w:hint="eastAsia" w:ascii="仿宋_GB2312" w:hAnsi="仿宋_GB2312" w:eastAsia="仿宋_GB2312" w:cs="仿宋_GB2312"/>
          <w:b w:val="0"/>
          <w:bCs w:val="0"/>
          <w:i w:val="0"/>
          <w:iCs w:val="0"/>
          <w:caps w:val="0"/>
          <w:color w:val="auto"/>
          <w:spacing w:val="0"/>
          <w:sz w:val="32"/>
          <w:szCs w:val="32"/>
          <w:shd w:val="clear" w:fill="FFFFFF"/>
        </w:rPr>
        <w:t>、幼儿园搬离或关闭，原持证人在原址重新</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申请</w:t>
      </w:r>
      <w:r>
        <w:rPr>
          <w:rFonts w:hint="eastAsia" w:ascii="仿宋_GB2312" w:hAnsi="仿宋_GB2312" w:eastAsia="仿宋_GB2312" w:cs="仿宋_GB2312"/>
          <w:b w:val="0"/>
          <w:bCs w:val="0"/>
          <w:i w:val="0"/>
          <w:iCs w:val="0"/>
          <w:caps w:val="0"/>
          <w:color w:val="auto"/>
          <w:spacing w:val="0"/>
          <w:sz w:val="32"/>
          <w:szCs w:val="32"/>
          <w:shd w:val="clear" w:fill="FFFFFF"/>
        </w:rPr>
        <w:t>烟草专卖零售许可证的</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color w:val="auto"/>
          <w:sz w:val="32"/>
          <w:szCs w:val="32"/>
          <w:highlight w:val="none"/>
          <w:lang w:val="en-US" w:eastAsia="zh-CN"/>
        </w:rPr>
        <w:t>该情形</w:t>
      </w:r>
      <w:r>
        <w:rPr>
          <w:rFonts w:hint="eastAsia" w:ascii="仿宋_GB2312" w:eastAsia="仿宋_GB2312"/>
          <w:color w:val="auto"/>
          <w:sz w:val="32"/>
          <w:szCs w:val="32"/>
          <w:highlight w:val="none"/>
          <w:lang w:val="en-US" w:eastAsia="zh-CN"/>
        </w:rPr>
        <w:t>可适当放宽合理布局限制</w:t>
      </w:r>
      <w:r>
        <w:rPr>
          <w:rFonts w:hint="eastAsia" w:ascii="仿宋_GB2312" w:hAnsi="Times New Roman" w:eastAsia="仿宋_GB2312" w:cs="Times New Roman"/>
          <w:color w:val="auto"/>
          <w:sz w:val="32"/>
          <w:szCs w:val="32"/>
          <w:highlight w:val="none"/>
          <w:lang w:val="en-US" w:eastAsia="zh-CN"/>
        </w:rPr>
        <w:t>，有间距限制的区域间距执行所在区域的50%，有数量限制的区域可额外增设1个零售点。</w:t>
      </w:r>
    </w:p>
    <w:p w14:paraId="7C71D4F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highlight w:val="none"/>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rPr>
        <w:t>）法律、法规、规章等规定的其他情形。</w:t>
      </w:r>
    </w:p>
    <w:p w14:paraId="476365D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p>
    <w:p w14:paraId="059184A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  附 则</w:t>
      </w:r>
    </w:p>
    <w:p w14:paraId="2A8120B3">
      <w:pPr>
        <w:keepNext w:val="0"/>
        <w:keepLines w:val="0"/>
        <w:pageBreakBefore w:val="0"/>
        <w:kinsoku/>
        <w:wordWrap/>
        <w:overflowPunct/>
        <w:topLinePunct w:val="0"/>
        <w:autoSpaceDE/>
        <w:autoSpaceDN/>
        <w:bidi w:val="0"/>
        <w:adjustRightInd/>
        <w:snapToGrid/>
        <w:spacing w:line="600" w:lineRule="exact"/>
        <w:jc w:val="both"/>
        <w:textAlignment w:val="auto"/>
        <w:rPr>
          <w:rFonts w:ascii="仿宋_GB2312" w:eastAsia="仿宋_GB2312"/>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仿宋_GB2312" w:eastAsia="仿宋_GB2312"/>
          <w:color w:val="auto"/>
          <w:sz w:val="32"/>
          <w:szCs w:val="32"/>
        </w:rPr>
        <w:t xml:space="preserve">  本规划所称的“合理布局”，是指在我县行政区划范围内，按照“合理配置、公平公正、先后有序、有利消费、便于管理”的要求，根据辖区人口分布特点以及交通、经济、消费水平等情况，对烟草制品零售点进行的规划布局。</w:t>
      </w:r>
    </w:p>
    <w:p w14:paraId="5C8B056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仿宋_GB2312" w:eastAsia="仿宋_GB2312"/>
          <w:color w:val="auto"/>
          <w:sz w:val="32"/>
          <w:szCs w:val="32"/>
        </w:rPr>
        <w:t xml:space="preserve">  本规划所称的“零售点间距”，是指申请者拟从事烟草制品零售业务的经营场所与最近的烟草制品零售点之间的距离（测量标准见附件3）。经营场所有两个以上出入口的，各出入口应当同时达到零售点间距标准。</w:t>
      </w:r>
    </w:p>
    <w:p w14:paraId="5C1B1FD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eastAsia="仿宋_GB2312"/>
          <w:color w:val="auto"/>
          <w:sz w:val="32"/>
          <w:szCs w:val="32"/>
        </w:rPr>
        <w:t>本规划中“中小学校”是指以未成年人为教育对象，实施中等和初等教育的学校，包括普通小学、普通中学和其他以未成年人为教育对象的实施中等和初等教育的各类学校，如职业中学、中等专业学校等。“幼儿园”是指经县教育行政管理部门核准登记注册的幼儿园。</w:t>
      </w:r>
    </w:p>
    <w:p w14:paraId="7724A84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“中小学校、幼儿园周围</w:t>
      </w:r>
      <w:r>
        <w:rPr>
          <w:rFonts w:hint="eastAsia" w:ascii="仿宋_GB2312" w:eastAsia="仿宋_GB2312"/>
          <w:color w:val="auto"/>
          <w:sz w:val="32"/>
          <w:szCs w:val="32"/>
          <w:lang w:val="en-US" w:eastAsia="zh-CN"/>
        </w:rPr>
        <w:t>县城区域</w:t>
      </w:r>
      <w:r>
        <w:rPr>
          <w:rFonts w:hint="eastAsia" w:ascii="仿宋_GB2312" w:eastAsia="仿宋_GB2312"/>
          <w:color w:val="auto"/>
          <w:sz w:val="32"/>
          <w:szCs w:val="32"/>
        </w:rPr>
        <w:t>100米</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乡镇及行政村区域60米</w:t>
      </w:r>
      <w:r>
        <w:rPr>
          <w:rFonts w:hint="eastAsia" w:ascii="仿宋_GB2312" w:eastAsia="仿宋_GB2312"/>
          <w:color w:val="auto"/>
          <w:sz w:val="32"/>
          <w:szCs w:val="32"/>
        </w:rPr>
        <w:t>以内”，是指以中小学校</w:t>
      </w:r>
      <w:r>
        <w:rPr>
          <w:rFonts w:hint="eastAsia" w:ascii="仿宋_GB2312" w:eastAsia="仿宋_GB2312"/>
          <w:color w:val="auto"/>
          <w:sz w:val="32"/>
          <w:szCs w:val="32"/>
          <w:lang w:eastAsia="zh-CN"/>
        </w:rPr>
        <w:t>、</w:t>
      </w:r>
      <w:r>
        <w:rPr>
          <w:rFonts w:hint="eastAsia" w:ascii="仿宋_GB2312" w:eastAsia="仿宋_GB2312"/>
          <w:color w:val="auto"/>
          <w:sz w:val="32"/>
          <w:szCs w:val="32"/>
        </w:rPr>
        <w:t>幼儿园日常可通行的出入口</w:t>
      </w:r>
      <w:r>
        <w:rPr>
          <w:rFonts w:hint="eastAsia" w:ascii="仿宋_GB2312" w:eastAsia="仿宋_GB2312"/>
          <w:color w:val="auto"/>
          <w:sz w:val="32"/>
          <w:szCs w:val="32"/>
          <w:lang w:eastAsia="zh-CN"/>
        </w:rPr>
        <w:t>（大门、侧门等）</w:t>
      </w:r>
      <w:r>
        <w:rPr>
          <w:rFonts w:hint="eastAsia" w:ascii="仿宋_GB2312" w:eastAsia="仿宋_GB2312"/>
          <w:color w:val="auto"/>
          <w:sz w:val="32"/>
          <w:szCs w:val="32"/>
        </w:rPr>
        <w:t>中间点为圆心，</w:t>
      </w:r>
      <w:r>
        <w:rPr>
          <w:rFonts w:hint="eastAsia" w:ascii="仿宋_GB2312" w:eastAsia="仿宋_GB2312"/>
          <w:color w:val="auto"/>
          <w:sz w:val="32"/>
          <w:szCs w:val="32"/>
          <w:lang w:val="en-US" w:eastAsia="zh-CN"/>
        </w:rPr>
        <w:t>县城区域以100</w:t>
      </w:r>
      <w:r>
        <w:rPr>
          <w:rFonts w:hint="eastAsia" w:ascii="仿宋_GB2312" w:eastAsia="仿宋_GB2312"/>
          <w:color w:val="auto"/>
          <w:sz w:val="32"/>
          <w:szCs w:val="32"/>
        </w:rPr>
        <w:t>米</w:t>
      </w:r>
      <w:r>
        <w:rPr>
          <w:rFonts w:hint="eastAsia" w:ascii="仿宋_GB2312" w:eastAsia="仿宋_GB2312"/>
          <w:color w:val="auto"/>
          <w:sz w:val="32"/>
          <w:szCs w:val="32"/>
          <w:lang w:val="en-US" w:eastAsia="zh-CN"/>
        </w:rPr>
        <w:t>为半径的距离、乡镇及行政村区域以60米</w:t>
      </w:r>
      <w:r>
        <w:rPr>
          <w:rFonts w:hint="eastAsia" w:ascii="仿宋_GB2312" w:eastAsia="仿宋_GB2312"/>
          <w:color w:val="auto"/>
          <w:sz w:val="32"/>
          <w:szCs w:val="32"/>
        </w:rPr>
        <w:t>为半径的距离。测量基准点为中小学校</w:t>
      </w:r>
      <w:r>
        <w:rPr>
          <w:rFonts w:hint="eastAsia" w:ascii="仿宋_GB2312" w:eastAsia="仿宋_GB2312"/>
          <w:color w:val="auto"/>
          <w:sz w:val="32"/>
          <w:szCs w:val="32"/>
          <w:lang w:eastAsia="zh-CN"/>
        </w:rPr>
        <w:t>、</w:t>
      </w:r>
      <w:r>
        <w:rPr>
          <w:rFonts w:hint="eastAsia" w:ascii="仿宋_GB2312" w:eastAsia="仿宋_GB2312"/>
          <w:color w:val="auto"/>
          <w:sz w:val="32"/>
          <w:szCs w:val="32"/>
        </w:rPr>
        <w:t>幼儿园日常可通行的出入口</w:t>
      </w:r>
      <w:r>
        <w:rPr>
          <w:rFonts w:hint="eastAsia" w:ascii="仿宋_GB2312" w:eastAsia="仿宋_GB2312"/>
          <w:color w:val="auto"/>
          <w:sz w:val="32"/>
          <w:szCs w:val="32"/>
          <w:lang w:eastAsia="zh-CN"/>
        </w:rPr>
        <w:t>（大门、侧门等）</w:t>
      </w:r>
      <w:r>
        <w:rPr>
          <w:rFonts w:hint="eastAsia" w:ascii="仿宋_GB2312" w:eastAsia="仿宋_GB2312"/>
          <w:color w:val="auto"/>
          <w:sz w:val="32"/>
          <w:szCs w:val="32"/>
        </w:rPr>
        <w:t>中间点</w:t>
      </w:r>
      <w:r>
        <w:rPr>
          <w:rFonts w:hint="eastAsia" w:ascii="仿宋_GB2312" w:eastAsia="仿宋_GB2312"/>
          <w:color w:val="auto"/>
          <w:sz w:val="32"/>
          <w:szCs w:val="32"/>
          <w:lang w:eastAsia="zh-CN"/>
        </w:rPr>
        <w:t>与</w:t>
      </w:r>
      <w:r>
        <w:rPr>
          <w:rFonts w:hint="eastAsia" w:ascii="仿宋_GB2312" w:eastAsia="仿宋_GB2312"/>
          <w:color w:val="auto"/>
          <w:sz w:val="32"/>
          <w:szCs w:val="32"/>
        </w:rPr>
        <w:t>测量目标出入口</w:t>
      </w:r>
      <w:r>
        <w:rPr>
          <w:rFonts w:hint="eastAsia" w:ascii="仿宋_GB2312" w:eastAsia="仿宋_GB2312"/>
          <w:color w:val="auto"/>
          <w:sz w:val="32"/>
          <w:szCs w:val="32"/>
          <w:lang w:eastAsia="zh-CN"/>
        </w:rPr>
        <w:t>的最近点</w:t>
      </w:r>
      <w:r>
        <w:rPr>
          <w:rFonts w:hint="eastAsia" w:ascii="仿宋_GB2312" w:eastAsia="仿宋_GB2312"/>
          <w:color w:val="auto"/>
          <w:sz w:val="32"/>
          <w:szCs w:val="32"/>
        </w:rPr>
        <w:t xml:space="preserve">。 </w:t>
      </w:r>
    </w:p>
    <w:p w14:paraId="234F12F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本规划中“经营场所”，是指从事烟草制品销售、交易、存储的经营性场所，具备对外经营烟草制品的基本设施和条件，如店招、货架、柜台等，不包含无实际烟草制品展卖的场所。</w:t>
      </w:r>
      <w:r>
        <w:rPr>
          <w:rFonts w:hint="eastAsia" w:ascii="仿宋_GB2312" w:eastAsia="仿宋_GB2312"/>
          <w:color w:val="auto"/>
          <w:sz w:val="32"/>
          <w:szCs w:val="32"/>
        </w:rPr>
        <w:t>本规划中“无固定经营场所”，是指违章建筑、待拆迁建筑、活动板房、易拆除的临时搭建物、流动摊点等，能提供城市规划部门或镇级以上政府部门批准文件的除外。</w:t>
      </w:r>
    </w:p>
    <w:p w14:paraId="3EC0C75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十九</w:t>
      </w:r>
      <w:r>
        <w:rPr>
          <w:rFonts w:hint="eastAsia" w:ascii="黑体" w:hAnsi="黑体" w:eastAsia="黑体" w:cs="黑体"/>
          <w:color w:val="auto"/>
          <w:sz w:val="32"/>
          <w:szCs w:val="32"/>
        </w:rPr>
        <w:t xml:space="preserve">条  </w:t>
      </w:r>
      <w:r>
        <w:rPr>
          <w:rFonts w:hint="eastAsia" w:ascii="仿宋_GB2312" w:eastAsia="仿宋_GB2312"/>
          <w:color w:val="auto"/>
          <w:sz w:val="32"/>
          <w:szCs w:val="32"/>
        </w:rPr>
        <w:t>本规划中“经营场所与住所相独立”，是指经营场所自成一体，有独立的出入口，且不与住所相连通。</w:t>
      </w:r>
    </w:p>
    <w:p w14:paraId="26737C7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auto"/>
          <w:sz w:val="32"/>
          <w:szCs w:val="32"/>
        </w:rPr>
      </w:pPr>
      <w:r>
        <w:rPr>
          <w:rFonts w:hint="eastAsia" w:ascii="黑体" w:hAnsi="黑体" w:eastAsia="黑体" w:cs="黑体"/>
          <w:color w:val="auto"/>
          <w:sz w:val="32"/>
          <w:szCs w:val="32"/>
        </w:rPr>
        <w:t xml:space="preserve">第二十条  </w:t>
      </w:r>
      <w:r>
        <w:rPr>
          <w:rFonts w:hint="eastAsia" w:ascii="仿宋_GB2312" w:eastAsia="仿宋_GB2312"/>
          <w:color w:val="auto"/>
          <w:sz w:val="32"/>
          <w:szCs w:val="32"/>
        </w:rPr>
        <w:t>本规划中描述数字“以上”“不低于”“不超过”“内”均包含本数。</w:t>
      </w:r>
    </w:p>
    <w:p w14:paraId="71E1D27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 xml:space="preserve">条  </w:t>
      </w:r>
      <w:r>
        <w:rPr>
          <w:rFonts w:hint="eastAsia" w:ascii="仿宋_GB2312" w:eastAsia="仿宋_GB2312"/>
          <w:color w:val="auto"/>
          <w:sz w:val="32"/>
          <w:szCs w:val="32"/>
        </w:rPr>
        <w:t>本规划实施过程中，法律、法规、规章和上级规范性文件对烟草制品零售点合理布局另有规定的，从其规定。</w:t>
      </w:r>
    </w:p>
    <w:p w14:paraId="3A65D0D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eastAsia="仿宋_GB2312"/>
          <w:color w:val="auto"/>
          <w:sz w:val="32"/>
          <w:szCs w:val="32"/>
        </w:rPr>
        <w:t>本规划由</w:t>
      </w:r>
      <w:r>
        <w:rPr>
          <w:rFonts w:hint="eastAsia" w:ascii="仿宋_GB2312" w:eastAsia="仿宋_GB2312"/>
          <w:color w:val="auto"/>
          <w:sz w:val="32"/>
          <w:szCs w:val="32"/>
          <w:lang w:eastAsia="zh-CN"/>
        </w:rPr>
        <w:t>太白</w:t>
      </w:r>
      <w:r>
        <w:rPr>
          <w:rFonts w:hint="eastAsia" w:ascii="仿宋_GB2312" w:eastAsia="仿宋_GB2312"/>
          <w:color w:val="auto"/>
          <w:sz w:val="32"/>
          <w:szCs w:val="32"/>
        </w:rPr>
        <w:t>县烟草专卖局负责解释。</w:t>
      </w:r>
    </w:p>
    <w:p w14:paraId="7E317C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lang w:eastAsia="zh-CN"/>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 xml:space="preserve">条  </w:t>
      </w:r>
      <w:r>
        <w:rPr>
          <w:rFonts w:hint="eastAsia" w:ascii="仿宋_GB2312" w:eastAsia="仿宋_GB2312"/>
          <w:color w:val="auto"/>
          <w:sz w:val="32"/>
          <w:szCs w:val="32"/>
        </w:rPr>
        <w:t>本规划有效期限为五年，自公布之日起施</w:t>
      </w:r>
      <w:r>
        <w:rPr>
          <w:rFonts w:hint="eastAsia" w:ascii="仿宋_GB2312" w:eastAsia="仿宋_GB2312"/>
          <w:color w:val="auto"/>
          <w:sz w:val="32"/>
          <w:szCs w:val="32"/>
          <w:lang w:val="en-US" w:eastAsia="zh-CN"/>
        </w:rPr>
        <w:t>行</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原</w:t>
      </w:r>
      <w:r>
        <w:rPr>
          <w:rFonts w:hint="eastAsia" w:ascii="仿宋_GB2312" w:eastAsia="仿宋_GB2312"/>
          <w:color w:val="auto"/>
          <w:sz w:val="32"/>
          <w:szCs w:val="32"/>
        </w:rPr>
        <w:t>《</w:t>
      </w:r>
      <w:r>
        <w:rPr>
          <w:rFonts w:hint="eastAsia" w:ascii="仿宋_GB2312" w:eastAsia="仿宋_GB2312"/>
          <w:color w:val="auto"/>
          <w:sz w:val="32"/>
          <w:szCs w:val="32"/>
          <w:lang w:eastAsia="zh-CN"/>
        </w:rPr>
        <w:t>太白</w:t>
      </w:r>
      <w:r>
        <w:rPr>
          <w:rFonts w:hint="eastAsia" w:ascii="仿宋_GB2312" w:eastAsia="仿宋_GB2312"/>
          <w:color w:val="auto"/>
          <w:sz w:val="32"/>
          <w:szCs w:val="32"/>
        </w:rPr>
        <w:t>县烟草制品零售点合理布局规</w:t>
      </w:r>
      <w:r>
        <w:rPr>
          <w:rFonts w:hint="eastAsia" w:ascii="仿宋_GB2312" w:eastAsia="仿宋_GB2312"/>
          <w:color w:val="auto"/>
          <w:sz w:val="32"/>
          <w:szCs w:val="32"/>
          <w:lang w:val="en-US" w:eastAsia="zh-CN"/>
        </w:rPr>
        <w:t>划</w:t>
      </w:r>
      <w:r>
        <w:rPr>
          <w:rFonts w:hint="eastAsia" w:ascii="仿宋_GB2312" w:eastAsia="仿宋_GB2312"/>
          <w:color w:val="auto"/>
          <w:sz w:val="32"/>
          <w:szCs w:val="32"/>
        </w:rPr>
        <w:t>》同时废止。</w:t>
      </w:r>
    </w:p>
    <w:p w14:paraId="48A8A1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lang w:eastAsia="zh-CN"/>
        </w:rPr>
      </w:pPr>
    </w:p>
    <w:p w14:paraId="407A57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lang w:eastAsia="zh-CN"/>
        </w:rPr>
      </w:pPr>
    </w:p>
    <w:p w14:paraId="1F94B9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附件</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太白县城区区域图</w:t>
      </w:r>
    </w:p>
    <w:p w14:paraId="1A4EB3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附件2：太白县烟草制品零售点城区、乡镇街道、独立市场单元规划表</w:t>
      </w:r>
    </w:p>
    <w:p w14:paraId="22BC46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附件3：太白县烟草制品零售点经营场所勘验测量标准</w:t>
      </w:r>
    </w:p>
    <w:p w14:paraId="3C8278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仿宋_GB2312" w:eastAsia="仿宋_GB2312"/>
          <w:color w:val="auto"/>
          <w:sz w:val="32"/>
          <w:szCs w:val="32"/>
          <w:highlight w:val="none"/>
          <w:lang w:eastAsia="zh-CN"/>
        </w:rPr>
        <w:t>附件</w:t>
      </w:r>
      <w:r>
        <w:rPr>
          <w:rFonts w:hint="eastAsia" w:ascii="仿宋_GB2312" w:eastAsia="仿宋_GB2312"/>
          <w:color w:val="auto"/>
          <w:sz w:val="32"/>
          <w:szCs w:val="32"/>
          <w:highlight w:val="none"/>
          <w:lang w:val="en-US" w:eastAsia="zh-CN"/>
        </w:rPr>
        <w:t>4：太白县烟草专卖零售许可证办理轮候制度</w:t>
      </w:r>
    </w:p>
    <w:p w14:paraId="392BD80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olor w:val="auto"/>
          <w:sz w:val="32"/>
          <w:szCs w:val="32"/>
          <w:highlight w:val="none"/>
          <w:lang w:val="en-US" w:eastAsia="zh-CN"/>
        </w:rPr>
      </w:pPr>
    </w:p>
    <w:p w14:paraId="0E370E2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olor w:val="auto"/>
          <w:sz w:val="32"/>
          <w:szCs w:val="32"/>
          <w:highlight w:val="none"/>
          <w:lang w:val="en-US" w:eastAsia="zh-CN"/>
        </w:rPr>
      </w:pPr>
    </w:p>
    <w:p w14:paraId="475494D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olor w:val="auto"/>
          <w:sz w:val="32"/>
          <w:szCs w:val="32"/>
          <w:highlight w:val="none"/>
          <w:lang w:val="en-US" w:eastAsia="zh-CN"/>
        </w:rPr>
      </w:pPr>
    </w:p>
    <w:p w14:paraId="0F26588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olor w:val="auto"/>
          <w:sz w:val="32"/>
          <w:szCs w:val="32"/>
          <w:highlight w:val="none"/>
          <w:lang w:val="en-US" w:eastAsia="zh-CN"/>
        </w:rPr>
      </w:pPr>
    </w:p>
    <w:p w14:paraId="5519C1E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olor w:val="auto"/>
          <w:sz w:val="32"/>
          <w:szCs w:val="32"/>
          <w:highlight w:val="none"/>
          <w:lang w:val="en-US" w:eastAsia="zh-CN"/>
        </w:rPr>
      </w:pPr>
    </w:p>
    <w:p w14:paraId="575C020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olor w:val="auto"/>
          <w:sz w:val="32"/>
          <w:szCs w:val="32"/>
          <w:highlight w:val="none"/>
          <w:lang w:val="en-US" w:eastAsia="zh-CN"/>
        </w:rPr>
      </w:pPr>
    </w:p>
    <w:p w14:paraId="619E095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olor w:val="auto"/>
          <w:sz w:val="32"/>
          <w:szCs w:val="32"/>
          <w:highlight w:val="none"/>
          <w:lang w:val="en-US" w:eastAsia="zh-CN"/>
        </w:rPr>
      </w:pPr>
    </w:p>
    <w:p w14:paraId="2DB4C75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olor w:val="auto"/>
          <w:sz w:val="32"/>
          <w:szCs w:val="32"/>
          <w:highlight w:val="none"/>
          <w:lang w:val="en-US" w:eastAsia="zh-CN"/>
        </w:rPr>
      </w:pPr>
    </w:p>
    <w:p w14:paraId="4AF8F11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olor w:val="auto"/>
          <w:sz w:val="32"/>
          <w:szCs w:val="32"/>
          <w:highlight w:val="none"/>
          <w:lang w:val="en-US" w:eastAsia="zh-CN"/>
        </w:rPr>
      </w:pPr>
    </w:p>
    <w:p w14:paraId="72CD17E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olor w:val="auto"/>
          <w:sz w:val="32"/>
          <w:szCs w:val="32"/>
          <w:highlight w:val="none"/>
          <w:lang w:val="en-US" w:eastAsia="zh-CN"/>
        </w:rPr>
      </w:pPr>
    </w:p>
    <w:p w14:paraId="32DADB9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olor w:val="auto"/>
          <w:sz w:val="32"/>
          <w:szCs w:val="32"/>
          <w:highlight w:val="none"/>
          <w:lang w:val="en-US" w:eastAsia="zh-CN"/>
        </w:rPr>
      </w:pPr>
    </w:p>
    <w:p w14:paraId="213BE29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color w:val="auto"/>
          <w:sz w:val="32"/>
          <w:szCs w:val="32"/>
          <w:highlight w:val="none"/>
          <w:lang w:val="en-US" w:eastAsia="zh-CN"/>
        </w:rPr>
      </w:pPr>
    </w:p>
    <w:p w14:paraId="0D3C6588">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仿宋_GB2312" w:eastAsia="仿宋_GB2312"/>
          <w:color w:val="auto"/>
          <w:sz w:val="32"/>
          <w:szCs w:val="32"/>
          <w:highlight w:val="none"/>
          <w:lang w:val="en-US" w:eastAsia="zh-CN"/>
        </w:rPr>
      </w:pPr>
    </w:p>
    <w:p w14:paraId="6FAF26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eastAsia="仿宋_GB2312"/>
          <w:b/>
          <w:bCs/>
          <w:color w:val="auto"/>
          <w:sz w:val="32"/>
          <w:szCs w:val="32"/>
          <w:highlight w:val="none"/>
          <w:lang w:val="en-US" w:eastAsia="zh-CN"/>
        </w:rPr>
      </w:pPr>
    </w:p>
    <w:p w14:paraId="455A8F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eastAsia="仿宋_GB2312"/>
          <w:b/>
          <w:bCs/>
          <w:color w:val="auto"/>
          <w:sz w:val="32"/>
          <w:szCs w:val="32"/>
          <w:highlight w:val="none"/>
          <w:lang w:val="en-US" w:eastAsia="zh-CN"/>
        </w:rPr>
      </w:pPr>
    </w:p>
    <w:p w14:paraId="39DFFF2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eastAsia="仿宋_GB2312"/>
          <w:b/>
          <w:bCs/>
          <w:color w:val="auto"/>
          <w:sz w:val="32"/>
          <w:szCs w:val="32"/>
          <w:highlight w:val="none"/>
          <w:lang w:val="en-US" w:eastAsia="zh-CN"/>
        </w:rPr>
      </w:pPr>
    </w:p>
    <w:p w14:paraId="23AA34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附件1：</w:t>
      </w:r>
    </w:p>
    <w:p w14:paraId="06F0E2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太白县城区区域图</w:t>
      </w:r>
    </w:p>
    <w:p w14:paraId="720BBC4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drawing>
          <wp:inline distT="0" distB="0" distL="114300" distR="114300">
            <wp:extent cx="5267325" cy="4497070"/>
            <wp:effectExtent l="0" t="0" r="9525" b="17780"/>
            <wp:docPr id="3" name="图片 3" descr="mmexport1698327316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698327316408"/>
                    <pic:cNvPicPr>
                      <a:picLocks noChangeAspect="1"/>
                    </pic:cNvPicPr>
                  </pic:nvPicPr>
                  <pic:blipFill>
                    <a:blip r:embed="rId6"/>
                    <a:stretch>
                      <a:fillRect/>
                    </a:stretch>
                  </pic:blipFill>
                  <pic:spPr>
                    <a:xfrm>
                      <a:off x="0" y="0"/>
                      <a:ext cx="5267325" cy="4497070"/>
                    </a:xfrm>
                    <a:prstGeom prst="rect">
                      <a:avLst/>
                    </a:prstGeom>
                  </pic:spPr>
                </pic:pic>
              </a:graphicData>
            </a:graphic>
          </wp:inline>
        </w:drawing>
      </w:r>
    </w:p>
    <w:p w14:paraId="748E1C5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eastAsia="仿宋_GB2312"/>
          <w:color w:val="auto"/>
          <w:sz w:val="32"/>
          <w:szCs w:val="32"/>
          <w:highlight w:val="none"/>
          <w:lang w:val="en-US" w:eastAsia="zh-CN"/>
        </w:rPr>
      </w:pPr>
    </w:p>
    <w:p w14:paraId="5098BB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eastAsia="仿宋_GB2312"/>
          <w:color w:val="auto"/>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14:paraId="7EFEC3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附件2：</w:t>
      </w:r>
    </w:p>
    <w:p w14:paraId="352B1A98">
      <w:pPr>
        <w:spacing w:line="590" w:lineRule="exact"/>
        <w:jc w:val="center"/>
        <w:rPr>
          <w:rFonts w:hint="eastAsia" w:ascii="仿宋_GB2312" w:hAnsi="黑体" w:eastAsia="仿宋_GB2312" w:cs="宋体"/>
          <w:color w:val="auto"/>
          <w:sz w:val="32"/>
          <w:szCs w:val="32"/>
          <w:highlight w:val="none"/>
          <w:lang w:bidi="ug-CN"/>
        </w:rPr>
      </w:pPr>
      <w:bookmarkStart w:id="1" w:name="OLE_LINK1"/>
      <w:r>
        <w:rPr>
          <w:rFonts w:hint="eastAsia" w:ascii="黑体" w:hAnsi="黑体" w:eastAsia="黑体"/>
          <w:color w:val="auto"/>
          <w:sz w:val="32"/>
          <w:szCs w:val="32"/>
          <w:lang w:val="en-US" w:eastAsia="zh-CN"/>
        </w:rPr>
        <w:t>太白县烟草制品零售点最小市场单元合理布局规划明细表</w:t>
      </w:r>
      <w:bookmarkEnd w:id="1"/>
      <w:r>
        <w:rPr>
          <w:rFonts w:hint="eastAsia" w:ascii="黑体" w:hAnsi="黑体" w:eastAsia="黑体"/>
          <w:color w:val="auto"/>
          <w:sz w:val="32"/>
          <w:szCs w:val="32"/>
          <w:lang w:val="en-US" w:eastAsia="zh-CN"/>
        </w:rPr>
        <w:t>（城区）</w:t>
      </w:r>
    </w:p>
    <w:tbl>
      <w:tblPr>
        <w:tblStyle w:val="10"/>
        <w:tblpPr w:leftFromText="180" w:rightFromText="180" w:vertAnchor="text" w:horzAnchor="page" w:tblpX="575" w:tblpY="268"/>
        <w:tblOverlap w:val="never"/>
        <w:tblW w:w="157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305"/>
        <w:gridCol w:w="6000"/>
        <w:gridCol w:w="885"/>
        <w:gridCol w:w="900"/>
        <w:gridCol w:w="1095"/>
        <w:gridCol w:w="915"/>
        <w:gridCol w:w="795"/>
        <w:gridCol w:w="855"/>
        <w:gridCol w:w="2342"/>
      </w:tblGrid>
      <w:tr w14:paraId="5451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32D8">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FE02">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left"/>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单元格名称</w:t>
            </w:r>
          </w:p>
        </w:tc>
        <w:tc>
          <w:tcPr>
            <w:tcW w:w="6000" w:type="dxa"/>
            <w:tcBorders>
              <w:top w:val="single" w:color="000000" w:sz="4" w:space="0"/>
              <w:left w:val="single" w:color="000000" w:sz="4" w:space="0"/>
              <w:bottom w:val="single" w:color="000000" w:sz="4" w:space="0"/>
              <w:right w:val="single" w:color="auto" w:sz="4" w:space="0"/>
            </w:tcBorders>
            <w:shd w:val="clear" w:color="auto" w:fill="auto"/>
            <w:vAlign w:val="center"/>
          </w:tcPr>
          <w:p w14:paraId="48DC5C81">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市场单元区域描述</w:t>
            </w:r>
          </w:p>
        </w:tc>
        <w:tc>
          <w:tcPr>
            <w:tcW w:w="885" w:type="dxa"/>
            <w:tcBorders>
              <w:top w:val="single" w:color="000000" w:sz="4" w:space="0"/>
              <w:left w:val="single" w:color="auto" w:sz="4" w:space="0"/>
              <w:bottom w:val="single" w:color="000000" w:sz="4" w:space="0"/>
              <w:right w:val="single" w:color="auto" w:sz="4" w:space="0"/>
            </w:tcBorders>
            <w:shd w:val="clear" w:color="auto" w:fill="auto"/>
            <w:vAlign w:val="center"/>
          </w:tcPr>
          <w:p w14:paraId="3C692589">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街道距离（米）</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9E09790">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间距标准（米）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D1D0">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拟布局数量（个）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2B23">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现存数量（个）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192A">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增减（个）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9228">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区域</w:t>
            </w:r>
          </w:p>
          <w:p w14:paraId="5D093C41">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划分</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C325">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516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75" w:type="dxa"/>
            <w:vMerge w:val="restart"/>
            <w:tcBorders>
              <w:left w:val="single" w:color="000000" w:sz="4" w:space="0"/>
              <w:right w:val="single" w:color="000000" w:sz="4" w:space="0"/>
            </w:tcBorders>
            <w:shd w:val="clear" w:color="auto" w:fill="auto"/>
            <w:vAlign w:val="center"/>
          </w:tcPr>
          <w:p w14:paraId="73A960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城区</w:t>
            </w:r>
          </w:p>
          <w:p w14:paraId="64DC7E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（咀头镇）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22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北大街</w:t>
            </w:r>
          </w:p>
        </w:tc>
        <w:tc>
          <w:tcPr>
            <w:tcW w:w="6000" w:type="dxa"/>
            <w:tcBorders>
              <w:top w:val="single" w:color="000000" w:sz="4" w:space="0"/>
              <w:left w:val="single" w:color="000000" w:sz="4" w:space="0"/>
              <w:bottom w:val="single" w:color="000000" w:sz="4" w:space="0"/>
              <w:right w:val="single" w:color="auto" w:sz="4" w:space="0"/>
            </w:tcBorders>
            <w:shd w:val="clear" w:color="auto" w:fill="auto"/>
            <w:vAlign w:val="center"/>
          </w:tcPr>
          <w:p w14:paraId="6BF00C75">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北起县医院口、南至汉源路与北大街交叉口</w:t>
            </w:r>
          </w:p>
        </w:tc>
        <w:tc>
          <w:tcPr>
            <w:tcW w:w="885" w:type="dxa"/>
            <w:tcBorders>
              <w:top w:val="single" w:color="000000" w:sz="4" w:space="0"/>
              <w:left w:val="single" w:color="auto" w:sz="4" w:space="0"/>
              <w:bottom w:val="single" w:color="000000" w:sz="4" w:space="0"/>
              <w:right w:val="single" w:color="auto" w:sz="4" w:space="0"/>
            </w:tcBorders>
            <w:shd w:val="clear" w:color="auto" w:fill="auto"/>
            <w:vAlign w:val="center"/>
          </w:tcPr>
          <w:p w14:paraId="78A3ED5A">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1083</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AC70911">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A98D">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7220">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7A02">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F2CD">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发展区</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ECED">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含G244国道至县城街心桥头西</w:t>
            </w:r>
          </w:p>
        </w:tc>
      </w:tr>
      <w:tr w14:paraId="6F6B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675" w:type="dxa"/>
            <w:vMerge w:val="continue"/>
            <w:tcBorders>
              <w:left w:val="single" w:color="000000" w:sz="4" w:space="0"/>
              <w:right w:val="single" w:color="000000" w:sz="4" w:space="0"/>
            </w:tcBorders>
            <w:shd w:val="clear" w:color="auto" w:fill="auto"/>
            <w:vAlign w:val="center"/>
          </w:tcPr>
          <w:p w14:paraId="412002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84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滨河西路</w:t>
            </w:r>
          </w:p>
        </w:tc>
        <w:tc>
          <w:tcPr>
            <w:tcW w:w="6000" w:type="dxa"/>
            <w:tcBorders>
              <w:top w:val="single" w:color="000000" w:sz="4" w:space="0"/>
              <w:left w:val="single" w:color="000000" w:sz="4" w:space="0"/>
              <w:bottom w:val="single" w:color="000000" w:sz="4" w:space="0"/>
              <w:right w:val="single" w:color="auto" w:sz="4" w:space="0"/>
            </w:tcBorders>
            <w:shd w:val="clear" w:color="auto" w:fill="auto"/>
            <w:vAlign w:val="center"/>
          </w:tcPr>
          <w:p w14:paraId="297059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北起忠诚东路与</w:t>
            </w:r>
            <w:r>
              <w:rPr>
                <w:rFonts w:hint="eastAsia" w:ascii="宋体" w:hAnsi="宋体" w:eastAsia="宋体" w:cs="宋体"/>
                <w:i w:val="0"/>
                <w:iCs w:val="0"/>
                <w:color w:val="auto"/>
                <w:sz w:val="20"/>
                <w:szCs w:val="20"/>
                <w:highlight w:val="none"/>
                <w:u w:val="none"/>
                <w:lang w:val="en-US" w:eastAsia="zh-CN"/>
              </w:rPr>
              <w:t>滨河西路</w:t>
            </w:r>
            <w:r>
              <w:rPr>
                <w:rFonts w:hint="eastAsia" w:ascii="宋体" w:hAnsi="宋体" w:eastAsia="宋体" w:cs="宋体"/>
                <w:i w:val="0"/>
                <w:iCs w:val="0"/>
                <w:color w:val="auto"/>
                <w:kern w:val="0"/>
                <w:sz w:val="20"/>
                <w:szCs w:val="20"/>
                <w:highlight w:val="none"/>
                <w:u w:val="none"/>
                <w:lang w:val="en-US" w:eastAsia="zh-CN" w:bidi="ar"/>
              </w:rPr>
              <w:t>交叉口、南至</w:t>
            </w:r>
            <w:r>
              <w:rPr>
                <w:rFonts w:hint="eastAsia" w:ascii="宋体" w:hAnsi="宋体" w:eastAsia="宋体" w:cs="宋体"/>
                <w:i w:val="0"/>
                <w:iCs w:val="0"/>
                <w:color w:val="auto"/>
                <w:sz w:val="20"/>
                <w:szCs w:val="20"/>
                <w:highlight w:val="none"/>
                <w:u w:val="none"/>
                <w:lang w:val="en-US" w:eastAsia="zh-CN"/>
              </w:rPr>
              <w:t>滨河西路</w:t>
            </w:r>
            <w:r>
              <w:rPr>
                <w:rFonts w:hint="eastAsia" w:ascii="宋体" w:hAnsi="宋体" w:eastAsia="宋体" w:cs="宋体"/>
                <w:i w:val="0"/>
                <w:iCs w:val="0"/>
                <w:color w:val="auto"/>
                <w:kern w:val="0"/>
                <w:sz w:val="20"/>
                <w:szCs w:val="20"/>
                <w:highlight w:val="none"/>
                <w:u w:val="none"/>
                <w:lang w:val="en-US" w:eastAsia="zh-CN" w:bidi="ar"/>
              </w:rPr>
              <w:t>与东大街交叉口</w:t>
            </w:r>
          </w:p>
        </w:tc>
        <w:tc>
          <w:tcPr>
            <w:tcW w:w="885" w:type="dxa"/>
            <w:tcBorders>
              <w:top w:val="single" w:color="000000" w:sz="4" w:space="0"/>
              <w:left w:val="single" w:color="auto" w:sz="4" w:space="0"/>
              <w:bottom w:val="single" w:color="000000" w:sz="4" w:space="0"/>
              <w:right w:val="single" w:color="auto" w:sz="4" w:space="0"/>
            </w:tcBorders>
            <w:shd w:val="clear" w:color="auto" w:fill="auto"/>
            <w:vAlign w:val="center"/>
          </w:tcPr>
          <w:p w14:paraId="72DBB15E">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447</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731109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651D">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FDB3">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246F">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F68D">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发展区</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ECC6">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太白县蔬菜广场、停车场、单街道</w:t>
            </w:r>
          </w:p>
        </w:tc>
      </w:tr>
      <w:tr w14:paraId="7E07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75" w:type="dxa"/>
            <w:vMerge w:val="continue"/>
            <w:tcBorders>
              <w:left w:val="single" w:color="000000" w:sz="4" w:space="0"/>
              <w:right w:val="single" w:color="000000" w:sz="4" w:space="0"/>
            </w:tcBorders>
            <w:shd w:val="clear" w:color="auto" w:fill="auto"/>
            <w:vAlign w:val="center"/>
          </w:tcPr>
          <w:p w14:paraId="37B0D4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E5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北环路</w:t>
            </w:r>
          </w:p>
        </w:tc>
        <w:tc>
          <w:tcPr>
            <w:tcW w:w="6000" w:type="dxa"/>
            <w:tcBorders>
              <w:top w:val="single" w:color="000000" w:sz="4" w:space="0"/>
              <w:left w:val="single" w:color="000000" w:sz="4" w:space="0"/>
              <w:bottom w:val="single" w:color="000000" w:sz="4" w:space="0"/>
              <w:right w:val="single" w:color="auto" w:sz="4" w:space="0"/>
            </w:tcBorders>
            <w:shd w:val="clear" w:color="auto" w:fill="auto"/>
            <w:vAlign w:val="center"/>
          </w:tcPr>
          <w:p w14:paraId="10D5FC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西起忠诚东路与北环路交叉口、东至北环路与军民路交叉口</w:t>
            </w:r>
          </w:p>
        </w:tc>
        <w:tc>
          <w:tcPr>
            <w:tcW w:w="885" w:type="dxa"/>
            <w:tcBorders>
              <w:top w:val="single" w:color="000000" w:sz="4" w:space="0"/>
              <w:left w:val="single" w:color="auto" w:sz="4" w:space="0"/>
              <w:bottom w:val="single" w:color="000000" w:sz="4" w:space="0"/>
              <w:right w:val="single" w:color="auto" w:sz="4" w:space="0"/>
            </w:tcBorders>
            <w:shd w:val="clear" w:color="auto" w:fill="auto"/>
            <w:vAlign w:val="center"/>
          </w:tcPr>
          <w:p w14:paraId="6B3E5330">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1500</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0C07C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223B">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077F">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4DC9">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DD1B">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发展区</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D4A8">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太白县双语艺术幼儿园</w:t>
            </w:r>
          </w:p>
        </w:tc>
      </w:tr>
      <w:tr w14:paraId="14F4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5" w:type="dxa"/>
            <w:vMerge w:val="continue"/>
            <w:tcBorders>
              <w:left w:val="single" w:color="000000" w:sz="4" w:space="0"/>
              <w:right w:val="single" w:color="000000" w:sz="4" w:space="0"/>
            </w:tcBorders>
            <w:shd w:val="clear" w:color="auto" w:fill="auto"/>
            <w:vAlign w:val="center"/>
          </w:tcPr>
          <w:p w14:paraId="6EBF0F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2D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军民路</w:t>
            </w:r>
          </w:p>
        </w:tc>
        <w:tc>
          <w:tcPr>
            <w:tcW w:w="6000" w:type="dxa"/>
            <w:tcBorders>
              <w:top w:val="single" w:color="000000" w:sz="4" w:space="0"/>
              <w:left w:val="single" w:color="000000" w:sz="4" w:space="0"/>
              <w:bottom w:val="single" w:color="000000" w:sz="4" w:space="0"/>
              <w:right w:val="single" w:color="auto" w:sz="4" w:space="0"/>
            </w:tcBorders>
            <w:shd w:val="clear" w:color="auto" w:fill="auto"/>
            <w:vAlign w:val="center"/>
          </w:tcPr>
          <w:p w14:paraId="7B4871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北起北环路与军民路交叉口、南至军民路与凉大路交叉口</w:t>
            </w:r>
          </w:p>
        </w:tc>
        <w:tc>
          <w:tcPr>
            <w:tcW w:w="885" w:type="dxa"/>
            <w:tcBorders>
              <w:top w:val="single" w:color="000000" w:sz="4" w:space="0"/>
              <w:left w:val="single" w:color="auto" w:sz="4" w:space="0"/>
              <w:bottom w:val="single" w:color="000000" w:sz="4" w:space="0"/>
              <w:right w:val="single" w:color="auto" w:sz="4" w:space="0"/>
            </w:tcBorders>
            <w:shd w:val="clear" w:color="auto" w:fill="auto"/>
            <w:vAlign w:val="center"/>
          </w:tcPr>
          <w:p w14:paraId="4D498531">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925</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0BB6F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F7D4">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0B21">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A78C">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4FBC">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一般区</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4D45">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p>
        </w:tc>
      </w:tr>
      <w:tr w14:paraId="3B2A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75" w:type="dxa"/>
            <w:vMerge w:val="continue"/>
            <w:tcBorders>
              <w:left w:val="single" w:color="000000" w:sz="4" w:space="0"/>
              <w:right w:val="single" w:color="000000" w:sz="4" w:space="0"/>
            </w:tcBorders>
            <w:shd w:val="clear" w:color="auto" w:fill="auto"/>
            <w:vAlign w:val="center"/>
          </w:tcPr>
          <w:p w14:paraId="11A163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AD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世纪大道</w:t>
            </w:r>
          </w:p>
        </w:tc>
        <w:tc>
          <w:tcPr>
            <w:tcW w:w="6000" w:type="dxa"/>
            <w:tcBorders>
              <w:top w:val="single" w:color="000000" w:sz="4" w:space="0"/>
              <w:left w:val="single" w:color="000000" w:sz="4" w:space="0"/>
              <w:bottom w:val="single" w:color="000000" w:sz="4" w:space="0"/>
              <w:right w:val="single" w:color="auto" w:sz="4" w:space="0"/>
            </w:tcBorders>
            <w:shd w:val="clear" w:color="auto" w:fill="auto"/>
            <w:vAlign w:val="center"/>
          </w:tcPr>
          <w:p w14:paraId="30D3AA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东起军民路与世纪大道交叉口、西至世纪大道与汉源路交叉口</w:t>
            </w:r>
          </w:p>
        </w:tc>
        <w:tc>
          <w:tcPr>
            <w:tcW w:w="885" w:type="dxa"/>
            <w:tcBorders>
              <w:top w:val="single" w:color="000000" w:sz="4" w:space="0"/>
              <w:left w:val="single" w:color="auto" w:sz="4" w:space="0"/>
              <w:bottom w:val="single" w:color="000000" w:sz="4" w:space="0"/>
              <w:right w:val="single" w:color="auto" w:sz="4" w:space="0"/>
            </w:tcBorders>
            <w:shd w:val="clear" w:color="auto" w:fill="auto"/>
            <w:vAlign w:val="center"/>
          </w:tcPr>
          <w:p w14:paraId="550871A1">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1700</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339C9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632B">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D8FE">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74FD">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47B0">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发展区</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3FE8">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含太白县海棠酒店、太白县瑞森酒店、虢川河沿岸</w:t>
            </w:r>
          </w:p>
        </w:tc>
      </w:tr>
      <w:tr w14:paraId="3573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75" w:type="dxa"/>
            <w:vMerge w:val="continue"/>
            <w:tcBorders>
              <w:left w:val="single" w:color="000000" w:sz="4" w:space="0"/>
              <w:right w:val="single" w:color="000000" w:sz="4" w:space="0"/>
            </w:tcBorders>
            <w:shd w:val="clear" w:color="auto" w:fill="auto"/>
            <w:vAlign w:val="center"/>
          </w:tcPr>
          <w:p w14:paraId="288096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94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汉源路</w:t>
            </w:r>
          </w:p>
        </w:tc>
        <w:tc>
          <w:tcPr>
            <w:tcW w:w="6000" w:type="dxa"/>
            <w:tcBorders>
              <w:top w:val="single" w:color="000000" w:sz="4" w:space="0"/>
              <w:left w:val="single" w:color="000000" w:sz="4" w:space="0"/>
              <w:bottom w:val="single" w:color="000000" w:sz="4" w:space="0"/>
              <w:right w:val="single" w:color="auto" w:sz="4" w:space="0"/>
            </w:tcBorders>
            <w:shd w:val="clear" w:color="auto" w:fill="auto"/>
            <w:vAlign w:val="center"/>
          </w:tcPr>
          <w:p w14:paraId="57A27F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北起G244国道与北大街交叉口、南至G244国道与世纪大道交叉口</w:t>
            </w:r>
          </w:p>
        </w:tc>
        <w:tc>
          <w:tcPr>
            <w:tcW w:w="885" w:type="dxa"/>
            <w:tcBorders>
              <w:top w:val="single" w:color="000000" w:sz="4" w:space="0"/>
              <w:left w:val="single" w:color="auto" w:sz="4" w:space="0"/>
              <w:bottom w:val="single" w:color="000000" w:sz="4" w:space="0"/>
              <w:right w:val="single" w:color="auto" w:sz="4" w:space="0"/>
            </w:tcBorders>
            <w:shd w:val="clear" w:color="auto" w:fill="auto"/>
            <w:vAlign w:val="center"/>
          </w:tcPr>
          <w:p w14:paraId="37427A60">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1800</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7748C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643B">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5CC1">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6BAD">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B143">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发展区</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86B7">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含彩虹桥以西至G244国道口</w:t>
            </w:r>
          </w:p>
        </w:tc>
      </w:tr>
      <w:tr w14:paraId="05C4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left w:val="single" w:color="000000" w:sz="4" w:space="0"/>
              <w:right w:val="single" w:color="000000" w:sz="4" w:space="0"/>
            </w:tcBorders>
            <w:shd w:val="clear" w:color="auto" w:fill="auto"/>
            <w:vAlign w:val="center"/>
          </w:tcPr>
          <w:p w14:paraId="643C75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FC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东大街</w:t>
            </w:r>
          </w:p>
        </w:tc>
        <w:tc>
          <w:tcPr>
            <w:tcW w:w="6000" w:type="dxa"/>
            <w:tcBorders>
              <w:top w:val="single" w:color="000000" w:sz="4" w:space="0"/>
              <w:left w:val="single" w:color="000000" w:sz="4" w:space="0"/>
              <w:bottom w:val="single" w:color="000000" w:sz="4" w:space="0"/>
              <w:right w:val="single" w:color="auto" w:sz="4" w:space="0"/>
            </w:tcBorders>
            <w:shd w:val="clear" w:color="auto" w:fill="auto"/>
            <w:vAlign w:val="center"/>
          </w:tcPr>
          <w:p w14:paraId="07C674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西起东大街街心桥头东、东至东大街与军民路交叉口</w:t>
            </w:r>
          </w:p>
        </w:tc>
        <w:tc>
          <w:tcPr>
            <w:tcW w:w="885" w:type="dxa"/>
            <w:tcBorders>
              <w:top w:val="single" w:color="000000" w:sz="4" w:space="0"/>
              <w:left w:val="single" w:color="auto" w:sz="4" w:space="0"/>
              <w:bottom w:val="single" w:color="000000" w:sz="4" w:space="0"/>
              <w:right w:val="single" w:color="auto" w:sz="4" w:space="0"/>
            </w:tcBorders>
            <w:shd w:val="clear" w:color="auto" w:fill="auto"/>
            <w:vAlign w:val="center"/>
          </w:tcPr>
          <w:p w14:paraId="705A8A6F">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1400</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88AC2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D1F5">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EA6D">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0EBC">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C0BE">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发展区</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3915">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太白县咀头小学、太白县高中，含新建路。</w:t>
            </w:r>
          </w:p>
        </w:tc>
      </w:tr>
      <w:tr w14:paraId="5203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75" w:type="dxa"/>
            <w:vMerge w:val="continue"/>
            <w:tcBorders>
              <w:left w:val="single" w:color="000000" w:sz="4" w:space="0"/>
              <w:right w:val="single" w:color="000000" w:sz="4" w:space="0"/>
            </w:tcBorders>
            <w:shd w:val="clear" w:color="auto" w:fill="auto"/>
            <w:vAlign w:val="center"/>
          </w:tcPr>
          <w:p w14:paraId="227317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8B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步行街</w:t>
            </w:r>
          </w:p>
        </w:tc>
        <w:tc>
          <w:tcPr>
            <w:tcW w:w="6000" w:type="dxa"/>
            <w:tcBorders>
              <w:top w:val="single" w:color="000000" w:sz="4" w:space="0"/>
              <w:left w:val="single" w:color="000000" w:sz="4" w:space="0"/>
              <w:bottom w:val="single" w:color="000000" w:sz="4" w:space="0"/>
              <w:right w:val="single" w:color="auto" w:sz="4" w:space="0"/>
            </w:tcBorders>
            <w:shd w:val="clear" w:color="auto" w:fill="auto"/>
            <w:vAlign w:val="center"/>
          </w:tcPr>
          <w:p w14:paraId="18F21B79">
            <w:pPr>
              <w:keepNext w:val="0"/>
              <w:keepLines w:val="0"/>
              <w:pageBreakBefore w:val="0"/>
              <w:widowControl/>
              <w:suppressLineNumbers w:val="0"/>
              <w:kinsoku/>
              <w:wordWrap/>
              <w:overflowPunct/>
              <w:topLinePunct w:val="0"/>
              <w:autoSpaceDE/>
              <w:autoSpaceDN/>
              <w:bidi w:val="0"/>
              <w:adjustRightInd/>
              <w:snapToGrid w:val="0"/>
              <w:jc w:val="center"/>
              <w:textAlignment w:val="center"/>
              <w:rPr>
                <w:rStyle w:val="17"/>
                <w:color w:val="auto"/>
                <w:sz w:val="20"/>
                <w:szCs w:val="20"/>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西起南大街与步行街交叉口、东至军民路与步行街交叉口</w:t>
            </w:r>
          </w:p>
        </w:tc>
        <w:tc>
          <w:tcPr>
            <w:tcW w:w="885" w:type="dxa"/>
            <w:tcBorders>
              <w:top w:val="single" w:color="000000" w:sz="4" w:space="0"/>
              <w:left w:val="single" w:color="auto" w:sz="4" w:space="0"/>
              <w:bottom w:val="single" w:color="000000" w:sz="4" w:space="0"/>
              <w:right w:val="single" w:color="auto" w:sz="4" w:space="0"/>
            </w:tcBorders>
            <w:shd w:val="clear" w:color="auto" w:fill="auto"/>
            <w:vAlign w:val="center"/>
          </w:tcPr>
          <w:p w14:paraId="3E264E77">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1200</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6B0B5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0BCC">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265B">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B4B8">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AED7">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发展区</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B134">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34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75" w:type="dxa"/>
            <w:vMerge w:val="continue"/>
            <w:tcBorders>
              <w:left w:val="single" w:color="000000" w:sz="4" w:space="0"/>
              <w:right w:val="single" w:color="000000" w:sz="4" w:space="0"/>
            </w:tcBorders>
            <w:shd w:val="clear" w:color="auto" w:fill="auto"/>
            <w:vAlign w:val="center"/>
          </w:tcPr>
          <w:p w14:paraId="006769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2E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滨河东路</w:t>
            </w:r>
          </w:p>
        </w:tc>
        <w:tc>
          <w:tcPr>
            <w:tcW w:w="6000" w:type="dxa"/>
            <w:tcBorders>
              <w:top w:val="single" w:color="000000" w:sz="4" w:space="0"/>
              <w:left w:val="single" w:color="000000" w:sz="4" w:space="0"/>
              <w:bottom w:val="single" w:color="000000" w:sz="4" w:space="0"/>
              <w:right w:val="single" w:color="auto" w:sz="4" w:space="0"/>
            </w:tcBorders>
            <w:shd w:val="clear" w:color="auto" w:fill="auto"/>
            <w:vAlign w:val="center"/>
          </w:tcPr>
          <w:p w14:paraId="5EEBF686">
            <w:pPr>
              <w:keepNext w:val="0"/>
              <w:keepLines w:val="0"/>
              <w:pageBreakBefore w:val="0"/>
              <w:widowControl/>
              <w:suppressLineNumbers w:val="0"/>
              <w:kinsoku/>
              <w:wordWrap/>
              <w:overflowPunct/>
              <w:topLinePunct w:val="0"/>
              <w:autoSpaceDE/>
              <w:autoSpaceDN/>
              <w:bidi w:val="0"/>
              <w:adjustRightInd/>
              <w:snapToGrid w:val="0"/>
              <w:jc w:val="center"/>
              <w:textAlignment w:val="center"/>
              <w:rPr>
                <w:rStyle w:val="17"/>
                <w:color w:val="auto"/>
                <w:sz w:val="20"/>
                <w:szCs w:val="20"/>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北起北环路与</w:t>
            </w:r>
            <w:r>
              <w:rPr>
                <w:rFonts w:hint="eastAsia" w:ascii="宋体" w:hAnsi="宋体" w:eastAsia="宋体" w:cs="宋体"/>
                <w:i w:val="0"/>
                <w:iCs w:val="0"/>
                <w:color w:val="auto"/>
                <w:sz w:val="20"/>
                <w:szCs w:val="20"/>
                <w:highlight w:val="none"/>
                <w:u w:val="none"/>
                <w:lang w:val="en-US" w:eastAsia="zh-CN"/>
              </w:rPr>
              <w:t>滨河东路</w:t>
            </w:r>
            <w:r>
              <w:rPr>
                <w:rFonts w:hint="eastAsia" w:ascii="宋体" w:hAnsi="宋体" w:eastAsia="宋体" w:cs="宋体"/>
                <w:i w:val="0"/>
                <w:iCs w:val="0"/>
                <w:color w:val="auto"/>
                <w:kern w:val="0"/>
                <w:sz w:val="20"/>
                <w:szCs w:val="20"/>
                <w:highlight w:val="none"/>
                <w:u w:val="none"/>
                <w:lang w:val="en-US" w:eastAsia="zh-CN" w:bidi="ar"/>
              </w:rPr>
              <w:t>交叉口、南至</w:t>
            </w:r>
            <w:r>
              <w:rPr>
                <w:rFonts w:hint="eastAsia" w:ascii="宋体" w:hAnsi="宋体" w:eastAsia="宋体" w:cs="宋体"/>
                <w:i w:val="0"/>
                <w:iCs w:val="0"/>
                <w:color w:val="auto"/>
                <w:sz w:val="20"/>
                <w:szCs w:val="20"/>
                <w:highlight w:val="none"/>
                <w:u w:val="none"/>
                <w:lang w:val="en-US" w:eastAsia="zh-CN"/>
              </w:rPr>
              <w:t>滨河东路</w:t>
            </w:r>
            <w:r>
              <w:rPr>
                <w:rFonts w:hint="eastAsia" w:ascii="宋体" w:hAnsi="宋体" w:eastAsia="宋体" w:cs="宋体"/>
                <w:i w:val="0"/>
                <w:iCs w:val="0"/>
                <w:color w:val="auto"/>
                <w:kern w:val="0"/>
                <w:sz w:val="20"/>
                <w:szCs w:val="20"/>
                <w:highlight w:val="none"/>
                <w:u w:val="none"/>
                <w:lang w:val="en-US" w:eastAsia="zh-CN" w:bidi="ar"/>
              </w:rPr>
              <w:t>与东大街交叉口</w:t>
            </w:r>
          </w:p>
        </w:tc>
        <w:tc>
          <w:tcPr>
            <w:tcW w:w="885" w:type="dxa"/>
            <w:tcBorders>
              <w:top w:val="single" w:color="000000" w:sz="4" w:space="0"/>
              <w:left w:val="single" w:color="auto" w:sz="4" w:space="0"/>
              <w:bottom w:val="single" w:color="000000" w:sz="4" w:space="0"/>
              <w:right w:val="single" w:color="auto" w:sz="4" w:space="0"/>
            </w:tcBorders>
            <w:shd w:val="clear" w:color="auto" w:fill="auto"/>
            <w:vAlign w:val="center"/>
          </w:tcPr>
          <w:p w14:paraId="14254E16">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477</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CE48CB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71DB">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9608">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B46C">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0715">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发展区</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D8E3">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674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continue"/>
            <w:tcBorders>
              <w:left w:val="single" w:color="000000" w:sz="4" w:space="0"/>
              <w:right w:val="single" w:color="000000" w:sz="4" w:space="0"/>
            </w:tcBorders>
            <w:shd w:val="clear" w:color="auto" w:fill="auto"/>
            <w:vAlign w:val="center"/>
          </w:tcPr>
          <w:p w14:paraId="7D4350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C1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青年路</w:t>
            </w:r>
          </w:p>
        </w:tc>
        <w:tc>
          <w:tcPr>
            <w:tcW w:w="6000" w:type="dxa"/>
            <w:tcBorders>
              <w:top w:val="single" w:color="000000" w:sz="4" w:space="0"/>
              <w:left w:val="single" w:color="000000" w:sz="4" w:space="0"/>
              <w:bottom w:val="single" w:color="000000" w:sz="4" w:space="0"/>
              <w:right w:val="single" w:color="auto" w:sz="4" w:space="0"/>
            </w:tcBorders>
            <w:shd w:val="clear" w:color="auto" w:fill="auto"/>
            <w:vAlign w:val="center"/>
          </w:tcPr>
          <w:p w14:paraId="2EC42D6A">
            <w:pPr>
              <w:keepNext w:val="0"/>
              <w:keepLines w:val="0"/>
              <w:pageBreakBefore w:val="0"/>
              <w:widowControl/>
              <w:suppressLineNumbers w:val="0"/>
              <w:kinsoku/>
              <w:wordWrap/>
              <w:overflowPunct/>
              <w:topLinePunct w:val="0"/>
              <w:autoSpaceDE/>
              <w:autoSpaceDN/>
              <w:bidi w:val="0"/>
              <w:adjustRightInd/>
              <w:snapToGrid w:val="0"/>
              <w:jc w:val="center"/>
              <w:textAlignment w:val="center"/>
              <w:rPr>
                <w:rStyle w:val="17"/>
                <w:color w:val="auto"/>
                <w:sz w:val="20"/>
                <w:szCs w:val="20"/>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北起青年路与新建路交接口、南至青年路与世纪大道交叉口</w:t>
            </w:r>
          </w:p>
        </w:tc>
        <w:tc>
          <w:tcPr>
            <w:tcW w:w="885" w:type="dxa"/>
            <w:tcBorders>
              <w:top w:val="single" w:color="000000" w:sz="4" w:space="0"/>
              <w:left w:val="single" w:color="auto" w:sz="4" w:space="0"/>
              <w:bottom w:val="single" w:color="000000" w:sz="4" w:space="0"/>
              <w:right w:val="single" w:color="auto" w:sz="4" w:space="0"/>
            </w:tcBorders>
            <w:shd w:val="clear" w:color="auto" w:fill="auto"/>
            <w:vAlign w:val="center"/>
          </w:tcPr>
          <w:p w14:paraId="582009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753</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5FE38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6DB8">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E990">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7E1A">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C5BC">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发展区</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717C">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太白县幼儿园、太白县职业技术教育中心</w:t>
            </w:r>
          </w:p>
        </w:tc>
      </w:tr>
      <w:tr w14:paraId="3623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75" w:type="dxa"/>
            <w:vMerge w:val="continue"/>
            <w:tcBorders>
              <w:left w:val="single" w:color="000000" w:sz="4" w:space="0"/>
              <w:right w:val="single" w:color="000000" w:sz="4" w:space="0"/>
            </w:tcBorders>
            <w:shd w:val="clear" w:color="auto" w:fill="auto"/>
            <w:vAlign w:val="center"/>
          </w:tcPr>
          <w:p w14:paraId="2A982E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26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凤鸣路</w:t>
            </w:r>
          </w:p>
        </w:tc>
        <w:tc>
          <w:tcPr>
            <w:tcW w:w="6000" w:type="dxa"/>
            <w:tcBorders>
              <w:top w:val="single" w:color="000000" w:sz="4" w:space="0"/>
              <w:left w:val="single" w:color="000000" w:sz="4" w:space="0"/>
              <w:bottom w:val="single" w:color="000000" w:sz="4" w:space="0"/>
              <w:right w:val="single" w:color="auto" w:sz="4" w:space="0"/>
            </w:tcBorders>
            <w:shd w:val="clear" w:color="auto" w:fill="auto"/>
            <w:vAlign w:val="center"/>
          </w:tcPr>
          <w:p w14:paraId="5527A34E">
            <w:pPr>
              <w:keepNext w:val="0"/>
              <w:keepLines w:val="0"/>
              <w:pageBreakBefore w:val="0"/>
              <w:widowControl/>
              <w:suppressLineNumbers w:val="0"/>
              <w:kinsoku/>
              <w:wordWrap/>
              <w:overflowPunct/>
              <w:topLinePunct w:val="0"/>
              <w:autoSpaceDE/>
              <w:autoSpaceDN/>
              <w:bidi w:val="0"/>
              <w:adjustRightInd/>
              <w:snapToGrid w:val="0"/>
              <w:jc w:val="center"/>
              <w:textAlignment w:val="center"/>
              <w:rPr>
                <w:rStyle w:val="17"/>
                <w:color w:val="auto"/>
                <w:sz w:val="20"/>
                <w:szCs w:val="20"/>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北起凤鸣路与北大街交接口、南至凤鸣路与世纪大道交叉口</w:t>
            </w:r>
          </w:p>
        </w:tc>
        <w:tc>
          <w:tcPr>
            <w:tcW w:w="885" w:type="dxa"/>
            <w:tcBorders>
              <w:top w:val="single" w:color="000000" w:sz="4" w:space="0"/>
              <w:left w:val="single" w:color="auto" w:sz="4" w:space="0"/>
              <w:bottom w:val="single" w:color="000000" w:sz="4" w:space="0"/>
              <w:right w:val="single" w:color="auto" w:sz="4" w:space="0"/>
            </w:tcBorders>
            <w:shd w:val="clear" w:color="auto" w:fill="auto"/>
            <w:vAlign w:val="center"/>
          </w:tcPr>
          <w:p w14:paraId="6C661D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526</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6CF47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99F1">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D99D">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F633">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4A30">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发展区</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586F">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检察院、交通管理大队、消防大队</w:t>
            </w:r>
          </w:p>
        </w:tc>
      </w:tr>
      <w:tr w14:paraId="3088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75" w:type="dxa"/>
            <w:vMerge w:val="continue"/>
            <w:tcBorders>
              <w:left w:val="single" w:color="000000" w:sz="4" w:space="0"/>
              <w:right w:val="single" w:color="000000" w:sz="4" w:space="0"/>
            </w:tcBorders>
            <w:shd w:val="clear" w:color="auto" w:fill="auto"/>
            <w:vAlign w:val="center"/>
          </w:tcPr>
          <w:p w14:paraId="547C48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DB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sz w:val="20"/>
                <w:szCs w:val="20"/>
                <w:highlight w:val="none"/>
                <w:u w:val="none"/>
                <w:lang w:val="en-US" w:eastAsia="zh-CN"/>
              </w:rPr>
              <w:t>南大街</w:t>
            </w:r>
          </w:p>
        </w:tc>
        <w:tc>
          <w:tcPr>
            <w:tcW w:w="6000" w:type="dxa"/>
            <w:tcBorders>
              <w:top w:val="single" w:color="000000" w:sz="4" w:space="0"/>
              <w:left w:val="single" w:color="000000" w:sz="4" w:space="0"/>
              <w:bottom w:val="single" w:color="000000" w:sz="4" w:space="0"/>
              <w:right w:val="single" w:color="auto" w:sz="4" w:space="0"/>
            </w:tcBorders>
            <w:shd w:val="clear" w:color="auto" w:fill="auto"/>
            <w:vAlign w:val="center"/>
          </w:tcPr>
          <w:p w14:paraId="74FE8D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北起东大街与南大街交叉口、南至南大街与世纪大道交叉口</w:t>
            </w:r>
          </w:p>
        </w:tc>
        <w:tc>
          <w:tcPr>
            <w:tcW w:w="885" w:type="dxa"/>
            <w:tcBorders>
              <w:top w:val="single" w:color="000000" w:sz="4" w:space="0"/>
              <w:left w:val="single" w:color="auto" w:sz="4" w:space="0"/>
              <w:bottom w:val="single" w:color="000000" w:sz="4" w:space="0"/>
              <w:right w:val="single" w:color="auto" w:sz="4" w:space="0"/>
            </w:tcBorders>
            <w:shd w:val="clear" w:color="auto" w:fill="auto"/>
            <w:vAlign w:val="center"/>
          </w:tcPr>
          <w:p w14:paraId="38DF8B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1696</w:t>
            </w: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C36E0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CAAA">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78E2">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84B1">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2D5E">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发展区</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9C9F">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含南大街与步行街交叉口至彩虹桥段</w:t>
            </w:r>
          </w:p>
        </w:tc>
      </w:tr>
      <w:tr w14:paraId="1800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675" w:type="dxa"/>
            <w:tcBorders>
              <w:left w:val="single" w:color="000000" w:sz="4" w:space="0"/>
              <w:bottom w:val="single" w:color="auto" w:sz="4" w:space="0"/>
              <w:right w:val="single" w:color="000000" w:sz="4" w:space="0"/>
            </w:tcBorders>
            <w:shd w:val="clear" w:color="auto" w:fill="auto"/>
            <w:vAlign w:val="center"/>
          </w:tcPr>
          <w:p w14:paraId="1759169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2"/>
                <w:szCs w:val="22"/>
                <w:highlight w:val="none"/>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BC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0"/>
                <w:szCs w:val="20"/>
                <w:highlight w:val="none"/>
                <w:u w:val="none"/>
                <w:lang w:val="en-US" w:eastAsia="zh-CN"/>
              </w:rPr>
            </w:pPr>
          </w:p>
        </w:tc>
        <w:tc>
          <w:tcPr>
            <w:tcW w:w="6000" w:type="dxa"/>
            <w:tcBorders>
              <w:top w:val="single" w:color="000000" w:sz="4" w:space="0"/>
              <w:left w:val="single" w:color="000000" w:sz="4" w:space="0"/>
              <w:bottom w:val="single" w:color="000000" w:sz="4" w:space="0"/>
              <w:right w:val="single" w:color="auto" w:sz="4" w:space="0"/>
            </w:tcBorders>
            <w:shd w:val="clear" w:color="auto" w:fill="auto"/>
            <w:vAlign w:val="center"/>
          </w:tcPr>
          <w:p w14:paraId="56D90D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w:t>
            </w:r>
          </w:p>
        </w:tc>
        <w:tc>
          <w:tcPr>
            <w:tcW w:w="885" w:type="dxa"/>
            <w:tcBorders>
              <w:top w:val="single" w:color="000000" w:sz="4" w:space="0"/>
              <w:left w:val="single" w:color="auto" w:sz="4" w:space="0"/>
              <w:bottom w:val="single" w:color="000000" w:sz="4" w:space="0"/>
              <w:right w:val="single" w:color="auto" w:sz="4" w:space="0"/>
            </w:tcBorders>
            <w:shd w:val="clear" w:color="auto" w:fill="auto"/>
            <w:vAlign w:val="center"/>
          </w:tcPr>
          <w:p w14:paraId="10FE68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BD947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64FA">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1B6C">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D185">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6807">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9922">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74C13B1F">
      <w:pPr>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br w:type="page"/>
      </w:r>
    </w:p>
    <w:p w14:paraId="4E15D39F">
      <w:pPr>
        <w:spacing w:line="590" w:lineRule="exact"/>
        <w:jc w:val="center"/>
        <w:rPr>
          <w:rFonts w:hint="eastAsia" w:ascii="仿宋_GB2312" w:hAnsi="黑体" w:eastAsia="仿宋_GB2312" w:cs="宋体"/>
          <w:color w:val="auto"/>
          <w:sz w:val="32"/>
          <w:szCs w:val="32"/>
          <w:highlight w:val="none"/>
          <w:lang w:bidi="ug-CN"/>
        </w:rPr>
      </w:pPr>
      <w:r>
        <w:rPr>
          <w:rFonts w:hint="eastAsia" w:ascii="黑体" w:hAnsi="黑体" w:eastAsia="黑体"/>
          <w:color w:val="auto"/>
          <w:sz w:val="32"/>
          <w:szCs w:val="32"/>
          <w:lang w:val="en-US" w:eastAsia="zh-CN"/>
        </w:rPr>
        <w:t>太白县烟草制品零售点最小市场单元合理布局规划明细表（乡镇）</w:t>
      </w:r>
    </w:p>
    <w:tbl>
      <w:tblPr>
        <w:tblStyle w:val="10"/>
        <w:tblW w:w="13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8"/>
        <w:gridCol w:w="1596"/>
        <w:gridCol w:w="3702"/>
        <w:gridCol w:w="1020"/>
        <w:gridCol w:w="855"/>
        <w:gridCol w:w="1364"/>
        <w:gridCol w:w="1184"/>
        <w:gridCol w:w="900"/>
        <w:gridCol w:w="1433"/>
        <w:gridCol w:w="933"/>
      </w:tblGrid>
      <w:tr w14:paraId="1B9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65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区域</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72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单元格名称</w:t>
            </w:r>
          </w:p>
        </w:tc>
        <w:tc>
          <w:tcPr>
            <w:tcW w:w="37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B3594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市场单元区域描述</w:t>
            </w:r>
          </w:p>
        </w:tc>
        <w:tc>
          <w:tcPr>
            <w:tcW w:w="1020" w:type="dxa"/>
            <w:tcBorders>
              <w:top w:val="single" w:color="000000" w:sz="4" w:space="0"/>
              <w:left w:val="single" w:color="auto" w:sz="4" w:space="0"/>
              <w:bottom w:val="single" w:color="000000" w:sz="4" w:space="0"/>
              <w:right w:val="single" w:color="auto" w:sz="4" w:space="0"/>
            </w:tcBorders>
            <w:shd w:val="clear" w:color="auto" w:fill="auto"/>
            <w:vAlign w:val="center"/>
          </w:tcPr>
          <w:p w14:paraId="4D48A0D9">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街道距离（米）</w:t>
            </w:r>
          </w:p>
        </w:tc>
        <w:tc>
          <w:tcPr>
            <w:tcW w:w="855" w:type="dxa"/>
            <w:tcBorders>
              <w:top w:val="single" w:color="000000" w:sz="4" w:space="0"/>
              <w:left w:val="single" w:color="auto" w:sz="4" w:space="0"/>
              <w:bottom w:val="single" w:color="000000" w:sz="4" w:space="0"/>
              <w:right w:val="single" w:color="000000" w:sz="4" w:space="0"/>
            </w:tcBorders>
            <w:shd w:val="clear" w:color="auto" w:fill="auto"/>
            <w:vAlign w:val="center"/>
          </w:tcPr>
          <w:p w14:paraId="560F7A51">
            <w:pPr>
              <w:keepNext w:val="0"/>
              <w:keepLines w:val="0"/>
              <w:pageBreakBefore w:val="0"/>
              <w:widowControl/>
              <w:suppressLineNumbers w:val="0"/>
              <w:tabs>
                <w:tab w:val="center" w:pos="3515"/>
                <w:tab w:val="right" w:pos="6912"/>
              </w:tabs>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间距标准（米）</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27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拟布局数量（个）</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F7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现存数量（个）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05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增减（个）</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9C7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区域划分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C6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0329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008" w:type="dxa"/>
            <w:vMerge w:val="restart"/>
            <w:tcBorders>
              <w:top w:val="single" w:color="000000" w:sz="4" w:space="0"/>
              <w:left w:val="single" w:color="000000" w:sz="4" w:space="0"/>
              <w:right w:val="single" w:color="000000" w:sz="4" w:space="0"/>
            </w:tcBorders>
            <w:shd w:val="clear" w:color="auto" w:fill="auto"/>
            <w:vAlign w:val="center"/>
          </w:tcPr>
          <w:p w14:paraId="77F173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乡镇</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5F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桃川镇</w:t>
            </w:r>
          </w:p>
        </w:tc>
        <w:tc>
          <w:tcPr>
            <w:tcW w:w="37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C5556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辖6个行政村</w:t>
            </w:r>
          </w:p>
          <w:p w14:paraId="06CD26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（镇政府设在灵丹庙村）</w:t>
            </w:r>
          </w:p>
        </w:tc>
        <w:tc>
          <w:tcPr>
            <w:tcW w:w="1020" w:type="dxa"/>
            <w:tcBorders>
              <w:top w:val="single" w:color="000000" w:sz="4" w:space="0"/>
              <w:left w:val="single" w:color="auto" w:sz="4" w:space="0"/>
              <w:bottom w:val="single" w:color="000000" w:sz="4" w:space="0"/>
              <w:right w:val="single" w:color="auto" w:sz="4" w:space="0"/>
            </w:tcBorders>
            <w:shd w:val="clear" w:color="auto" w:fill="auto"/>
            <w:vAlign w:val="center"/>
          </w:tcPr>
          <w:p w14:paraId="4483406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440</w:t>
            </w:r>
          </w:p>
        </w:tc>
        <w:tc>
          <w:tcPr>
            <w:tcW w:w="855" w:type="dxa"/>
            <w:tcBorders>
              <w:top w:val="single" w:color="000000" w:sz="4" w:space="0"/>
              <w:left w:val="single" w:color="auto" w:sz="4" w:space="0"/>
              <w:bottom w:val="single" w:color="000000" w:sz="4" w:space="0"/>
              <w:right w:val="single" w:color="000000" w:sz="4" w:space="0"/>
            </w:tcBorders>
            <w:shd w:val="clear" w:color="auto" w:fill="auto"/>
            <w:vAlign w:val="center"/>
          </w:tcPr>
          <w:p w14:paraId="201D34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A1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A1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AC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D7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79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5C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008" w:type="dxa"/>
            <w:vMerge w:val="continue"/>
            <w:tcBorders>
              <w:left w:val="single" w:color="000000" w:sz="4" w:space="0"/>
              <w:right w:val="single" w:color="000000" w:sz="4" w:space="0"/>
            </w:tcBorders>
            <w:shd w:val="clear" w:color="auto" w:fill="auto"/>
            <w:vAlign w:val="center"/>
          </w:tcPr>
          <w:p w14:paraId="52794A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3C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鹦鸽镇</w:t>
            </w:r>
          </w:p>
        </w:tc>
        <w:tc>
          <w:tcPr>
            <w:tcW w:w="37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B0C54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辖11个行政村</w:t>
            </w:r>
          </w:p>
          <w:p w14:paraId="44DEF8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（镇政府设在鹦鸽街村）</w:t>
            </w:r>
          </w:p>
        </w:tc>
        <w:tc>
          <w:tcPr>
            <w:tcW w:w="1020" w:type="dxa"/>
            <w:tcBorders>
              <w:top w:val="single" w:color="000000" w:sz="4" w:space="0"/>
              <w:left w:val="single" w:color="auto" w:sz="4" w:space="0"/>
              <w:bottom w:val="single" w:color="000000" w:sz="4" w:space="0"/>
              <w:right w:val="single" w:color="auto" w:sz="4" w:space="0"/>
            </w:tcBorders>
            <w:shd w:val="clear" w:color="auto" w:fill="auto"/>
            <w:vAlign w:val="center"/>
          </w:tcPr>
          <w:p w14:paraId="6ADFF9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517</w:t>
            </w:r>
          </w:p>
        </w:tc>
        <w:tc>
          <w:tcPr>
            <w:tcW w:w="855" w:type="dxa"/>
            <w:tcBorders>
              <w:top w:val="single" w:color="000000" w:sz="4" w:space="0"/>
              <w:left w:val="single" w:color="auto" w:sz="4" w:space="0"/>
              <w:bottom w:val="single" w:color="000000" w:sz="4" w:space="0"/>
              <w:right w:val="single" w:color="000000" w:sz="4" w:space="0"/>
            </w:tcBorders>
            <w:shd w:val="clear" w:color="auto" w:fill="auto"/>
            <w:vAlign w:val="center"/>
          </w:tcPr>
          <w:p w14:paraId="24F258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97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3B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C8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52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CE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87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008" w:type="dxa"/>
            <w:vMerge w:val="continue"/>
            <w:tcBorders>
              <w:left w:val="single" w:color="000000" w:sz="4" w:space="0"/>
              <w:right w:val="single" w:color="000000" w:sz="4" w:space="0"/>
            </w:tcBorders>
            <w:shd w:val="clear" w:color="auto" w:fill="auto"/>
            <w:vAlign w:val="center"/>
          </w:tcPr>
          <w:p w14:paraId="6EABEB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7A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靖口镇</w:t>
            </w:r>
          </w:p>
        </w:tc>
        <w:tc>
          <w:tcPr>
            <w:tcW w:w="37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6BE41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辖6个行政村</w:t>
            </w:r>
          </w:p>
          <w:p w14:paraId="579F8B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（镇政府设在关上街村）</w:t>
            </w:r>
          </w:p>
        </w:tc>
        <w:tc>
          <w:tcPr>
            <w:tcW w:w="1020" w:type="dxa"/>
            <w:tcBorders>
              <w:top w:val="single" w:color="000000" w:sz="4" w:space="0"/>
              <w:left w:val="single" w:color="auto" w:sz="4" w:space="0"/>
              <w:bottom w:val="single" w:color="000000" w:sz="4" w:space="0"/>
              <w:right w:val="single" w:color="auto" w:sz="4" w:space="0"/>
            </w:tcBorders>
            <w:shd w:val="clear" w:color="auto" w:fill="auto"/>
            <w:vAlign w:val="center"/>
          </w:tcPr>
          <w:p w14:paraId="144DEA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243</w:t>
            </w:r>
          </w:p>
        </w:tc>
        <w:tc>
          <w:tcPr>
            <w:tcW w:w="855" w:type="dxa"/>
            <w:tcBorders>
              <w:top w:val="single" w:color="000000" w:sz="4" w:space="0"/>
              <w:left w:val="single" w:color="auto" w:sz="4" w:space="0"/>
              <w:bottom w:val="single" w:color="000000" w:sz="4" w:space="0"/>
              <w:right w:val="single" w:color="000000" w:sz="4" w:space="0"/>
            </w:tcBorders>
            <w:shd w:val="clear" w:color="auto" w:fill="auto"/>
            <w:vAlign w:val="center"/>
          </w:tcPr>
          <w:p w14:paraId="7E79FF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71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F6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E7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22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48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D0E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8" w:type="dxa"/>
            <w:vMerge w:val="continue"/>
            <w:tcBorders>
              <w:left w:val="single" w:color="000000" w:sz="4" w:space="0"/>
              <w:right w:val="single" w:color="000000" w:sz="4" w:space="0"/>
            </w:tcBorders>
            <w:shd w:val="clear" w:color="auto" w:fill="auto"/>
            <w:vAlign w:val="center"/>
          </w:tcPr>
          <w:p w14:paraId="4FDAA3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58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太白河镇</w:t>
            </w:r>
          </w:p>
        </w:tc>
        <w:tc>
          <w:tcPr>
            <w:tcW w:w="3702" w:type="dxa"/>
            <w:tcBorders>
              <w:top w:val="single" w:color="000000" w:sz="4" w:space="0"/>
              <w:left w:val="single" w:color="000000" w:sz="4" w:space="0"/>
              <w:bottom w:val="single" w:color="000000" w:sz="4" w:space="0"/>
              <w:right w:val="single" w:color="auto" w:sz="4" w:space="0"/>
            </w:tcBorders>
            <w:shd w:val="clear" w:color="auto" w:fill="auto"/>
            <w:vAlign w:val="center"/>
          </w:tcPr>
          <w:p w14:paraId="539D64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辖2个行政村</w:t>
            </w:r>
          </w:p>
          <w:p w14:paraId="6CCBC6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（镇政府设在兴隆村）</w:t>
            </w:r>
          </w:p>
        </w:tc>
        <w:tc>
          <w:tcPr>
            <w:tcW w:w="1020" w:type="dxa"/>
            <w:tcBorders>
              <w:top w:val="single" w:color="000000" w:sz="4" w:space="0"/>
              <w:left w:val="single" w:color="auto" w:sz="4" w:space="0"/>
              <w:bottom w:val="single" w:color="000000" w:sz="4" w:space="0"/>
              <w:right w:val="single" w:color="auto" w:sz="4" w:space="0"/>
            </w:tcBorders>
            <w:shd w:val="clear" w:color="auto" w:fill="auto"/>
            <w:vAlign w:val="center"/>
          </w:tcPr>
          <w:p w14:paraId="571C75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498</w:t>
            </w:r>
          </w:p>
        </w:tc>
        <w:tc>
          <w:tcPr>
            <w:tcW w:w="855" w:type="dxa"/>
            <w:tcBorders>
              <w:top w:val="single" w:color="000000" w:sz="4" w:space="0"/>
              <w:left w:val="single" w:color="auto" w:sz="4" w:space="0"/>
              <w:bottom w:val="single" w:color="000000" w:sz="4" w:space="0"/>
              <w:right w:val="single" w:color="000000" w:sz="4" w:space="0"/>
            </w:tcBorders>
            <w:shd w:val="clear" w:color="auto" w:fill="auto"/>
            <w:vAlign w:val="center"/>
          </w:tcPr>
          <w:p w14:paraId="4E9C941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A3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78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ED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41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1D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8D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008" w:type="dxa"/>
            <w:vMerge w:val="continue"/>
            <w:tcBorders>
              <w:left w:val="single" w:color="000000" w:sz="4" w:space="0"/>
              <w:right w:val="single" w:color="000000" w:sz="4" w:space="0"/>
            </w:tcBorders>
            <w:shd w:val="clear" w:color="auto" w:fill="auto"/>
            <w:vAlign w:val="center"/>
          </w:tcPr>
          <w:p w14:paraId="4F5ADC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DD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黄柏塬镇</w:t>
            </w:r>
          </w:p>
        </w:tc>
        <w:tc>
          <w:tcPr>
            <w:tcW w:w="3702" w:type="dxa"/>
            <w:tcBorders>
              <w:top w:val="single" w:color="000000" w:sz="4" w:space="0"/>
              <w:left w:val="single" w:color="000000" w:sz="4" w:space="0"/>
              <w:bottom w:val="single" w:color="000000" w:sz="4" w:space="0"/>
              <w:right w:val="single" w:color="auto" w:sz="4" w:space="0"/>
            </w:tcBorders>
            <w:shd w:val="clear" w:color="auto" w:fill="auto"/>
            <w:vAlign w:val="center"/>
          </w:tcPr>
          <w:p w14:paraId="6F5095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辖3个行政村</w:t>
            </w:r>
          </w:p>
          <w:p w14:paraId="4DC23B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（镇政府设在黄柏塬村）</w:t>
            </w:r>
          </w:p>
        </w:tc>
        <w:tc>
          <w:tcPr>
            <w:tcW w:w="1020" w:type="dxa"/>
            <w:tcBorders>
              <w:top w:val="single" w:color="000000" w:sz="4" w:space="0"/>
              <w:left w:val="single" w:color="auto" w:sz="4" w:space="0"/>
              <w:bottom w:val="single" w:color="000000" w:sz="4" w:space="0"/>
              <w:right w:val="single" w:color="auto" w:sz="4" w:space="0"/>
            </w:tcBorders>
            <w:shd w:val="clear" w:color="auto" w:fill="auto"/>
            <w:vAlign w:val="center"/>
          </w:tcPr>
          <w:p w14:paraId="571894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462</w:t>
            </w:r>
          </w:p>
        </w:tc>
        <w:tc>
          <w:tcPr>
            <w:tcW w:w="855" w:type="dxa"/>
            <w:tcBorders>
              <w:top w:val="single" w:color="000000" w:sz="4" w:space="0"/>
              <w:left w:val="single" w:color="auto" w:sz="4" w:space="0"/>
              <w:bottom w:val="single" w:color="000000" w:sz="4" w:space="0"/>
              <w:right w:val="single" w:color="000000" w:sz="4" w:space="0"/>
            </w:tcBorders>
            <w:shd w:val="clear" w:color="auto" w:fill="auto"/>
            <w:vAlign w:val="center"/>
          </w:tcPr>
          <w:p w14:paraId="246C65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5F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1D3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26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B8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color w:val="auto"/>
                <w:sz w:val="24"/>
                <w:szCs w:val="24"/>
                <w:highlight w:val="none"/>
                <w:lang w:val="en-US" w:eastAsia="zh-CN" w:bidi="ar"/>
              </w:rPr>
              <w:t>饱和区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F7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6BE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1008" w:type="dxa"/>
            <w:vMerge w:val="continue"/>
            <w:tcBorders>
              <w:left w:val="single" w:color="000000" w:sz="4" w:space="0"/>
              <w:right w:val="single" w:color="000000" w:sz="4" w:space="0"/>
            </w:tcBorders>
            <w:shd w:val="clear" w:color="auto" w:fill="auto"/>
            <w:vAlign w:val="center"/>
          </w:tcPr>
          <w:p w14:paraId="629315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3F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王家堎镇</w:t>
            </w:r>
          </w:p>
        </w:tc>
        <w:tc>
          <w:tcPr>
            <w:tcW w:w="3702" w:type="dxa"/>
            <w:tcBorders>
              <w:top w:val="single" w:color="000000" w:sz="4" w:space="0"/>
              <w:left w:val="single" w:color="000000" w:sz="4" w:space="0"/>
              <w:bottom w:val="single" w:color="000000" w:sz="4" w:space="0"/>
              <w:right w:val="single" w:color="auto" w:sz="4" w:space="0"/>
            </w:tcBorders>
            <w:shd w:val="clear" w:color="auto" w:fill="auto"/>
            <w:vAlign w:val="center"/>
          </w:tcPr>
          <w:p w14:paraId="355728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辖3个行政村</w:t>
            </w:r>
          </w:p>
          <w:p w14:paraId="1D831C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（镇政府设在中明村）</w:t>
            </w:r>
          </w:p>
        </w:tc>
        <w:tc>
          <w:tcPr>
            <w:tcW w:w="1020" w:type="dxa"/>
            <w:tcBorders>
              <w:top w:val="single" w:color="000000" w:sz="4" w:space="0"/>
              <w:left w:val="single" w:color="auto" w:sz="4" w:space="0"/>
              <w:bottom w:val="single" w:color="000000" w:sz="4" w:space="0"/>
              <w:right w:val="single" w:color="auto" w:sz="4" w:space="0"/>
            </w:tcBorders>
            <w:shd w:val="clear" w:color="auto" w:fill="auto"/>
            <w:vAlign w:val="center"/>
          </w:tcPr>
          <w:p w14:paraId="06C4FC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525</w:t>
            </w:r>
          </w:p>
        </w:tc>
        <w:tc>
          <w:tcPr>
            <w:tcW w:w="855" w:type="dxa"/>
            <w:tcBorders>
              <w:top w:val="single" w:color="000000" w:sz="4" w:space="0"/>
              <w:left w:val="single" w:color="auto" w:sz="4" w:space="0"/>
              <w:bottom w:val="single" w:color="000000" w:sz="4" w:space="0"/>
              <w:right w:val="single" w:color="000000" w:sz="4" w:space="0"/>
            </w:tcBorders>
            <w:shd w:val="clear" w:color="auto" w:fill="auto"/>
            <w:vAlign w:val="center"/>
          </w:tcPr>
          <w:p w14:paraId="693FDF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EFD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CA5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DE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30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A0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B78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08" w:type="dxa"/>
            <w:tcBorders>
              <w:left w:val="single" w:color="000000" w:sz="4" w:space="0"/>
              <w:bottom w:val="single" w:color="auto" w:sz="4" w:space="0"/>
              <w:right w:val="single" w:color="000000" w:sz="4" w:space="0"/>
            </w:tcBorders>
            <w:shd w:val="clear" w:color="auto" w:fill="auto"/>
            <w:vAlign w:val="center"/>
          </w:tcPr>
          <w:p w14:paraId="560C54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98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7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84954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20" w:type="dxa"/>
            <w:tcBorders>
              <w:top w:val="single" w:color="000000" w:sz="4" w:space="0"/>
              <w:left w:val="single" w:color="auto" w:sz="4" w:space="0"/>
              <w:bottom w:val="single" w:color="000000" w:sz="4" w:space="0"/>
              <w:right w:val="single" w:color="auto" w:sz="4" w:space="0"/>
            </w:tcBorders>
            <w:shd w:val="clear" w:color="auto" w:fill="auto"/>
            <w:vAlign w:val="center"/>
          </w:tcPr>
          <w:p w14:paraId="76E646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55" w:type="dxa"/>
            <w:tcBorders>
              <w:top w:val="single" w:color="000000" w:sz="4" w:space="0"/>
              <w:left w:val="single" w:color="auto" w:sz="4" w:space="0"/>
              <w:bottom w:val="single" w:color="000000" w:sz="4" w:space="0"/>
              <w:right w:val="single" w:color="000000" w:sz="4" w:space="0"/>
            </w:tcBorders>
            <w:shd w:val="clear" w:color="auto" w:fill="auto"/>
            <w:vAlign w:val="center"/>
          </w:tcPr>
          <w:p w14:paraId="252606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0E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49</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25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0A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91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42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0D869039">
      <w:pPr>
        <w:rPr>
          <w:color w:val="auto"/>
        </w:rPr>
      </w:pPr>
    </w:p>
    <w:p w14:paraId="4A79994D">
      <w:pPr>
        <w:rPr>
          <w:color w:val="auto"/>
        </w:rPr>
      </w:pPr>
      <w:r>
        <w:rPr>
          <w:color w:val="auto"/>
        </w:rPr>
        <w:br w:type="page"/>
      </w:r>
    </w:p>
    <w:p w14:paraId="475A520C">
      <w:pPr>
        <w:spacing w:line="590" w:lineRule="exact"/>
        <w:jc w:val="center"/>
        <w:rPr>
          <w:rFonts w:hint="eastAsia" w:ascii="仿宋_GB2312" w:hAnsi="黑体" w:eastAsia="仿宋_GB2312" w:cs="宋体"/>
          <w:color w:val="auto"/>
          <w:sz w:val="32"/>
          <w:szCs w:val="32"/>
          <w:highlight w:val="none"/>
          <w:lang w:bidi="ug-CN"/>
        </w:rPr>
      </w:pPr>
      <w:r>
        <w:rPr>
          <w:rFonts w:hint="eastAsia" w:ascii="黑体" w:hAnsi="黑体" w:eastAsia="黑体"/>
          <w:color w:val="auto"/>
          <w:sz w:val="32"/>
          <w:szCs w:val="32"/>
          <w:lang w:val="en-US" w:eastAsia="zh-CN"/>
        </w:rPr>
        <w:t>太白县烟草制品零售点最小市场单元合理布局规划明细表（行政村）</w:t>
      </w:r>
    </w:p>
    <w:tbl>
      <w:tblPr>
        <w:tblStyle w:val="10"/>
        <w:tblW w:w="493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9"/>
        <w:gridCol w:w="1599"/>
        <w:gridCol w:w="2923"/>
        <w:gridCol w:w="1809"/>
        <w:gridCol w:w="1437"/>
        <w:gridCol w:w="1291"/>
        <w:gridCol w:w="720"/>
        <w:gridCol w:w="1364"/>
        <w:gridCol w:w="1845"/>
      </w:tblGrid>
      <w:tr w14:paraId="0368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03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区域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35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单元格名称</w:t>
            </w: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444551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市场单元区域描述</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3B4EAB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经济发展情况</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9A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拟布局数量</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B2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现存数量</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5B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增减</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DB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区域划分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6D2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7AEF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57" w:type="pct"/>
            <w:vMerge w:val="restart"/>
            <w:tcBorders>
              <w:top w:val="single" w:color="000000" w:sz="4" w:space="0"/>
              <w:left w:val="single" w:color="000000" w:sz="4" w:space="0"/>
              <w:right w:val="single" w:color="000000" w:sz="4" w:space="0"/>
            </w:tcBorders>
            <w:shd w:val="clear" w:color="auto" w:fill="auto"/>
            <w:vAlign w:val="center"/>
          </w:tcPr>
          <w:p w14:paraId="29C3EDF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行政村</w:t>
            </w:r>
          </w:p>
        </w:tc>
        <w:tc>
          <w:tcPr>
            <w:tcW w:w="571" w:type="pct"/>
            <w:vMerge w:val="restart"/>
            <w:tcBorders>
              <w:top w:val="single" w:color="000000" w:sz="4" w:space="0"/>
              <w:left w:val="single" w:color="000000" w:sz="4" w:space="0"/>
              <w:right w:val="single" w:color="000000" w:sz="4" w:space="0"/>
            </w:tcBorders>
            <w:shd w:val="clear" w:color="auto" w:fill="auto"/>
            <w:vAlign w:val="center"/>
          </w:tcPr>
          <w:p w14:paraId="42D3CE7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咀头镇</w:t>
            </w:r>
          </w:p>
          <w:p w14:paraId="56CEDB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（15272人）</w:t>
            </w:r>
          </w:p>
          <w:p w14:paraId="4FEDBA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397060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塘口村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05C221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一般发达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99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5F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6B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FE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B9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靠近滑雪场、民宿区</w:t>
            </w:r>
          </w:p>
        </w:tc>
      </w:tr>
      <w:tr w14:paraId="1AE4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57" w:type="pct"/>
            <w:vMerge w:val="continue"/>
            <w:tcBorders>
              <w:left w:val="single" w:color="000000" w:sz="4" w:space="0"/>
              <w:right w:val="single" w:color="000000" w:sz="4" w:space="0"/>
            </w:tcBorders>
            <w:shd w:val="clear" w:color="auto" w:fill="auto"/>
            <w:vAlign w:val="center"/>
          </w:tcPr>
          <w:p w14:paraId="3C2BEA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left w:val="single" w:color="000000" w:sz="4" w:space="0"/>
              <w:right w:val="single" w:color="000000" w:sz="4" w:space="0"/>
            </w:tcBorders>
            <w:shd w:val="clear" w:color="auto" w:fill="auto"/>
            <w:vAlign w:val="center"/>
          </w:tcPr>
          <w:p w14:paraId="25A321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449F88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拐里村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49A50E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一般发达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33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6E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DD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63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47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靠近滑雪场、民宿区、高速出口</w:t>
            </w:r>
          </w:p>
        </w:tc>
      </w:tr>
      <w:tr w14:paraId="59FB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357" w:type="pct"/>
            <w:vMerge w:val="continue"/>
            <w:tcBorders>
              <w:left w:val="single" w:color="000000" w:sz="4" w:space="0"/>
              <w:right w:val="single" w:color="000000" w:sz="4" w:space="0"/>
            </w:tcBorders>
            <w:shd w:val="clear" w:color="auto" w:fill="auto"/>
            <w:vAlign w:val="center"/>
          </w:tcPr>
          <w:p w14:paraId="7865C1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left w:val="single" w:color="000000" w:sz="4" w:space="0"/>
              <w:right w:val="single" w:color="000000" w:sz="4" w:space="0"/>
            </w:tcBorders>
            <w:shd w:val="clear" w:color="auto" w:fill="auto"/>
            <w:vAlign w:val="center"/>
          </w:tcPr>
          <w:p w14:paraId="5BCE0B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16DBBD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黄凤山村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6623D6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一般发达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A9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34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DC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97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24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租赁人口较多</w:t>
            </w:r>
          </w:p>
        </w:tc>
      </w:tr>
      <w:tr w14:paraId="6A21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357" w:type="pct"/>
            <w:vMerge w:val="continue"/>
            <w:tcBorders>
              <w:left w:val="single" w:color="000000" w:sz="4" w:space="0"/>
              <w:right w:val="single" w:color="000000" w:sz="4" w:space="0"/>
            </w:tcBorders>
            <w:shd w:val="clear" w:color="auto" w:fill="auto"/>
            <w:vAlign w:val="center"/>
          </w:tcPr>
          <w:p w14:paraId="0326E6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left w:val="single" w:color="000000" w:sz="4" w:space="0"/>
              <w:right w:val="single" w:color="000000" w:sz="4" w:space="0"/>
            </w:tcBorders>
            <w:shd w:val="clear" w:color="auto" w:fill="auto"/>
            <w:vAlign w:val="center"/>
          </w:tcPr>
          <w:p w14:paraId="0FB6FD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00AAB8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凉峪村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7896C1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一般发达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CB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8E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4D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49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4F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租赁人口较多</w:t>
            </w:r>
          </w:p>
        </w:tc>
      </w:tr>
      <w:tr w14:paraId="0F5A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357" w:type="pct"/>
            <w:vMerge w:val="continue"/>
            <w:tcBorders>
              <w:left w:val="single" w:color="000000" w:sz="4" w:space="0"/>
              <w:right w:val="single" w:color="000000" w:sz="4" w:space="0"/>
            </w:tcBorders>
            <w:shd w:val="clear" w:color="auto" w:fill="auto"/>
            <w:vAlign w:val="center"/>
          </w:tcPr>
          <w:p w14:paraId="525241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left w:val="single" w:color="000000" w:sz="4" w:space="0"/>
              <w:right w:val="single" w:color="000000" w:sz="4" w:space="0"/>
            </w:tcBorders>
            <w:shd w:val="clear" w:color="auto" w:fill="auto"/>
            <w:vAlign w:val="center"/>
          </w:tcPr>
          <w:p w14:paraId="58D511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1BE6AA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方才关村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350C55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一般发达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33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FE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49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D6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FC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CBF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357" w:type="pct"/>
            <w:vMerge w:val="continue"/>
            <w:tcBorders>
              <w:left w:val="single" w:color="000000" w:sz="4" w:space="0"/>
              <w:right w:val="single" w:color="000000" w:sz="4" w:space="0"/>
            </w:tcBorders>
            <w:shd w:val="clear" w:color="auto" w:fill="auto"/>
            <w:vAlign w:val="center"/>
          </w:tcPr>
          <w:p w14:paraId="4730B7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left w:val="single" w:color="000000" w:sz="4" w:space="0"/>
              <w:right w:val="single" w:color="000000" w:sz="4" w:space="0"/>
            </w:tcBorders>
            <w:shd w:val="clear" w:color="auto" w:fill="auto"/>
            <w:vAlign w:val="center"/>
          </w:tcPr>
          <w:p w14:paraId="68F6F8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636BC9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梅湾村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196C86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一般发达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44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21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F6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4C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49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高速出口</w:t>
            </w:r>
          </w:p>
        </w:tc>
      </w:tr>
      <w:tr w14:paraId="7DF2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357" w:type="pct"/>
            <w:vMerge w:val="continue"/>
            <w:tcBorders>
              <w:left w:val="single" w:color="000000" w:sz="4" w:space="0"/>
              <w:right w:val="single" w:color="000000" w:sz="4" w:space="0"/>
            </w:tcBorders>
            <w:shd w:val="clear" w:color="auto" w:fill="auto"/>
            <w:vAlign w:val="center"/>
          </w:tcPr>
          <w:p w14:paraId="2353CE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left w:val="single" w:color="000000" w:sz="4" w:space="0"/>
              <w:right w:val="single" w:color="000000" w:sz="4" w:space="0"/>
            </w:tcBorders>
            <w:shd w:val="clear" w:color="auto" w:fill="auto"/>
            <w:vAlign w:val="center"/>
          </w:tcPr>
          <w:p w14:paraId="13BA86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310C98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强里川村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6FB2109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20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527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B5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FC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rFonts w:hint="eastAsia"/>
                <w:color w:val="auto"/>
                <w:sz w:val="24"/>
                <w:szCs w:val="24"/>
                <w:highlight w:val="none"/>
                <w:lang w:val="en-US" w:eastAsia="zh-CN" w:bidi="ar"/>
              </w:rPr>
              <w:t>一般区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1A5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4A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357" w:type="pct"/>
            <w:vMerge w:val="continue"/>
            <w:tcBorders>
              <w:left w:val="single" w:color="000000" w:sz="4" w:space="0"/>
              <w:right w:val="single" w:color="000000" w:sz="4" w:space="0"/>
            </w:tcBorders>
            <w:shd w:val="clear" w:color="auto" w:fill="auto"/>
            <w:vAlign w:val="center"/>
          </w:tcPr>
          <w:p w14:paraId="4EBB7C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left w:val="single" w:color="000000" w:sz="4" w:space="0"/>
              <w:right w:val="single" w:color="000000" w:sz="4" w:space="0"/>
            </w:tcBorders>
            <w:shd w:val="clear" w:color="auto" w:fill="auto"/>
            <w:vAlign w:val="center"/>
          </w:tcPr>
          <w:p w14:paraId="160340B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290CAF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沪家塬村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4D7684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F2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AD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43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97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color w:val="auto"/>
                <w:sz w:val="24"/>
                <w:szCs w:val="24"/>
                <w:highlight w:val="none"/>
                <w:lang w:val="en-US" w:eastAsia="zh-CN" w:bidi="ar"/>
              </w:rPr>
              <w:t>饱和区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94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5F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57" w:type="pct"/>
            <w:vMerge w:val="continue"/>
            <w:tcBorders>
              <w:left w:val="single" w:color="000000" w:sz="4" w:space="0"/>
              <w:right w:val="single" w:color="000000" w:sz="4" w:space="0"/>
            </w:tcBorders>
            <w:shd w:val="clear" w:color="auto" w:fill="auto"/>
            <w:vAlign w:val="center"/>
          </w:tcPr>
          <w:p w14:paraId="30E9FF8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left w:val="single" w:color="000000" w:sz="4" w:space="0"/>
              <w:right w:val="single" w:color="000000" w:sz="4" w:space="0"/>
            </w:tcBorders>
            <w:shd w:val="clear" w:color="auto" w:fill="auto"/>
            <w:vAlign w:val="center"/>
          </w:tcPr>
          <w:p w14:paraId="18B88E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301A57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七里川村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47A1F4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5A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A1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4C9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8D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rFonts w:hint="eastAsia"/>
                <w:color w:val="auto"/>
                <w:sz w:val="24"/>
                <w:szCs w:val="24"/>
                <w:highlight w:val="none"/>
                <w:lang w:val="en-US" w:eastAsia="zh-CN" w:bidi="ar"/>
              </w:rPr>
              <w:t>一般区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C3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C5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7" w:type="pct"/>
            <w:vMerge w:val="continue"/>
            <w:tcBorders>
              <w:left w:val="single" w:color="000000" w:sz="4" w:space="0"/>
              <w:right w:val="single" w:color="000000" w:sz="4" w:space="0"/>
            </w:tcBorders>
            <w:shd w:val="clear" w:color="auto" w:fill="auto"/>
            <w:vAlign w:val="center"/>
          </w:tcPr>
          <w:p w14:paraId="7CC740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left w:val="single" w:color="000000" w:sz="4" w:space="0"/>
              <w:right w:val="single" w:color="000000" w:sz="4" w:space="0"/>
            </w:tcBorders>
            <w:shd w:val="clear" w:color="auto" w:fill="auto"/>
            <w:vAlign w:val="center"/>
          </w:tcPr>
          <w:p w14:paraId="6FBA61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6EB58B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李家沟村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15B9DF2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57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A8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AC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40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rFonts w:hint="eastAsia"/>
                <w:color w:val="auto"/>
                <w:sz w:val="24"/>
                <w:szCs w:val="24"/>
                <w:highlight w:val="none"/>
                <w:lang w:val="en-US" w:eastAsia="zh-CN" w:bidi="ar"/>
              </w:rPr>
              <w:t>一般区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527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4C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7" w:type="pct"/>
            <w:vMerge w:val="continue"/>
            <w:tcBorders>
              <w:left w:val="single" w:color="000000" w:sz="4" w:space="0"/>
              <w:right w:val="single" w:color="000000" w:sz="4" w:space="0"/>
            </w:tcBorders>
            <w:shd w:val="clear" w:color="auto" w:fill="auto"/>
            <w:vAlign w:val="center"/>
          </w:tcPr>
          <w:p w14:paraId="7A8117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left w:val="single" w:color="000000" w:sz="4" w:space="0"/>
              <w:right w:val="single" w:color="000000" w:sz="4" w:space="0"/>
            </w:tcBorders>
            <w:shd w:val="clear" w:color="auto" w:fill="auto"/>
            <w:vAlign w:val="center"/>
          </w:tcPr>
          <w:p w14:paraId="276F66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1A828C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红星村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74B9FB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7A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A9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03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A0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rFonts w:hint="eastAsia"/>
                <w:color w:val="auto"/>
                <w:sz w:val="24"/>
                <w:szCs w:val="24"/>
                <w:highlight w:val="none"/>
                <w:lang w:val="en-US" w:eastAsia="zh-CN" w:bidi="ar"/>
              </w:rPr>
              <w:t>一般区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4A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2FB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357" w:type="pct"/>
            <w:vMerge w:val="continue"/>
            <w:tcBorders>
              <w:left w:val="single" w:color="000000" w:sz="4" w:space="0"/>
              <w:bottom w:val="single" w:color="auto" w:sz="4" w:space="0"/>
              <w:right w:val="single" w:color="000000" w:sz="4" w:space="0"/>
            </w:tcBorders>
            <w:shd w:val="clear" w:color="auto" w:fill="auto"/>
            <w:vAlign w:val="center"/>
          </w:tcPr>
          <w:p w14:paraId="615A4B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left w:val="single" w:color="000000" w:sz="4" w:space="0"/>
              <w:bottom w:val="single" w:color="auto" w:sz="4" w:space="0"/>
              <w:right w:val="single" w:color="000000" w:sz="4" w:space="0"/>
            </w:tcBorders>
            <w:shd w:val="clear" w:color="auto" w:fill="auto"/>
            <w:vAlign w:val="center"/>
          </w:tcPr>
          <w:p w14:paraId="62302B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07356A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白云村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308916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一般发达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75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8A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19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01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rFonts w:hint="eastAsia"/>
                <w:color w:val="auto"/>
                <w:sz w:val="24"/>
                <w:szCs w:val="24"/>
                <w:highlight w:val="none"/>
                <w:lang w:val="en-US" w:eastAsia="zh-CN" w:bidi="ar"/>
              </w:rPr>
              <w:t>一般区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34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DD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357" w:type="pct"/>
            <w:vMerge w:val="continue"/>
            <w:tcBorders>
              <w:left w:val="single" w:color="000000" w:sz="4" w:space="0"/>
              <w:bottom w:val="single" w:color="auto" w:sz="4" w:space="0"/>
              <w:right w:val="single" w:color="000000" w:sz="4" w:space="0"/>
            </w:tcBorders>
            <w:shd w:val="clear" w:color="auto" w:fill="auto"/>
            <w:vAlign w:val="center"/>
          </w:tcPr>
          <w:p w14:paraId="1BC21643">
            <w:pPr>
              <w:keepNext w:val="0"/>
              <w:keepLines w:val="0"/>
              <w:pageBreakBefore w:val="0"/>
              <w:widowControl/>
              <w:suppressLineNumbers w:val="0"/>
              <w:kinsoku/>
              <w:wordWrap/>
              <w:overflowPunct/>
              <w:topLinePunct w:val="0"/>
              <w:autoSpaceDE/>
              <w:autoSpaceDN/>
              <w:bidi w:val="0"/>
              <w:adjustRightInd/>
              <w:snapToGrid w:val="0"/>
              <w:jc w:val="center"/>
              <w:textAlignment w:val="center"/>
            </w:pPr>
          </w:p>
        </w:tc>
        <w:tc>
          <w:tcPr>
            <w:tcW w:w="571" w:type="pct"/>
            <w:vMerge w:val="continue"/>
            <w:tcBorders>
              <w:left w:val="single" w:color="000000" w:sz="4" w:space="0"/>
              <w:bottom w:val="single" w:color="auto" w:sz="4" w:space="0"/>
              <w:right w:val="single" w:color="000000" w:sz="4" w:space="0"/>
            </w:tcBorders>
            <w:shd w:val="clear" w:color="auto" w:fill="auto"/>
            <w:vAlign w:val="center"/>
          </w:tcPr>
          <w:p w14:paraId="2DEFEFBC">
            <w:pPr>
              <w:keepNext w:val="0"/>
              <w:keepLines w:val="0"/>
              <w:pageBreakBefore w:val="0"/>
              <w:widowControl/>
              <w:suppressLineNumbers w:val="0"/>
              <w:kinsoku/>
              <w:wordWrap/>
              <w:overflowPunct/>
              <w:topLinePunct w:val="0"/>
              <w:autoSpaceDE/>
              <w:autoSpaceDN/>
              <w:bidi w:val="0"/>
              <w:adjustRightInd/>
              <w:snapToGrid w:val="0"/>
              <w:jc w:val="center"/>
              <w:textAlignment w:val="cente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62C1E8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2557B6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A5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812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26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5D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7C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r>
      <w:tr w14:paraId="5982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57"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EEFF9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行政村</w:t>
            </w:r>
          </w:p>
        </w:tc>
        <w:tc>
          <w:tcPr>
            <w:tcW w:w="5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C1E61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桃川镇</w:t>
            </w:r>
          </w:p>
          <w:p w14:paraId="597C72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（5222人）</w:t>
            </w: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1B5803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白杨塬村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67210A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F0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7A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7D9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362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color w:val="auto"/>
                <w:sz w:val="24"/>
                <w:szCs w:val="24"/>
                <w:highlight w:val="none"/>
                <w:lang w:val="en-US" w:eastAsia="zh-CN" w:bidi="ar"/>
              </w:rPr>
              <w:t>饱和区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73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73C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9A37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E28C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2B31967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枣园村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40E162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A5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F8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FD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DD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74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CD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7475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C93F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660FD5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奎星楼村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147726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60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1F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178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3D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rFonts w:hint="eastAsia"/>
                <w:color w:val="auto"/>
                <w:sz w:val="24"/>
                <w:szCs w:val="24"/>
                <w:highlight w:val="none"/>
                <w:lang w:val="en-US" w:eastAsia="zh-CN" w:bidi="ar"/>
              </w:rPr>
              <w:t>一般区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78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高速出口</w:t>
            </w:r>
          </w:p>
        </w:tc>
      </w:tr>
      <w:tr w14:paraId="11E4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4DE9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42DD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56E5DF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杜家庄村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501633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51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AE9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F9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80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color w:val="auto"/>
                <w:sz w:val="24"/>
                <w:szCs w:val="24"/>
                <w:highlight w:val="none"/>
                <w:lang w:val="en-US" w:eastAsia="zh-CN" w:bidi="ar"/>
              </w:rPr>
              <w:t>饱和区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9A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D3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10BF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33F8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49D826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杨下村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6B87B3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A6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15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50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B9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color w:val="auto"/>
                <w:sz w:val="24"/>
                <w:szCs w:val="24"/>
                <w:highlight w:val="none"/>
                <w:lang w:val="en-US" w:eastAsia="zh-CN" w:bidi="ar"/>
              </w:rPr>
              <w:t>饱和区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06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1B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7" w:type="pct"/>
            <w:vMerge w:val="continue"/>
            <w:tcBorders>
              <w:left w:val="single" w:color="000000" w:sz="4" w:space="0"/>
              <w:bottom w:val="single" w:color="auto" w:sz="4" w:space="0"/>
              <w:right w:val="single" w:color="000000" w:sz="4" w:space="0"/>
            </w:tcBorders>
            <w:shd w:val="clear" w:color="auto" w:fill="auto"/>
            <w:vAlign w:val="center"/>
          </w:tcPr>
          <w:p w14:paraId="7EA0BCC1">
            <w:pPr>
              <w:keepNext w:val="0"/>
              <w:keepLines w:val="0"/>
              <w:pageBreakBefore w:val="0"/>
              <w:widowControl/>
              <w:suppressLineNumbers w:val="0"/>
              <w:kinsoku/>
              <w:wordWrap/>
              <w:overflowPunct/>
              <w:topLinePunct w:val="0"/>
              <w:autoSpaceDE/>
              <w:autoSpaceDN/>
              <w:bidi w:val="0"/>
              <w:adjustRightInd/>
              <w:snapToGrid w:val="0"/>
              <w:jc w:val="center"/>
              <w:textAlignment w:val="center"/>
            </w:pPr>
          </w:p>
        </w:tc>
        <w:tc>
          <w:tcPr>
            <w:tcW w:w="571" w:type="pct"/>
            <w:vMerge w:val="continue"/>
            <w:tcBorders>
              <w:left w:val="single" w:color="000000" w:sz="4" w:space="0"/>
              <w:bottom w:val="single" w:color="auto" w:sz="4" w:space="0"/>
              <w:right w:val="single" w:color="000000" w:sz="4" w:space="0"/>
            </w:tcBorders>
            <w:shd w:val="clear" w:color="auto" w:fill="auto"/>
            <w:vAlign w:val="center"/>
          </w:tcPr>
          <w:p w14:paraId="6367CD4D">
            <w:pPr>
              <w:keepNext w:val="0"/>
              <w:keepLines w:val="0"/>
              <w:pageBreakBefore w:val="0"/>
              <w:widowControl/>
              <w:suppressLineNumbers w:val="0"/>
              <w:kinsoku/>
              <w:wordWrap/>
              <w:overflowPunct/>
              <w:topLinePunct w:val="0"/>
              <w:autoSpaceDE/>
              <w:autoSpaceDN/>
              <w:bidi w:val="0"/>
              <w:adjustRightInd/>
              <w:snapToGrid w:val="0"/>
              <w:jc w:val="center"/>
              <w:textAlignment w:val="cente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6FC2AC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7177901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4BB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81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A2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80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8F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r>
      <w:tr w14:paraId="4D04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6CDD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5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566F6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鹦鸽镇(17986人)</w:t>
            </w: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17DF9B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六家村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4F6B47A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52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0A5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FE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C53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0B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968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73D1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F9BC6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512F20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马耳山村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69C0C9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52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37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D3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C2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color w:val="auto"/>
                <w:sz w:val="24"/>
                <w:szCs w:val="24"/>
                <w:highlight w:val="none"/>
                <w:lang w:val="en-US" w:eastAsia="zh-CN" w:bidi="ar"/>
              </w:rPr>
              <w:t>饱和区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C0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E3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9B6E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64B3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609D5D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寺院村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40AF26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6E1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45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AF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51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rFonts w:hint="eastAsia"/>
                <w:color w:val="auto"/>
                <w:sz w:val="24"/>
                <w:szCs w:val="24"/>
                <w:highlight w:val="none"/>
                <w:lang w:val="en-US" w:eastAsia="zh-CN" w:bidi="ar"/>
              </w:rPr>
              <w:t>一般区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5C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25B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3C10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66E6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351D84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流沙崖村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000ECA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E3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D3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89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10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7B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FB6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A582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347C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579EE9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火烧滩村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506559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99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47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E4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12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一般区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FE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1B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644A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7C48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671F4A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瓦窑坡村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7CE415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D3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8A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A4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08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rFonts w:hint="eastAsia"/>
                <w:color w:val="auto"/>
                <w:sz w:val="24"/>
                <w:szCs w:val="24"/>
                <w:highlight w:val="none"/>
                <w:lang w:val="en-US" w:eastAsia="zh-CN" w:bidi="ar"/>
              </w:rPr>
              <w:t>一般区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6F0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4A1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DF79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6975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5044B4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梁家山村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56CAE1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67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43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60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B6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rFonts w:hint="eastAsia"/>
                <w:color w:val="auto"/>
                <w:sz w:val="24"/>
                <w:szCs w:val="24"/>
                <w:highlight w:val="none"/>
                <w:lang w:val="en-US" w:eastAsia="zh-CN" w:bidi="ar"/>
              </w:rPr>
              <w:t>一般区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37D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60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8733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9DFB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5AAD7D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柴胡山村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33BFBA9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FC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0A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ED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38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rFonts w:hint="eastAsia"/>
                <w:color w:val="auto"/>
                <w:sz w:val="24"/>
                <w:szCs w:val="24"/>
                <w:highlight w:val="none"/>
                <w:lang w:val="en-US" w:eastAsia="zh-CN" w:bidi="ar"/>
              </w:rPr>
              <w:t>一般区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BE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C3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DD9F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0B7A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6735E4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龙窝村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23B0E6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30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99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31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C9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3B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9C9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1D4E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B3C6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1A6E8D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高码头村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36E5F4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34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D16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00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B1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rFonts w:hint="eastAsia"/>
                <w:color w:val="auto"/>
                <w:sz w:val="24"/>
                <w:szCs w:val="24"/>
                <w:highlight w:val="none"/>
                <w:lang w:val="en-US" w:eastAsia="zh-CN" w:bidi="ar"/>
              </w:rPr>
              <w:t>一般区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B9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81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57" w:type="pct"/>
            <w:vMerge w:val="continue"/>
            <w:tcBorders>
              <w:left w:val="single" w:color="000000" w:sz="4" w:space="0"/>
              <w:bottom w:val="single" w:color="auto" w:sz="4" w:space="0"/>
              <w:right w:val="single" w:color="000000" w:sz="4" w:space="0"/>
            </w:tcBorders>
            <w:shd w:val="clear" w:color="auto" w:fill="auto"/>
            <w:vAlign w:val="center"/>
          </w:tcPr>
          <w:p w14:paraId="414A19F7">
            <w:pPr>
              <w:keepNext w:val="0"/>
              <w:keepLines w:val="0"/>
              <w:pageBreakBefore w:val="0"/>
              <w:widowControl/>
              <w:suppressLineNumbers w:val="0"/>
              <w:kinsoku/>
              <w:wordWrap/>
              <w:overflowPunct/>
              <w:topLinePunct w:val="0"/>
              <w:autoSpaceDE/>
              <w:autoSpaceDN/>
              <w:bidi w:val="0"/>
              <w:adjustRightInd/>
              <w:snapToGrid w:val="0"/>
              <w:jc w:val="center"/>
              <w:textAlignment w:val="center"/>
            </w:pPr>
          </w:p>
        </w:tc>
        <w:tc>
          <w:tcPr>
            <w:tcW w:w="571" w:type="pct"/>
            <w:vMerge w:val="continue"/>
            <w:tcBorders>
              <w:left w:val="single" w:color="000000" w:sz="4" w:space="0"/>
              <w:bottom w:val="single" w:color="auto" w:sz="4" w:space="0"/>
              <w:right w:val="single" w:color="000000" w:sz="4" w:space="0"/>
            </w:tcBorders>
            <w:shd w:val="clear" w:color="auto" w:fill="auto"/>
            <w:vAlign w:val="center"/>
          </w:tcPr>
          <w:p w14:paraId="4BE86718">
            <w:pPr>
              <w:keepNext w:val="0"/>
              <w:keepLines w:val="0"/>
              <w:pageBreakBefore w:val="0"/>
              <w:widowControl/>
              <w:suppressLineNumbers w:val="0"/>
              <w:kinsoku/>
              <w:wordWrap/>
              <w:overflowPunct/>
              <w:topLinePunct w:val="0"/>
              <w:autoSpaceDE/>
              <w:autoSpaceDN/>
              <w:bidi w:val="0"/>
              <w:adjustRightInd/>
              <w:snapToGrid w:val="0"/>
              <w:jc w:val="center"/>
              <w:textAlignment w:val="cente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5821AF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61FE3D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3D3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CA7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5E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E08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355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r>
      <w:tr w14:paraId="4877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FEEB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3D85F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靖口镇</w:t>
            </w:r>
          </w:p>
          <w:p w14:paraId="615729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（2974人）</w:t>
            </w: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391922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石沟村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47FE2D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898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A8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EE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34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68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A0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085F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6890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62D070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大地岭村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2D60F3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C41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ED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CF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80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B30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16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41A8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39288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20CF0D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凉水泉村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4D6C3D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05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CA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95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962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color w:val="auto"/>
                <w:sz w:val="24"/>
                <w:szCs w:val="24"/>
                <w:highlight w:val="none"/>
                <w:lang w:val="en-US" w:eastAsia="zh-CN" w:bidi="ar"/>
              </w:rPr>
              <w:t>饱和区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BD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4F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03366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8A19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5FB9B6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散军塬村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3A23D0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EA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13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52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4B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61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F38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C78A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A5EC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2BAD44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水蒿川村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7F7426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3B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9B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49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F1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55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BB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57" w:type="pct"/>
            <w:vMerge w:val="continue"/>
            <w:tcBorders>
              <w:left w:val="single" w:color="000000" w:sz="4" w:space="0"/>
              <w:bottom w:val="single" w:color="auto" w:sz="4" w:space="0"/>
              <w:right w:val="single" w:color="000000" w:sz="4" w:space="0"/>
            </w:tcBorders>
            <w:shd w:val="clear" w:color="auto" w:fill="auto"/>
            <w:vAlign w:val="center"/>
          </w:tcPr>
          <w:p w14:paraId="48C0ACA4">
            <w:pPr>
              <w:keepNext w:val="0"/>
              <w:keepLines w:val="0"/>
              <w:pageBreakBefore w:val="0"/>
              <w:widowControl/>
              <w:suppressLineNumbers w:val="0"/>
              <w:kinsoku/>
              <w:wordWrap/>
              <w:overflowPunct/>
              <w:topLinePunct w:val="0"/>
              <w:autoSpaceDE/>
              <w:autoSpaceDN/>
              <w:bidi w:val="0"/>
              <w:adjustRightInd/>
              <w:snapToGrid w:val="0"/>
              <w:jc w:val="center"/>
              <w:textAlignment w:val="center"/>
            </w:pPr>
          </w:p>
        </w:tc>
        <w:tc>
          <w:tcPr>
            <w:tcW w:w="571" w:type="pct"/>
            <w:vMerge w:val="continue"/>
            <w:tcBorders>
              <w:left w:val="single" w:color="000000" w:sz="4" w:space="0"/>
              <w:bottom w:val="single" w:color="auto" w:sz="4" w:space="0"/>
              <w:right w:val="single" w:color="000000" w:sz="4" w:space="0"/>
            </w:tcBorders>
            <w:shd w:val="clear" w:color="auto" w:fill="auto"/>
            <w:vAlign w:val="center"/>
          </w:tcPr>
          <w:p w14:paraId="4BC3A350">
            <w:pPr>
              <w:keepNext w:val="0"/>
              <w:keepLines w:val="0"/>
              <w:pageBreakBefore w:val="0"/>
              <w:widowControl/>
              <w:suppressLineNumbers w:val="0"/>
              <w:kinsoku/>
              <w:wordWrap/>
              <w:overflowPunct/>
              <w:topLinePunct w:val="0"/>
              <w:autoSpaceDE/>
              <w:autoSpaceDN/>
              <w:bidi w:val="0"/>
              <w:adjustRightInd/>
              <w:snapToGrid w:val="0"/>
              <w:jc w:val="center"/>
              <w:textAlignment w:val="cente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6F6F67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62A3F5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7D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7C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159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9C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9C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r>
      <w:tr w14:paraId="3DA4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8A4A9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tcBorders>
              <w:top w:val="single" w:color="auto" w:sz="4" w:space="0"/>
              <w:left w:val="single" w:color="000000" w:sz="4" w:space="0"/>
              <w:right w:val="single" w:color="000000" w:sz="4" w:space="0"/>
            </w:tcBorders>
            <w:shd w:val="clear" w:color="auto" w:fill="auto"/>
            <w:vAlign w:val="center"/>
          </w:tcPr>
          <w:p w14:paraId="17BEF0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太白河镇</w:t>
            </w: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65A777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东青村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174EFB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5D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54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2F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08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B8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9A7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F470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restart"/>
            <w:tcBorders>
              <w:top w:val="single" w:color="auto" w:sz="4" w:space="0"/>
              <w:left w:val="single" w:color="000000" w:sz="4" w:space="0"/>
              <w:right w:val="single" w:color="000000" w:sz="4" w:space="0"/>
            </w:tcBorders>
            <w:shd w:val="clear" w:color="auto" w:fill="auto"/>
            <w:vAlign w:val="center"/>
          </w:tcPr>
          <w:p w14:paraId="554651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黄柏塬镇</w:t>
            </w:r>
          </w:p>
          <w:p w14:paraId="2CDBF15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（1055人）</w:t>
            </w: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1451D5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二郎坝村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257E4B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4E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C2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B4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8C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color w:val="auto"/>
                <w:sz w:val="24"/>
                <w:szCs w:val="24"/>
                <w:highlight w:val="none"/>
                <w:lang w:val="en-US" w:eastAsia="zh-CN" w:bidi="ar"/>
              </w:rPr>
              <w:t>饱和区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BD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E7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0421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left w:val="single" w:color="000000" w:sz="4" w:space="0"/>
              <w:right w:val="single" w:color="000000" w:sz="4" w:space="0"/>
            </w:tcBorders>
            <w:shd w:val="clear" w:color="auto" w:fill="auto"/>
            <w:vAlign w:val="center"/>
          </w:tcPr>
          <w:p w14:paraId="17EEFA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4BB8F8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皂角湾村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13A4E1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BA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24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9A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28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59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F4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1250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restart"/>
            <w:tcBorders>
              <w:top w:val="single" w:color="auto" w:sz="4" w:space="0"/>
              <w:left w:val="single" w:color="000000" w:sz="4" w:space="0"/>
              <w:right w:val="single" w:color="000000" w:sz="4" w:space="0"/>
            </w:tcBorders>
            <w:shd w:val="clear" w:color="auto" w:fill="auto"/>
            <w:vAlign w:val="center"/>
          </w:tcPr>
          <w:p w14:paraId="2FB83D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王家堎镇（855人）</w:t>
            </w: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6A7106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和平村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3864CD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EA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A1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42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EB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2B16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5C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5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D568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vMerge w:val="continue"/>
            <w:tcBorders>
              <w:left w:val="single" w:color="000000" w:sz="4" w:space="0"/>
              <w:right w:val="single" w:color="000000" w:sz="4" w:space="0"/>
            </w:tcBorders>
            <w:shd w:val="clear" w:color="auto" w:fill="auto"/>
            <w:vAlign w:val="center"/>
          </w:tcPr>
          <w:p w14:paraId="21349F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652372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元坝子村</w:t>
            </w: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46EBBA6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欠发达</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92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D5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AD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9F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7"/>
                <w:color w:val="auto"/>
                <w:sz w:val="24"/>
                <w:szCs w:val="24"/>
                <w:highlight w:val="none"/>
                <w:lang w:val="en-US" w:eastAsia="zh-CN" w:bidi="ar"/>
              </w:rPr>
              <w:t>饱和区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65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018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57" w:type="pct"/>
            <w:tcBorders>
              <w:top w:val="single" w:color="auto" w:sz="4" w:space="0"/>
              <w:left w:val="single" w:color="000000" w:sz="4" w:space="0"/>
              <w:bottom w:val="single" w:color="auto" w:sz="4" w:space="0"/>
              <w:right w:val="single" w:color="000000" w:sz="4" w:space="0"/>
            </w:tcBorders>
            <w:shd w:val="clear" w:color="auto" w:fill="auto"/>
            <w:vAlign w:val="center"/>
          </w:tcPr>
          <w:p w14:paraId="6EA5A2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71" w:type="pct"/>
            <w:tcBorders>
              <w:left w:val="single" w:color="000000" w:sz="4" w:space="0"/>
              <w:bottom w:val="single" w:color="auto" w:sz="4" w:space="0"/>
              <w:right w:val="single" w:color="000000" w:sz="4" w:space="0"/>
            </w:tcBorders>
            <w:shd w:val="clear" w:color="auto" w:fill="auto"/>
            <w:vAlign w:val="center"/>
          </w:tcPr>
          <w:p w14:paraId="63C05A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auto" w:sz="4" w:space="0"/>
            </w:tcBorders>
            <w:shd w:val="clear" w:color="auto" w:fill="auto"/>
            <w:vAlign w:val="center"/>
          </w:tcPr>
          <w:p w14:paraId="7CC3A4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646" w:type="pct"/>
            <w:tcBorders>
              <w:top w:val="single" w:color="000000" w:sz="4" w:space="0"/>
              <w:left w:val="single" w:color="auto" w:sz="4" w:space="0"/>
              <w:bottom w:val="single" w:color="000000" w:sz="4" w:space="0"/>
              <w:right w:val="single" w:color="000000" w:sz="4" w:space="0"/>
            </w:tcBorders>
            <w:shd w:val="clear" w:color="auto" w:fill="auto"/>
            <w:vAlign w:val="center"/>
          </w:tcPr>
          <w:p w14:paraId="3DEB22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A7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C8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80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A926">
            <w:pPr>
              <w:keepNext w:val="0"/>
              <w:keepLines w:val="0"/>
              <w:pageBreakBefore w:val="0"/>
              <w:widowControl/>
              <w:suppressLineNumbers w:val="0"/>
              <w:kinsoku/>
              <w:wordWrap/>
              <w:overflowPunct/>
              <w:topLinePunct w:val="0"/>
              <w:autoSpaceDE/>
              <w:autoSpaceDN/>
              <w:bidi w:val="0"/>
              <w:adjustRightInd/>
              <w:snapToGrid w:val="0"/>
              <w:jc w:val="center"/>
              <w:textAlignment w:val="center"/>
              <w:rPr>
                <w:rStyle w:val="17"/>
                <w:color w:val="auto"/>
                <w:sz w:val="24"/>
                <w:szCs w:val="24"/>
                <w:highlight w:val="none"/>
                <w:lang w:val="en-US" w:eastAsia="zh-CN" w:bidi="ar"/>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55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4BFD1A68">
      <w:pPr>
        <w:rPr>
          <w:color w:val="auto"/>
        </w:rPr>
      </w:pPr>
    </w:p>
    <w:p w14:paraId="21976479">
      <w:pPr>
        <w:rPr>
          <w:color w:val="auto"/>
        </w:rPr>
      </w:pPr>
    </w:p>
    <w:p w14:paraId="0963CB93">
      <w:pPr>
        <w:rPr>
          <w:color w:val="auto"/>
        </w:rPr>
      </w:pPr>
      <w:r>
        <w:rPr>
          <w:color w:val="auto"/>
        </w:rPr>
        <w:br w:type="page"/>
      </w:r>
    </w:p>
    <w:p w14:paraId="67C2D886">
      <w:pPr>
        <w:spacing w:line="590" w:lineRule="exact"/>
        <w:jc w:val="center"/>
        <w:rPr>
          <w:rFonts w:hint="eastAsia" w:ascii="仿宋_GB2312" w:hAnsi="黑体" w:eastAsia="仿宋_GB2312" w:cs="宋体"/>
          <w:color w:val="auto"/>
          <w:sz w:val="32"/>
          <w:szCs w:val="32"/>
          <w:highlight w:val="none"/>
          <w:lang w:bidi="ug-CN"/>
        </w:rPr>
      </w:pPr>
      <w:r>
        <w:rPr>
          <w:rFonts w:hint="eastAsia" w:ascii="黑体" w:hAnsi="黑体" w:eastAsia="黑体"/>
          <w:color w:val="auto"/>
          <w:sz w:val="32"/>
          <w:szCs w:val="32"/>
          <w:lang w:val="en-US" w:eastAsia="zh-CN"/>
        </w:rPr>
        <w:t>太白县烟草制品零售点最小市场单元合理布局规划明细表（特殊区域）</w:t>
      </w:r>
    </w:p>
    <w:tbl>
      <w:tblPr>
        <w:tblStyle w:val="10"/>
        <w:tblW w:w="14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5"/>
        <w:gridCol w:w="2390"/>
        <w:gridCol w:w="3972"/>
        <w:gridCol w:w="1167"/>
        <w:gridCol w:w="935"/>
        <w:gridCol w:w="869"/>
        <w:gridCol w:w="1620"/>
        <w:gridCol w:w="2028"/>
      </w:tblGrid>
      <w:tr w14:paraId="431F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19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区域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BF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单元格名称</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E9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市场单元区域描述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C0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拟布局数量</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87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现存数量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5A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增减</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75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区域划分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B3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245E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15" w:type="dxa"/>
            <w:vMerge w:val="restart"/>
            <w:tcBorders>
              <w:top w:val="single" w:color="000000" w:sz="4" w:space="0"/>
              <w:left w:val="single" w:color="000000" w:sz="4" w:space="0"/>
              <w:right w:val="single" w:color="000000" w:sz="4" w:space="0"/>
            </w:tcBorders>
            <w:shd w:val="clear" w:color="auto" w:fill="auto"/>
            <w:vAlign w:val="center"/>
          </w:tcPr>
          <w:p w14:paraId="00AD8D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特殊区域</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CFA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鳌山滑雪场</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89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鳌山滑雪场景区内部</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29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2A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D2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AE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33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13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vMerge w:val="continue"/>
            <w:tcBorders>
              <w:left w:val="single" w:color="000000" w:sz="4" w:space="0"/>
              <w:right w:val="single" w:color="000000" w:sz="4" w:space="0"/>
            </w:tcBorders>
            <w:shd w:val="clear" w:color="auto" w:fill="auto"/>
            <w:vAlign w:val="center"/>
          </w:tcPr>
          <w:p w14:paraId="1DC5BF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E1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太白河金矿</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425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太白河</w:t>
            </w:r>
            <w:r>
              <w:rPr>
                <w:rFonts w:hint="default" w:ascii="宋体" w:hAnsi="宋体" w:eastAsia="宋体" w:cs="宋体"/>
                <w:i w:val="0"/>
                <w:iCs w:val="0"/>
                <w:color w:val="auto"/>
                <w:kern w:val="0"/>
                <w:sz w:val="24"/>
                <w:szCs w:val="24"/>
                <w:highlight w:val="none"/>
                <w:u w:val="none"/>
                <w:lang w:val="en-US" w:eastAsia="zh-CN" w:bidi="ar"/>
              </w:rPr>
              <w:t>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AA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C71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BF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44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07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87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215" w:type="dxa"/>
            <w:vMerge w:val="continue"/>
            <w:tcBorders>
              <w:left w:val="single" w:color="000000" w:sz="4" w:space="0"/>
              <w:right w:val="single" w:color="000000" w:sz="4" w:space="0"/>
            </w:tcBorders>
            <w:shd w:val="clear" w:color="auto" w:fill="auto"/>
            <w:vAlign w:val="center"/>
          </w:tcPr>
          <w:p w14:paraId="00F7E5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2390" w:type="dxa"/>
            <w:tcBorders>
              <w:top w:val="single" w:color="000000" w:sz="4" w:space="0"/>
              <w:left w:val="single" w:color="000000" w:sz="4" w:space="0"/>
              <w:right w:val="single" w:color="000000" w:sz="4" w:space="0"/>
            </w:tcBorders>
            <w:shd w:val="clear" w:color="auto" w:fill="auto"/>
            <w:vAlign w:val="center"/>
          </w:tcPr>
          <w:p w14:paraId="736C42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大型工程生活服务区</w:t>
            </w:r>
          </w:p>
        </w:tc>
        <w:tc>
          <w:tcPr>
            <w:tcW w:w="3972" w:type="dxa"/>
            <w:tcBorders>
              <w:top w:val="single" w:color="000000" w:sz="4" w:space="0"/>
              <w:left w:val="single" w:color="000000" w:sz="4" w:space="0"/>
              <w:right w:val="single" w:color="000000" w:sz="4" w:space="0"/>
            </w:tcBorders>
            <w:shd w:val="clear" w:color="auto" w:fill="auto"/>
            <w:vAlign w:val="center"/>
          </w:tcPr>
          <w:p w14:paraId="262A69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（根据工程动态调整市场单元地段区域）</w:t>
            </w:r>
          </w:p>
        </w:tc>
        <w:tc>
          <w:tcPr>
            <w:tcW w:w="1167" w:type="dxa"/>
            <w:tcBorders>
              <w:top w:val="single" w:color="000000" w:sz="4" w:space="0"/>
              <w:left w:val="single" w:color="000000" w:sz="4" w:space="0"/>
              <w:right w:val="single" w:color="000000" w:sz="4" w:space="0"/>
            </w:tcBorders>
            <w:shd w:val="clear" w:color="auto" w:fill="auto"/>
            <w:vAlign w:val="center"/>
          </w:tcPr>
          <w:p w14:paraId="60CF3D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35" w:type="dxa"/>
            <w:tcBorders>
              <w:top w:val="single" w:color="000000" w:sz="4" w:space="0"/>
              <w:left w:val="single" w:color="000000" w:sz="4" w:space="0"/>
              <w:right w:val="single" w:color="000000" w:sz="4" w:space="0"/>
            </w:tcBorders>
            <w:shd w:val="clear" w:color="auto" w:fill="auto"/>
            <w:vAlign w:val="center"/>
          </w:tcPr>
          <w:p w14:paraId="3C7B28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869" w:type="dxa"/>
            <w:tcBorders>
              <w:top w:val="single" w:color="000000" w:sz="4" w:space="0"/>
              <w:left w:val="single" w:color="000000" w:sz="4" w:space="0"/>
              <w:right w:val="single" w:color="000000" w:sz="4" w:space="0"/>
            </w:tcBorders>
            <w:shd w:val="clear" w:color="auto" w:fill="auto"/>
            <w:vAlign w:val="center"/>
          </w:tcPr>
          <w:p w14:paraId="255E9E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20" w:type="dxa"/>
            <w:tcBorders>
              <w:top w:val="single" w:color="000000" w:sz="4" w:space="0"/>
              <w:left w:val="single" w:color="000000" w:sz="4" w:space="0"/>
              <w:right w:val="single" w:color="000000" w:sz="4" w:space="0"/>
            </w:tcBorders>
            <w:shd w:val="clear" w:color="auto" w:fill="auto"/>
            <w:vAlign w:val="center"/>
          </w:tcPr>
          <w:p w14:paraId="5D7192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C2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6AB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215" w:type="dxa"/>
            <w:vMerge w:val="continue"/>
            <w:tcBorders>
              <w:left w:val="single" w:color="000000" w:sz="4" w:space="0"/>
              <w:right w:val="single" w:color="000000" w:sz="4" w:space="0"/>
            </w:tcBorders>
            <w:shd w:val="clear" w:color="auto" w:fill="auto"/>
            <w:vAlign w:val="center"/>
          </w:tcPr>
          <w:p w14:paraId="014C43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EA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青峰峡景区</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1F2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青峰峡景区商业街及景区内、大门口</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F4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F0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57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58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CB1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63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215" w:type="dxa"/>
            <w:vMerge w:val="continue"/>
            <w:tcBorders>
              <w:left w:val="single" w:color="000000" w:sz="4" w:space="0"/>
              <w:right w:val="single" w:color="000000" w:sz="4" w:space="0"/>
            </w:tcBorders>
            <w:shd w:val="clear" w:color="auto" w:fill="auto"/>
            <w:vAlign w:val="center"/>
          </w:tcPr>
          <w:p w14:paraId="4730A0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1B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城区区域外新建小区、在建小区等</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32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城区区域外新建小区、在建小区（包含周边商业街、步行街等）</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34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E4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17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35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F6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D4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215" w:type="dxa"/>
            <w:vMerge w:val="continue"/>
            <w:tcBorders>
              <w:left w:val="single" w:color="000000" w:sz="4" w:space="0"/>
              <w:right w:val="single" w:color="000000" w:sz="4" w:space="0"/>
            </w:tcBorders>
            <w:shd w:val="clear" w:color="auto" w:fill="auto"/>
            <w:vAlign w:val="center"/>
          </w:tcPr>
          <w:p w14:paraId="5DB13A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32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民宿区</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C2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塘口村民宿、白云村区域</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12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1B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5A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AE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29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3A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215" w:type="dxa"/>
            <w:vMerge w:val="continue"/>
            <w:tcBorders>
              <w:left w:val="single" w:color="000000" w:sz="4" w:space="0"/>
              <w:right w:val="single" w:color="000000" w:sz="4" w:space="0"/>
            </w:tcBorders>
            <w:shd w:val="clear" w:color="auto" w:fill="auto"/>
            <w:vAlign w:val="center"/>
          </w:tcPr>
          <w:p w14:paraId="0AB435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23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高速公路服务区</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92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眉太高速公路服务区</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3A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AC8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59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85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发展区</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C8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E8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215" w:type="dxa"/>
            <w:vMerge w:val="continue"/>
            <w:tcBorders>
              <w:left w:val="single" w:color="000000" w:sz="4" w:space="0"/>
              <w:right w:val="single" w:color="000000" w:sz="4" w:space="0"/>
            </w:tcBorders>
            <w:shd w:val="clear" w:color="auto" w:fill="auto"/>
            <w:vAlign w:val="center"/>
          </w:tcPr>
          <w:p w14:paraId="54DEF5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53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部队院内</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CB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县城部队营区内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F7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67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B6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5A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一般区</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3C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D1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215" w:type="dxa"/>
            <w:tcBorders>
              <w:left w:val="single" w:color="000000" w:sz="4" w:space="0"/>
              <w:bottom w:val="single" w:color="000000" w:sz="4" w:space="0"/>
              <w:right w:val="single" w:color="000000" w:sz="4" w:space="0"/>
            </w:tcBorders>
            <w:shd w:val="clear" w:color="auto" w:fill="auto"/>
            <w:vAlign w:val="center"/>
          </w:tcPr>
          <w:p w14:paraId="3AB8B9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lang w:val="en-US" w:eastAsia="zh-CN"/>
              </w:rPr>
            </w:pP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9A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04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93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eastAsiaTheme="minorEastAsia"/>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FE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cs="宋体" w:eastAsiaTheme="minorEastAsia"/>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5C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BA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A9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694F7ABE">
      <w:pPr>
        <w:rPr>
          <w:rFonts w:hint="default" w:ascii="仿宋_GB2312" w:hAnsi="微软雅黑" w:eastAsia="仿宋_GB2312" w:cs="宋体"/>
          <w:color w:val="auto"/>
          <w:sz w:val="32"/>
          <w:szCs w:val="32"/>
          <w:highlight w:val="none"/>
          <w:lang w:val="en-US" w:eastAsia="zh-CN" w:bidi="ug-CN"/>
        </w:rPr>
        <w:sectPr>
          <w:pgSz w:w="16838" w:h="11906" w:orient="landscape"/>
          <w:pgMar w:top="1803" w:right="1440" w:bottom="1803" w:left="1440" w:header="851" w:footer="992" w:gutter="0"/>
          <w:pgNumType w:fmt="numberInDash"/>
          <w:cols w:space="0" w:num="1"/>
          <w:rtlGutter w:val="0"/>
          <w:docGrid w:type="lines" w:linePitch="436" w:charSpace="0"/>
        </w:sectPr>
      </w:pPr>
      <w:r>
        <w:rPr>
          <w:rFonts w:hint="eastAsia" w:ascii="仿宋_GB2312" w:hAnsi="微软雅黑" w:eastAsia="仿宋_GB2312" w:cs="宋体"/>
          <w:color w:val="auto"/>
          <w:sz w:val="32"/>
          <w:szCs w:val="32"/>
          <w:highlight w:val="none"/>
          <w:lang w:val="en-US" w:eastAsia="zh-CN" w:bidi="ug-CN"/>
        </w:rPr>
        <w:t>备注：符合本规定所指特殊区域但未列入在本明细表中的，按照本布局规划规定执行。</w:t>
      </w:r>
    </w:p>
    <w:p w14:paraId="25E1906D">
      <w:pPr>
        <w:rPr>
          <w:rFonts w:hint="default" w:ascii="仿宋_GB2312" w:hAnsi="微软雅黑" w:eastAsia="仿宋_GB2312" w:cs="宋体"/>
          <w:b/>
          <w:bCs/>
          <w:color w:val="auto"/>
          <w:sz w:val="32"/>
          <w:szCs w:val="32"/>
          <w:highlight w:val="none"/>
          <w:lang w:val="en-US" w:eastAsia="zh-CN" w:bidi="ug-CN"/>
        </w:rPr>
      </w:pPr>
      <w:r>
        <w:rPr>
          <w:rFonts w:hint="eastAsia" w:ascii="仿宋_GB2312" w:hAnsi="微软雅黑" w:eastAsia="仿宋_GB2312" w:cs="宋体"/>
          <w:b/>
          <w:bCs/>
          <w:color w:val="auto"/>
          <w:sz w:val="32"/>
          <w:szCs w:val="32"/>
          <w:highlight w:val="none"/>
          <w:lang w:val="en-US" w:eastAsia="zh-CN" w:bidi="ug-CN"/>
        </w:rPr>
        <w:t>附件3：</w:t>
      </w:r>
    </w:p>
    <w:p w14:paraId="6371E754">
      <w:pPr>
        <w:spacing w:line="360" w:lineRule="auto"/>
        <w:jc w:val="center"/>
        <w:rPr>
          <w:rFonts w:ascii="宋体" w:hAnsi="宋体" w:cs="宋体"/>
          <w:color w:val="auto"/>
          <w:sz w:val="36"/>
          <w:szCs w:val="36"/>
        </w:rPr>
      </w:pPr>
      <w:bookmarkStart w:id="2" w:name="DocEnd"/>
      <w:bookmarkEnd w:id="2"/>
      <w:bookmarkStart w:id="3" w:name="ContentEnd"/>
      <w:bookmarkEnd w:id="3"/>
      <w:r>
        <w:rPr>
          <w:rFonts w:hint="eastAsia" w:ascii="宋体" w:hAnsi="宋体" w:cs="宋体"/>
          <w:color w:val="auto"/>
          <w:sz w:val="36"/>
          <w:szCs w:val="36"/>
          <w:lang w:val="en-US" w:eastAsia="zh-CN"/>
        </w:rPr>
        <w:t>太白</w:t>
      </w:r>
      <w:r>
        <w:rPr>
          <w:rFonts w:hint="eastAsia" w:ascii="宋体" w:hAnsi="宋体" w:cs="宋体"/>
          <w:color w:val="auto"/>
          <w:sz w:val="36"/>
          <w:szCs w:val="36"/>
        </w:rPr>
        <w:t>县烟草制品零售点经营场所</w:t>
      </w:r>
    </w:p>
    <w:p w14:paraId="5730EACC">
      <w:pPr>
        <w:spacing w:line="360" w:lineRule="auto"/>
        <w:jc w:val="center"/>
        <w:rPr>
          <w:rFonts w:ascii="宋体" w:hAnsi="宋体" w:cs="宋体"/>
          <w:color w:val="auto"/>
          <w:sz w:val="36"/>
          <w:szCs w:val="36"/>
        </w:rPr>
      </w:pPr>
      <w:r>
        <w:rPr>
          <w:rFonts w:hint="eastAsia" w:ascii="宋体" w:hAnsi="宋体" w:cs="宋体"/>
          <w:color w:val="auto"/>
          <w:sz w:val="36"/>
          <w:szCs w:val="36"/>
        </w:rPr>
        <w:t>勘验测量标准</w:t>
      </w:r>
    </w:p>
    <w:p w14:paraId="435F94EA">
      <w:pPr>
        <w:spacing w:line="560" w:lineRule="exact"/>
        <w:rPr>
          <w:rFonts w:ascii="仿宋_GB2312" w:hAnsi="微软雅黑" w:eastAsia="仿宋_GB2312" w:cs="宋体"/>
          <w:color w:val="auto"/>
          <w:sz w:val="32"/>
          <w:szCs w:val="32"/>
          <w:lang w:bidi="ug-CN"/>
        </w:rPr>
      </w:pPr>
    </w:p>
    <w:p w14:paraId="2A97D4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s="宋体"/>
          <w:color w:val="auto"/>
          <w:sz w:val="32"/>
          <w:szCs w:val="48"/>
          <w:lang w:bidi="ug-CN"/>
        </w:rPr>
      </w:pPr>
      <w:r>
        <w:rPr>
          <w:rFonts w:hint="eastAsia" w:ascii="仿宋_GB2312" w:hAnsi="微软雅黑" w:eastAsia="仿宋_GB2312" w:cs="宋体"/>
          <w:color w:val="auto"/>
          <w:sz w:val="32"/>
          <w:szCs w:val="48"/>
          <w:lang w:bidi="ug-CN"/>
        </w:rPr>
        <w:t>为统一、规范现场测量标准，确保烟草制品零售点勘验公开、公平、公正，依据《</w:t>
      </w:r>
      <w:r>
        <w:rPr>
          <w:rFonts w:hint="eastAsia" w:ascii="仿宋_GB2312" w:hAnsi="黑体" w:eastAsia="仿宋_GB2312" w:cs="宋体"/>
          <w:color w:val="auto"/>
          <w:sz w:val="32"/>
          <w:szCs w:val="48"/>
          <w:lang w:val="en-US" w:eastAsia="zh-CN" w:bidi="ug-CN"/>
        </w:rPr>
        <w:t>太白</w:t>
      </w:r>
      <w:r>
        <w:rPr>
          <w:rFonts w:hint="eastAsia" w:ascii="仿宋_GB2312" w:hAnsi="黑体" w:eastAsia="仿宋_GB2312" w:cs="宋体"/>
          <w:color w:val="auto"/>
          <w:sz w:val="32"/>
          <w:szCs w:val="48"/>
          <w:lang w:bidi="ug-CN"/>
        </w:rPr>
        <w:t>县烟草制品零售点合理布局规划》（以下简称《合理布局规划》），制定本标准。</w:t>
      </w:r>
    </w:p>
    <w:p w14:paraId="38F4BBC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黑体" w:eastAsia="仿宋_GB2312" w:cs="宋体"/>
          <w:color w:val="auto"/>
          <w:sz w:val="32"/>
          <w:szCs w:val="48"/>
          <w:lang w:bidi="ug-CN"/>
        </w:rPr>
      </w:pPr>
      <w:r>
        <w:rPr>
          <w:rFonts w:hint="eastAsia" w:ascii="仿宋_GB2312" w:hAnsi="黑体" w:eastAsia="仿宋_GB2312" w:cs="宋体"/>
          <w:b/>
          <w:bCs/>
          <w:color w:val="auto"/>
          <w:sz w:val="32"/>
          <w:szCs w:val="48"/>
          <w:lang w:bidi="ug-CN"/>
        </w:rPr>
        <w:t>第一条</w:t>
      </w:r>
      <w:r>
        <w:rPr>
          <w:rFonts w:hint="eastAsia" w:ascii="仿宋_GB2312" w:hAnsi="黑体" w:eastAsia="仿宋_GB2312" w:cs="宋体"/>
          <w:color w:val="auto"/>
          <w:sz w:val="32"/>
          <w:szCs w:val="48"/>
          <w:lang w:bidi="ug-CN"/>
        </w:rPr>
        <w:t xml:space="preserve">  本标准适用于</w:t>
      </w:r>
      <w:r>
        <w:rPr>
          <w:rFonts w:hint="eastAsia" w:ascii="仿宋_GB2312" w:hAnsi="黑体" w:eastAsia="仿宋_GB2312" w:cs="宋体"/>
          <w:color w:val="auto"/>
          <w:sz w:val="32"/>
          <w:szCs w:val="48"/>
          <w:lang w:val="en-US" w:eastAsia="zh-CN" w:bidi="ug-CN"/>
        </w:rPr>
        <w:t>太白</w:t>
      </w:r>
      <w:r>
        <w:rPr>
          <w:rFonts w:hint="eastAsia" w:ascii="仿宋_GB2312" w:hAnsi="黑体" w:eastAsia="仿宋_GB2312" w:cs="宋体"/>
          <w:color w:val="auto"/>
          <w:sz w:val="32"/>
          <w:szCs w:val="48"/>
          <w:lang w:bidi="ug-CN"/>
        </w:rPr>
        <w:t>县烟草专卖局对烟草制品零售点布局的</w:t>
      </w:r>
      <w:r>
        <w:rPr>
          <w:rFonts w:hint="eastAsia" w:ascii="仿宋_GB2312" w:hAnsi="微软雅黑" w:eastAsia="仿宋_GB2312" w:cs="宋体"/>
          <w:color w:val="auto"/>
          <w:sz w:val="32"/>
          <w:szCs w:val="48"/>
          <w:lang w:bidi="ug-CN"/>
        </w:rPr>
        <w:t>现场测量工作。</w:t>
      </w:r>
    </w:p>
    <w:p w14:paraId="0B6C49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微软雅黑" w:eastAsia="仿宋_GB2312" w:cs="宋体"/>
          <w:color w:val="auto"/>
          <w:sz w:val="32"/>
          <w:szCs w:val="48"/>
          <w:lang w:bidi="ug-CN"/>
        </w:rPr>
      </w:pPr>
      <w:r>
        <w:rPr>
          <w:rFonts w:hint="eastAsia" w:ascii="仿宋_GB2312" w:hAnsi="黑体" w:eastAsia="仿宋_GB2312" w:cs="宋体"/>
          <w:b/>
          <w:bCs/>
          <w:color w:val="auto"/>
          <w:sz w:val="32"/>
          <w:szCs w:val="48"/>
          <w:lang w:bidi="ug-CN"/>
        </w:rPr>
        <w:t>第二条</w:t>
      </w:r>
      <w:r>
        <w:rPr>
          <w:rFonts w:hint="eastAsia" w:ascii="仿宋_GB2312" w:hAnsi="宋体" w:eastAsia="仿宋_GB2312" w:cs="宋体"/>
          <w:color w:val="auto"/>
          <w:kern w:val="0"/>
          <w:sz w:val="32"/>
          <w:szCs w:val="48"/>
          <w:lang w:bidi="ug-CN"/>
        </w:rPr>
        <w:t xml:space="preserve">  </w:t>
      </w:r>
      <w:r>
        <w:rPr>
          <w:rFonts w:hint="eastAsia" w:ascii="仿宋_GB2312" w:hAnsi="黑体" w:eastAsia="仿宋_GB2312" w:cs="宋体"/>
          <w:color w:val="auto"/>
          <w:sz w:val="32"/>
          <w:szCs w:val="48"/>
          <w:lang w:bidi="ug-CN"/>
        </w:rPr>
        <w:t>烟草制品零售点</w:t>
      </w:r>
      <w:r>
        <w:rPr>
          <w:rFonts w:hint="eastAsia" w:ascii="仿宋_GB2312" w:hAnsi="微软雅黑" w:eastAsia="仿宋_GB2312" w:cs="宋体"/>
          <w:color w:val="auto"/>
          <w:sz w:val="32"/>
          <w:szCs w:val="48"/>
          <w:lang w:bidi="ug-CN"/>
        </w:rPr>
        <w:t>现场测量主要是指间距距离的测量认定。</w:t>
      </w:r>
    </w:p>
    <w:p w14:paraId="607ADBB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48"/>
        </w:rPr>
      </w:pPr>
      <w:r>
        <w:rPr>
          <w:rFonts w:hint="eastAsia" w:ascii="仿宋_GB2312" w:hAnsi="黑体" w:eastAsia="仿宋_GB2312" w:cs="宋体"/>
          <w:b/>
          <w:bCs/>
          <w:color w:val="auto"/>
          <w:sz w:val="32"/>
          <w:szCs w:val="48"/>
          <w:lang w:bidi="ug-CN"/>
        </w:rPr>
        <w:t>第三条</w:t>
      </w:r>
      <w:r>
        <w:rPr>
          <w:rFonts w:hint="eastAsia" w:ascii="仿宋_GB2312" w:hAnsi="微软雅黑" w:eastAsia="仿宋_GB2312" w:cs="宋体"/>
          <w:color w:val="auto"/>
          <w:sz w:val="32"/>
          <w:szCs w:val="48"/>
          <w:lang w:bidi="ug-CN"/>
        </w:rPr>
        <w:t xml:space="preserve">  间距距离测量，是指</w:t>
      </w:r>
      <w:r>
        <w:rPr>
          <w:rFonts w:hint="eastAsia" w:ascii="仿宋_GB2312" w:hAnsi="仿宋_GB2312" w:eastAsia="仿宋_GB2312" w:cs="仿宋_GB2312"/>
          <w:color w:val="auto"/>
          <w:sz w:val="32"/>
          <w:szCs w:val="48"/>
          <w:lang w:bidi="ug-CN"/>
        </w:rPr>
        <w:t>申请人的经营场所出入口与最近零售点的经营场所出入口</w:t>
      </w:r>
      <w:r>
        <w:rPr>
          <w:rFonts w:hint="eastAsia" w:ascii="仿宋_GB2312" w:hAnsi="宋体" w:eastAsia="仿宋_GB2312" w:cs="宋体"/>
          <w:color w:val="auto"/>
          <w:kern w:val="0"/>
          <w:sz w:val="32"/>
          <w:szCs w:val="48"/>
          <w:lang w:bidi="ug-CN"/>
        </w:rPr>
        <w:t>之间</w:t>
      </w:r>
      <w:r>
        <w:rPr>
          <w:rFonts w:hint="eastAsia" w:ascii="仿宋_GB2312" w:hAnsi="仿宋_GB2312" w:eastAsia="仿宋_GB2312" w:cs="仿宋_GB2312"/>
          <w:color w:val="auto"/>
          <w:sz w:val="32"/>
          <w:szCs w:val="48"/>
          <w:lang w:bidi="ug-CN"/>
        </w:rPr>
        <w:t>，</w:t>
      </w:r>
      <w:r>
        <w:rPr>
          <w:rFonts w:hint="eastAsia" w:ascii="仿宋_GB2312" w:eastAsia="仿宋_GB2312"/>
          <w:color w:val="auto"/>
          <w:sz w:val="32"/>
          <w:szCs w:val="48"/>
        </w:rPr>
        <w:t>行人不违反交通管理规定、</w:t>
      </w:r>
      <w:r>
        <w:rPr>
          <w:rFonts w:hint="eastAsia" w:ascii="仿宋_GB2312" w:hAnsi="宋体" w:eastAsia="仿宋_GB2312" w:cs="宋体"/>
          <w:color w:val="auto"/>
          <w:kern w:val="0"/>
          <w:sz w:val="32"/>
          <w:szCs w:val="48"/>
          <w:lang w:bidi="ug-CN"/>
        </w:rPr>
        <w:t>可正常安全通行的无障碍最短距离。</w:t>
      </w:r>
      <w:r>
        <w:rPr>
          <w:rFonts w:hint="eastAsia" w:ascii="仿宋_GB2312" w:eastAsia="仿宋_GB2312"/>
          <w:color w:val="auto"/>
          <w:sz w:val="32"/>
          <w:szCs w:val="48"/>
        </w:rPr>
        <w:t>测量基准点为两个测量目标</w:t>
      </w:r>
      <w:r>
        <w:rPr>
          <w:rFonts w:hint="eastAsia" w:ascii="仿宋_GB2312" w:hAnsi="宋体" w:eastAsia="仿宋_GB2312" w:cs="宋体"/>
          <w:color w:val="auto"/>
          <w:kern w:val="0"/>
          <w:sz w:val="32"/>
          <w:szCs w:val="48"/>
          <w:lang w:bidi="ug-CN"/>
        </w:rPr>
        <w:t>出入口的</w:t>
      </w:r>
      <w:r>
        <w:rPr>
          <w:rFonts w:hint="eastAsia" w:ascii="仿宋_GB2312" w:hAnsi="宋体" w:eastAsia="仿宋_GB2312" w:cs="宋体"/>
          <w:color w:val="auto"/>
          <w:kern w:val="0"/>
          <w:sz w:val="32"/>
          <w:szCs w:val="48"/>
          <w:lang w:eastAsia="zh-CN" w:bidi="ug-CN"/>
        </w:rPr>
        <w:t>最近</w:t>
      </w:r>
      <w:r>
        <w:rPr>
          <w:rFonts w:hint="eastAsia" w:ascii="仿宋_GB2312" w:hAnsi="宋体" w:eastAsia="仿宋_GB2312" w:cs="宋体"/>
          <w:color w:val="auto"/>
          <w:kern w:val="0"/>
          <w:sz w:val="32"/>
          <w:szCs w:val="48"/>
          <w:lang w:bidi="ug-CN"/>
        </w:rPr>
        <w:t>点。</w:t>
      </w:r>
    </w:p>
    <w:p w14:paraId="311811F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color w:val="auto"/>
          <w:sz w:val="32"/>
          <w:szCs w:val="40"/>
        </w:rPr>
      </w:pPr>
      <w:r>
        <w:rPr>
          <w:rFonts w:hint="eastAsia" w:ascii="仿宋_GB2312" w:hAnsi="黑体" w:eastAsia="仿宋_GB2312" w:cs="宋体"/>
          <w:b/>
          <w:bCs/>
          <w:color w:val="auto"/>
          <w:sz w:val="32"/>
          <w:szCs w:val="48"/>
          <w:lang w:bidi="ug-CN"/>
        </w:rPr>
        <w:t>第四条</w:t>
      </w:r>
      <w:r>
        <w:rPr>
          <w:rFonts w:hint="eastAsia"/>
          <w:color w:val="auto"/>
          <w:sz w:val="32"/>
          <w:szCs w:val="40"/>
        </w:rPr>
        <w:t xml:space="preserve">  </w:t>
      </w:r>
      <w:r>
        <w:rPr>
          <w:rFonts w:hint="eastAsia" w:ascii="仿宋_GB2312" w:hAnsi="仿宋_GB2312" w:eastAsia="仿宋_GB2312" w:cs="仿宋_GB2312"/>
          <w:color w:val="auto"/>
          <w:sz w:val="32"/>
          <w:szCs w:val="48"/>
          <w:lang w:bidi="ug-CN"/>
        </w:rPr>
        <w:t>间距距离使用测量工具进行测量，测量结果在零售点设置值正负2%范围以内，申请人或利害关系人提出复核的，由县烟草专卖局法制监督部门参与进行二次勘验，制作现场勘验表并全过程音像记录。</w:t>
      </w:r>
    </w:p>
    <w:p w14:paraId="176D347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宋体"/>
          <w:color w:val="auto"/>
          <w:sz w:val="32"/>
          <w:szCs w:val="48"/>
          <w:lang w:bidi="ug-CN"/>
        </w:rPr>
      </w:pPr>
      <w:r>
        <w:rPr>
          <w:rFonts w:hint="eastAsia" w:ascii="仿宋_GB2312" w:hAnsi="黑体" w:eastAsia="仿宋_GB2312" w:cs="宋体"/>
          <w:b/>
          <w:bCs/>
          <w:color w:val="auto"/>
          <w:sz w:val="32"/>
          <w:szCs w:val="48"/>
          <w:lang w:bidi="ug-CN"/>
        </w:rPr>
        <w:t>第五条</w:t>
      </w:r>
      <w:r>
        <w:rPr>
          <w:rFonts w:hint="eastAsia" w:ascii="仿宋_GB2312" w:hAnsi="宋体" w:eastAsia="仿宋_GB2312" w:cs="宋体"/>
          <w:color w:val="auto"/>
          <w:kern w:val="32"/>
          <w:sz w:val="32"/>
          <w:szCs w:val="48"/>
          <w:lang w:bidi="ug-CN"/>
        </w:rPr>
        <w:t xml:space="preserve">  </w:t>
      </w:r>
      <w:r>
        <w:rPr>
          <w:rFonts w:hint="eastAsia" w:ascii="仿宋_GB2312" w:hAnsi="仿宋" w:eastAsia="仿宋_GB2312" w:cs="宋体"/>
          <w:color w:val="auto"/>
          <w:sz w:val="32"/>
          <w:szCs w:val="48"/>
          <w:lang w:bidi="ug-CN"/>
        </w:rPr>
        <w:t>政府有关部门在街道或道路中已经设置的行人隔离带（栏）、绿化带等视为障碍物，认定为不可正常</w:t>
      </w:r>
      <w:r>
        <w:rPr>
          <w:rFonts w:hint="eastAsia" w:ascii="仿宋_GB2312" w:hAnsi="宋体" w:eastAsia="仿宋_GB2312" w:cs="宋体"/>
          <w:color w:val="auto"/>
          <w:kern w:val="0"/>
          <w:sz w:val="32"/>
          <w:szCs w:val="48"/>
          <w:lang w:bidi="ug-CN"/>
        </w:rPr>
        <w:t>安全</w:t>
      </w:r>
      <w:r>
        <w:rPr>
          <w:rFonts w:hint="eastAsia" w:ascii="仿宋_GB2312" w:hAnsi="仿宋" w:eastAsia="仿宋_GB2312" w:cs="宋体"/>
          <w:color w:val="auto"/>
          <w:sz w:val="32"/>
          <w:szCs w:val="48"/>
          <w:lang w:bidi="ug-CN"/>
        </w:rPr>
        <w:t>通行。</w:t>
      </w:r>
    </w:p>
    <w:p w14:paraId="33C24B15">
      <w:pPr>
        <w:rPr>
          <w:rFonts w:hint="eastAsia" w:ascii="仿宋_GB2312" w:hAnsi="黑体" w:eastAsia="仿宋_GB2312" w:cs="宋体"/>
          <w:b/>
          <w:bCs/>
          <w:color w:val="auto"/>
          <w:szCs w:val="32"/>
          <w:lang w:bidi="ug-CN"/>
        </w:rPr>
      </w:pPr>
      <w:r>
        <w:rPr>
          <w:rFonts w:hint="eastAsia" w:ascii="仿宋_GB2312" w:hAnsi="黑体" w:eastAsia="仿宋_GB2312" w:cs="宋体"/>
          <w:b/>
          <w:bCs/>
          <w:color w:val="auto"/>
          <w:szCs w:val="32"/>
          <w:lang w:bidi="ug-CN"/>
        </w:rPr>
        <w:br w:type="page"/>
      </w:r>
    </w:p>
    <w:p w14:paraId="5CA081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微软雅黑" w:eastAsia="仿宋_GB2312" w:cs="宋体"/>
          <w:color w:val="auto"/>
          <w:sz w:val="32"/>
          <w:szCs w:val="48"/>
          <w:lang w:bidi="ug-CN"/>
        </w:rPr>
      </w:pPr>
      <w:r>
        <w:rPr>
          <w:rFonts w:hint="eastAsia" w:ascii="仿宋_GB2312" w:hAnsi="黑体" w:eastAsia="仿宋_GB2312" w:cs="宋体"/>
          <w:b/>
          <w:bCs/>
          <w:color w:val="auto"/>
          <w:sz w:val="32"/>
          <w:szCs w:val="48"/>
          <w:lang w:bidi="ug-CN"/>
        </w:rPr>
        <w:t>第六条</w:t>
      </w:r>
      <w:r>
        <w:rPr>
          <w:rFonts w:hint="eastAsia" w:ascii="仿宋_GB2312" w:hAnsi="微软雅黑" w:eastAsia="仿宋_GB2312" w:cs="宋体"/>
          <w:color w:val="auto"/>
          <w:sz w:val="32"/>
          <w:szCs w:val="48"/>
          <w:lang w:bidi="ug-CN"/>
        </w:rPr>
        <w:t xml:space="preserve">  在通行道路上临时设置的安全设施，临时放置的建筑材料、物品，擅自设立、建造的建筑、物体，以及因阶段性施工影响通行等不视为障碍物。</w:t>
      </w:r>
    </w:p>
    <w:p w14:paraId="4AB78B1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微软雅黑" w:eastAsia="仿宋_GB2312" w:cs="宋体"/>
          <w:color w:val="auto"/>
          <w:sz w:val="32"/>
          <w:szCs w:val="48"/>
          <w:lang w:bidi="ug-CN"/>
        </w:rPr>
      </w:pPr>
      <w:r>
        <w:rPr>
          <w:rFonts w:hint="eastAsia" w:ascii="仿宋_GB2312" w:hAnsi="黑体" w:eastAsia="仿宋_GB2312" w:cs="宋体"/>
          <w:b/>
          <w:bCs/>
          <w:color w:val="auto"/>
          <w:sz w:val="32"/>
          <w:szCs w:val="48"/>
          <w:lang w:bidi="ug-CN"/>
        </w:rPr>
        <w:t>第七条</w:t>
      </w:r>
      <w:r>
        <w:rPr>
          <w:rFonts w:hint="eastAsia" w:ascii="仿宋_GB2312" w:hAnsi="微软雅黑" w:eastAsia="仿宋_GB2312" w:cs="宋体"/>
          <w:color w:val="auto"/>
          <w:sz w:val="32"/>
          <w:szCs w:val="48"/>
          <w:lang w:bidi="ug-CN"/>
        </w:rPr>
        <w:t xml:space="preserve">  测量标准。</w:t>
      </w:r>
    </w:p>
    <w:p w14:paraId="67905C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宋体"/>
          <w:color w:val="auto"/>
          <w:sz w:val="32"/>
          <w:szCs w:val="48"/>
          <w:lang w:bidi="ug-CN"/>
        </w:rPr>
      </w:pPr>
      <w:r>
        <w:rPr>
          <w:rFonts w:hint="eastAsia" w:ascii="仿宋_GB2312" w:hAnsi="微软雅黑" w:eastAsia="仿宋_GB2312" w:cs="宋体"/>
          <w:color w:val="auto"/>
          <w:sz w:val="32"/>
          <w:szCs w:val="48"/>
          <w:lang w:bidi="ug-CN"/>
        </w:rPr>
        <w:t>（一）申请人的经营场所与最近零售点的经营场所同侧无障碍物的,测量最短直线距离。（如图1所示）</w:t>
      </w:r>
    </w:p>
    <w:p w14:paraId="73E37CFB">
      <w:pPr>
        <w:spacing w:line="360" w:lineRule="auto"/>
        <w:jc w:val="center"/>
        <w:rPr>
          <w:rFonts w:ascii="仿宋_GB2312" w:hAnsi="宋体" w:eastAsia="仿宋_GB2312" w:cs="宋体"/>
          <w:color w:val="auto"/>
          <w:kern w:val="0"/>
          <w:szCs w:val="32"/>
          <w:lang w:bidi="ug-CN"/>
        </w:rPr>
      </w:pPr>
      <w:r>
        <w:rPr>
          <w:rFonts w:ascii="仿宋_GB2312" w:hAnsi="宋体" w:eastAsia="仿宋_GB2312" w:cs="宋体"/>
          <w:color w:val="auto"/>
          <w:kern w:val="0"/>
          <w:szCs w:val="32"/>
        </w:rPr>
        <w:drawing>
          <wp:inline distT="0" distB="0" distL="114300" distR="114300">
            <wp:extent cx="5257800" cy="2025650"/>
            <wp:effectExtent l="0" t="0" r="0" b="12700"/>
            <wp:docPr id="18" name="图片 7" descr="a4a1d4dd071fd70d362880324593a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a4a1d4dd071fd70d362880324593a78"/>
                    <pic:cNvPicPr>
                      <a:picLocks noChangeAspect="1"/>
                    </pic:cNvPicPr>
                  </pic:nvPicPr>
                  <pic:blipFill>
                    <a:blip r:embed="rId7"/>
                    <a:stretch>
                      <a:fillRect/>
                    </a:stretch>
                  </pic:blipFill>
                  <pic:spPr>
                    <a:xfrm>
                      <a:off x="0" y="0"/>
                      <a:ext cx="5257800" cy="2025650"/>
                    </a:xfrm>
                    <a:prstGeom prst="rect">
                      <a:avLst/>
                    </a:prstGeom>
                    <a:noFill/>
                    <a:ln>
                      <a:noFill/>
                    </a:ln>
                  </pic:spPr>
                </pic:pic>
              </a:graphicData>
            </a:graphic>
          </wp:inline>
        </w:drawing>
      </w:r>
      <w:r>
        <w:rPr>
          <w:rFonts w:hint="eastAsia" w:ascii="仿宋_GB2312" w:hAnsi="宋体" w:eastAsia="仿宋_GB2312" w:cs="宋体"/>
          <w:color w:val="auto"/>
          <w:kern w:val="0"/>
          <w:sz w:val="32"/>
          <w:szCs w:val="32"/>
          <w:lang w:bidi="ug-CN"/>
        </w:rPr>
        <w:t>（图1）</w:t>
      </w:r>
    </w:p>
    <w:p w14:paraId="39585E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宋体"/>
          <w:color w:val="auto"/>
          <w:sz w:val="32"/>
          <w:szCs w:val="48"/>
          <w:lang w:bidi="ug-CN"/>
        </w:rPr>
      </w:pPr>
      <w:r>
        <w:rPr>
          <w:rFonts w:hint="eastAsia" w:ascii="仿宋_GB2312" w:hAnsi="微软雅黑" w:eastAsia="仿宋_GB2312" w:cs="宋体"/>
          <w:color w:val="auto"/>
          <w:sz w:val="32"/>
          <w:szCs w:val="48"/>
          <w:lang w:bidi="ug-CN"/>
        </w:rPr>
        <w:t>（二）申请人的经营场所与最近零售点的经营场所同侧存在障碍物的，测量按直角分段绕过障碍物测量，分段距离之和即为申请人的经营场所与最近零售点的经营场所间的距离。（如图2所示）</w:t>
      </w:r>
    </w:p>
    <w:p w14:paraId="56F7EB35">
      <w:pPr>
        <w:adjustRightInd w:val="0"/>
        <w:snapToGrid w:val="0"/>
        <w:spacing w:line="360" w:lineRule="auto"/>
        <w:jc w:val="center"/>
        <w:rPr>
          <w:rFonts w:ascii="方正小标宋简体" w:hAnsi="黑体" w:eastAsia="方正小标宋简体" w:cs="宋体"/>
          <w:color w:val="auto"/>
          <w:szCs w:val="32"/>
          <w:lang w:bidi="ug-CN"/>
        </w:rPr>
      </w:pPr>
      <w:r>
        <w:rPr>
          <w:rFonts w:ascii="方正小标宋简体" w:hAnsi="黑体" w:eastAsia="方正小标宋简体" w:cs="宋体"/>
          <w:color w:val="auto"/>
          <w:szCs w:val="32"/>
          <w:lang w:bidi="ug-CN"/>
        </w:rPr>
        <w:drawing>
          <wp:inline distT="0" distB="0" distL="114300" distR="114300">
            <wp:extent cx="5255260" cy="1823085"/>
            <wp:effectExtent l="0" t="0" r="2540" b="5715"/>
            <wp:docPr id="19" name="图片 8" descr="a10234677569395b1444565ea9f70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a10234677569395b1444565ea9f700d"/>
                    <pic:cNvPicPr>
                      <a:picLocks noChangeAspect="1"/>
                    </pic:cNvPicPr>
                  </pic:nvPicPr>
                  <pic:blipFill>
                    <a:blip r:embed="rId8"/>
                    <a:stretch>
                      <a:fillRect/>
                    </a:stretch>
                  </pic:blipFill>
                  <pic:spPr>
                    <a:xfrm>
                      <a:off x="0" y="0"/>
                      <a:ext cx="5255260" cy="1823085"/>
                    </a:xfrm>
                    <a:prstGeom prst="rect">
                      <a:avLst/>
                    </a:prstGeom>
                    <a:noFill/>
                    <a:ln>
                      <a:noFill/>
                    </a:ln>
                  </pic:spPr>
                </pic:pic>
              </a:graphicData>
            </a:graphic>
          </wp:inline>
        </w:drawing>
      </w:r>
    </w:p>
    <w:p w14:paraId="0B680F4D">
      <w:pPr>
        <w:adjustRightInd w:val="0"/>
        <w:snapToGrid w:val="0"/>
        <w:spacing w:line="360" w:lineRule="auto"/>
        <w:jc w:val="center"/>
        <w:rPr>
          <w:rFonts w:ascii="仿宋_GB2312" w:hAnsi="仿宋" w:eastAsia="仿宋_GB2312" w:cs="宋体"/>
          <w:color w:val="auto"/>
          <w:sz w:val="32"/>
          <w:szCs w:val="32"/>
          <w:lang w:bidi="ug-CN"/>
        </w:rPr>
      </w:pPr>
      <w:r>
        <w:rPr>
          <w:rFonts w:hint="eastAsia" w:ascii="方正小标宋简体" w:hAnsi="黑体" w:eastAsia="方正小标宋简体" w:cs="宋体"/>
          <w:color w:val="auto"/>
          <w:sz w:val="32"/>
          <w:szCs w:val="32"/>
          <w:lang w:bidi="ug-CN"/>
        </w:rPr>
        <w:t>（</w:t>
      </w:r>
      <w:r>
        <w:rPr>
          <w:rFonts w:hint="eastAsia" w:ascii="仿宋_GB2312" w:hAnsi="仿宋" w:eastAsia="仿宋_GB2312" w:cs="宋体"/>
          <w:color w:val="auto"/>
          <w:sz w:val="32"/>
          <w:szCs w:val="32"/>
          <w:lang w:bidi="ug-CN"/>
        </w:rPr>
        <w:t>图2）</w:t>
      </w:r>
    </w:p>
    <w:p w14:paraId="0D3428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宋体"/>
          <w:color w:val="auto"/>
          <w:szCs w:val="32"/>
          <w:lang w:bidi="ug-CN"/>
        </w:rPr>
      </w:pPr>
      <w:r>
        <w:rPr>
          <w:rFonts w:hint="eastAsia" w:ascii="仿宋_GB2312" w:hAnsi="微软雅黑" w:eastAsia="仿宋_GB2312" w:cs="宋体"/>
          <w:color w:val="auto"/>
          <w:sz w:val="32"/>
          <w:szCs w:val="48"/>
          <w:lang w:bidi="ug-CN"/>
        </w:rPr>
        <w:t>（三）申请人的经营场所与最近零售点的经营场所异侧无障碍物的,测量按直角分段测量，分段距离之和即为申请人的经营场所与最近零售点的经营场所的距离。（如图3所示）</w:t>
      </w:r>
      <w:r>
        <w:rPr>
          <w:rFonts w:hint="eastAsia" w:ascii="仿宋_GB2312" w:hAnsi="仿宋" w:eastAsia="仿宋_GB2312" w:cs="宋体"/>
          <w:color w:val="auto"/>
          <w:szCs w:val="32"/>
          <w:lang w:bidi="ug-CN"/>
        </w:rPr>
        <w:t xml:space="preserve">  </w:t>
      </w:r>
    </w:p>
    <w:p w14:paraId="012E6183">
      <w:pPr>
        <w:adjustRightInd w:val="0"/>
        <w:snapToGrid w:val="0"/>
        <w:spacing w:line="360" w:lineRule="auto"/>
        <w:jc w:val="center"/>
        <w:rPr>
          <w:rFonts w:ascii="方正小标宋简体" w:hAnsi="黑体" w:eastAsia="方正小标宋简体" w:cs="宋体"/>
          <w:color w:val="auto"/>
          <w:szCs w:val="21"/>
          <w:lang w:bidi="ug-CN"/>
        </w:rPr>
      </w:pPr>
      <w:r>
        <w:rPr>
          <w:rFonts w:ascii="方正小标宋简体" w:hAnsi="黑体" w:eastAsia="方正小标宋简体" w:cs="宋体"/>
          <w:color w:val="auto"/>
          <w:szCs w:val="21"/>
          <w:lang w:bidi="ug-CN"/>
        </w:rPr>
        <w:drawing>
          <wp:inline distT="0" distB="0" distL="114300" distR="114300">
            <wp:extent cx="5257800" cy="2633345"/>
            <wp:effectExtent l="0" t="0" r="0" b="14605"/>
            <wp:docPr id="20" name="图片 9" descr="95093f88d308a53b7cbcf0aa8b2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descr="95093f88d308a53b7cbcf0aa8b25898"/>
                    <pic:cNvPicPr>
                      <a:picLocks noChangeAspect="1"/>
                    </pic:cNvPicPr>
                  </pic:nvPicPr>
                  <pic:blipFill>
                    <a:blip r:embed="rId9"/>
                    <a:stretch>
                      <a:fillRect/>
                    </a:stretch>
                  </pic:blipFill>
                  <pic:spPr>
                    <a:xfrm>
                      <a:off x="0" y="0"/>
                      <a:ext cx="5257800" cy="2633345"/>
                    </a:xfrm>
                    <a:prstGeom prst="rect">
                      <a:avLst/>
                    </a:prstGeom>
                    <a:noFill/>
                    <a:ln>
                      <a:noFill/>
                    </a:ln>
                  </pic:spPr>
                </pic:pic>
              </a:graphicData>
            </a:graphic>
          </wp:inline>
        </w:drawing>
      </w:r>
      <w:r>
        <w:rPr>
          <w:rFonts w:hint="eastAsia" w:ascii="方正小标宋简体" w:hAnsi="黑体" w:eastAsia="方正小标宋简体" w:cs="宋体"/>
          <w:color w:val="auto"/>
          <w:szCs w:val="21"/>
          <w:lang w:bidi="ug-CN"/>
        </w:rPr>
        <w:t xml:space="preserve"> </w:t>
      </w:r>
    </w:p>
    <w:p w14:paraId="54641FD5">
      <w:pPr>
        <w:adjustRightInd w:val="0"/>
        <w:snapToGrid w:val="0"/>
        <w:spacing w:line="360" w:lineRule="auto"/>
        <w:jc w:val="center"/>
        <w:rPr>
          <w:rFonts w:ascii="仿宋_GB2312" w:hAnsi="宋体" w:eastAsia="仿宋_GB2312" w:cs="宋体"/>
          <w:color w:val="auto"/>
          <w:kern w:val="0"/>
          <w:sz w:val="32"/>
          <w:szCs w:val="32"/>
          <w:lang w:bidi="ug-CN"/>
        </w:rPr>
      </w:pPr>
      <w:r>
        <w:rPr>
          <w:rFonts w:hint="eastAsia" w:ascii="仿宋_GB2312" w:hAnsi="宋体" w:eastAsia="仿宋_GB2312" w:cs="宋体"/>
          <w:color w:val="auto"/>
          <w:kern w:val="0"/>
          <w:sz w:val="32"/>
          <w:szCs w:val="32"/>
          <w:lang w:bidi="ug-CN"/>
        </w:rPr>
        <w:t>（图3）</w:t>
      </w:r>
    </w:p>
    <w:p w14:paraId="291656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宋体"/>
          <w:color w:val="auto"/>
          <w:sz w:val="32"/>
          <w:szCs w:val="48"/>
          <w:lang w:bidi="ug-CN"/>
        </w:rPr>
      </w:pPr>
      <w:r>
        <w:rPr>
          <w:rFonts w:hint="eastAsia" w:ascii="仿宋_GB2312" w:hAnsi="微软雅黑" w:eastAsia="仿宋_GB2312" w:cs="宋体"/>
          <w:color w:val="auto"/>
          <w:sz w:val="32"/>
          <w:szCs w:val="48"/>
          <w:lang w:bidi="ug-CN"/>
        </w:rPr>
        <w:t>（四）申请人的经营场所与最近零售点的经营场所异侧存在障碍物的，测量按直角分段绕过障碍物测量，分段距离之和即为申请人的经营场所与最近零售点的经营场所间的距离。（如图4所示）</w:t>
      </w:r>
    </w:p>
    <w:p w14:paraId="343B3EB5">
      <w:pPr>
        <w:adjustRightInd w:val="0"/>
        <w:snapToGrid w:val="0"/>
        <w:spacing w:line="360" w:lineRule="auto"/>
        <w:jc w:val="center"/>
        <w:rPr>
          <w:rFonts w:ascii="仿宋_GB2312" w:hAnsi="仿宋" w:eastAsia="仿宋_GB2312" w:cs="宋体"/>
          <w:color w:val="auto"/>
          <w:szCs w:val="32"/>
          <w:lang w:bidi="ug-CN"/>
        </w:rPr>
      </w:pPr>
      <w:r>
        <w:rPr>
          <w:rFonts w:ascii="仿宋_GB2312" w:hAnsi="仿宋" w:eastAsia="仿宋_GB2312" w:cs="宋体"/>
          <w:color w:val="auto"/>
          <w:szCs w:val="32"/>
          <w:lang w:bidi="ug-CN"/>
        </w:rPr>
        <w:drawing>
          <wp:inline distT="0" distB="0" distL="114300" distR="114300">
            <wp:extent cx="4817110" cy="2007870"/>
            <wp:effectExtent l="0" t="0" r="2540" b="11430"/>
            <wp:docPr id="21" name="图片 10" descr="dd78379a879eff09d01d29da191c6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descr="dd78379a879eff09d01d29da191c60a"/>
                    <pic:cNvPicPr>
                      <a:picLocks noChangeAspect="1"/>
                    </pic:cNvPicPr>
                  </pic:nvPicPr>
                  <pic:blipFill>
                    <a:blip r:embed="rId10"/>
                    <a:stretch>
                      <a:fillRect/>
                    </a:stretch>
                  </pic:blipFill>
                  <pic:spPr>
                    <a:xfrm>
                      <a:off x="0" y="0"/>
                      <a:ext cx="4817110" cy="2007870"/>
                    </a:xfrm>
                    <a:prstGeom prst="rect">
                      <a:avLst/>
                    </a:prstGeom>
                    <a:noFill/>
                    <a:ln>
                      <a:noFill/>
                    </a:ln>
                  </pic:spPr>
                </pic:pic>
              </a:graphicData>
            </a:graphic>
          </wp:inline>
        </w:drawing>
      </w:r>
      <w:r>
        <w:rPr>
          <w:rFonts w:hint="eastAsia" w:ascii="仿宋_GB2312" w:hAnsi="仿宋" w:eastAsia="仿宋_GB2312" w:cs="宋体"/>
          <w:color w:val="auto"/>
          <w:szCs w:val="32"/>
          <w:lang w:bidi="ug-CN"/>
        </w:rPr>
        <w:t xml:space="preserve"> </w:t>
      </w:r>
    </w:p>
    <w:p w14:paraId="5C33AA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微软雅黑" w:eastAsia="仿宋_GB2312" w:cs="宋体"/>
          <w:color w:val="auto"/>
          <w:sz w:val="32"/>
          <w:szCs w:val="48"/>
          <w:lang w:bidi="ug-CN"/>
        </w:rPr>
      </w:pPr>
      <w:r>
        <w:rPr>
          <w:rFonts w:hint="eastAsia" w:ascii="仿宋_GB2312" w:hAnsi="微软雅黑" w:eastAsia="仿宋_GB2312" w:cs="宋体"/>
          <w:color w:val="auto"/>
          <w:sz w:val="32"/>
          <w:szCs w:val="48"/>
          <w:lang w:bidi="ug-CN"/>
        </w:rPr>
        <w:t>（图4）</w:t>
      </w:r>
    </w:p>
    <w:p w14:paraId="3657C2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宋体"/>
          <w:color w:val="auto"/>
          <w:sz w:val="32"/>
          <w:szCs w:val="48"/>
          <w:lang w:bidi="ug-CN"/>
        </w:rPr>
      </w:pPr>
      <w:r>
        <w:rPr>
          <w:rFonts w:hint="eastAsia" w:ascii="仿宋_GB2312" w:hAnsi="微软雅黑" w:eastAsia="仿宋_GB2312" w:cs="宋体"/>
          <w:color w:val="auto"/>
          <w:sz w:val="32"/>
          <w:szCs w:val="48"/>
          <w:lang w:bidi="ug-CN"/>
        </w:rPr>
        <w:t>（五）申请人的经营场所与最近零售点的经营场所之间道路存在有转角的，按直角分段测量最短距离。（如图5所示）</w:t>
      </w:r>
    </w:p>
    <w:p w14:paraId="4BE8AF17">
      <w:pPr>
        <w:adjustRightInd w:val="0"/>
        <w:snapToGrid w:val="0"/>
        <w:spacing w:line="360" w:lineRule="auto"/>
        <w:ind w:firstLine="464" w:firstLineChars="221"/>
        <w:jc w:val="center"/>
        <w:rPr>
          <w:rFonts w:ascii="方正小标宋简体" w:hAnsi="黑体" w:eastAsia="方正小标宋简体" w:cs="宋体"/>
          <w:color w:val="auto"/>
          <w:szCs w:val="32"/>
        </w:rPr>
      </w:pPr>
      <w:r>
        <w:rPr>
          <w:rFonts w:ascii="方正小标宋简体" w:hAnsi="黑体" w:eastAsia="方正小标宋简体" w:cs="宋体"/>
          <w:color w:val="auto"/>
          <w:szCs w:val="32"/>
        </w:rPr>
        <w:drawing>
          <wp:inline distT="0" distB="0" distL="114300" distR="114300">
            <wp:extent cx="4296410" cy="2805430"/>
            <wp:effectExtent l="0" t="0" r="8890" b="13970"/>
            <wp:docPr id="22" name="图片 11" descr="ed8a6ec6b6efd4edc83e191d2ec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descr="ed8a6ec6b6efd4edc83e191d2ec4415"/>
                    <pic:cNvPicPr>
                      <a:picLocks noChangeAspect="1"/>
                    </pic:cNvPicPr>
                  </pic:nvPicPr>
                  <pic:blipFill>
                    <a:blip r:embed="rId11"/>
                    <a:stretch>
                      <a:fillRect/>
                    </a:stretch>
                  </pic:blipFill>
                  <pic:spPr>
                    <a:xfrm>
                      <a:off x="0" y="0"/>
                      <a:ext cx="4296410" cy="2805430"/>
                    </a:xfrm>
                    <a:prstGeom prst="rect">
                      <a:avLst/>
                    </a:prstGeom>
                    <a:noFill/>
                    <a:ln>
                      <a:noFill/>
                    </a:ln>
                  </pic:spPr>
                </pic:pic>
              </a:graphicData>
            </a:graphic>
          </wp:inline>
        </w:drawing>
      </w:r>
    </w:p>
    <w:p w14:paraId="6E2BD3D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_GB2312" w:hAnsi="仿宋" w:eastAsia="仿宋_GB2312" w:cs="宋体"/>
          <w:color w:val="auto"/>
          <w:sz w:val="32"/>
          <w:szCs w:val="48"/>
          <w:lang w:bidi="ug-CN"/>
        </w:rPr>
      </w:pPr>
      <w:r>
        <w:rPr>
          <w:rFonts w:hint="eastAsia" w:ascii="方正小标宋简体" w:hAnsi="黑体" w:eastAsia="方正小标宋简体" w:cs="宋体"/>
          <w:color w:val="auto"/>
          <w:sz w:val="32"/>
          <w:szCs w:val="48"/>
          <w:lang w:bidi="ug-CN"/>
        </w:rPr>
        <w:t>（</w:t>
      </w:r>
      <w:r>
        <w:rPr>
          <w:rFonts w:hint="eastAsia" w:ascii="仿宋_GB2312" w:hAnsi="宋体" w:eastAsia="仿宋_GB2312" w:cs="宋体"/>
          <w:color w:val="auto"/>
          <w:kern w:val="0"/>
          <w:sz w:val="32"/>
          <w:szCs w:val="48"/>
          <w:lang w:bidi="ug-CN"/>
        </w:rPr>
        <w:t>图5）</w:t>
      </w:r>
    </w:p>
    <w:p w14:paraId="0741A2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宋体"/>
          <w:color w:val="auto"/>
          <w:sz w:val="32"/>
          <w:szCs w:val="48"/>
          <w:lang w:bidi="ug-CN"/>
        </w:rPr>
      </w:pPr>
      <w:r>
        <w:rPr>
          <w:rFonts w:hint="eastAsia" w:ascii="仿宋_GB2312" w:hAnsi="微软雅黑" w:eastAsia="仿宋_GB2312" w:cs="宋体"/>
          <w:color w:val="auto"/>
          <w:sz w:val="32"/>
          <w:szCs w:val="48"/>
          <w:lang w:bidi="ug-CN"/>
        </w:rPr>
        <w:t>（六）申请人的经营场所与最近零售点的经营场所之间有台阶、楼梯的，以其平面坡长进行测量（如图6所示）；有电梯的，以层高进行测量；楼梯与电梯并存的，以最短距离的为准。</w:t>
      </w:r>
    </w:p>
    <w:p w14:paraId="1632B359">
      <w:pPr>
        <w:adjustRightInd w:val="0"/>
        <w:snapToGrid w:val="0"/>
        <w:spacing w:line="360" w:lineRule="auto"/>
        <w:jc w:val="center"/>
        <w:rPr>
          <w:rFonts w:ascii="仿宋_GB2312" w:hAnsi="黑体" w:eastAsia="仿宋_GB2312" w:cs="宋体"/>
          <w:color w:val="auto"/>
          <w:szCs w:val="32"/>
          <w:lang w:bidi="ug-CN"/>
        </w:rPr>
      </w:pPr>
      <w:r>
        <w:rPr>
          <w:rFonts w:ascii="仿宋_GB2312" w:hAnsi="黑体" w:eastAsia="仿宋_GB2312" w:cs="宋体"/>
          <w:color w:val="auto"/>
          <w:szCs w:val="32"/>
        </w:rPr>
        <w:drawing>
          <wp:inline distT="0" distB="0" distL="114300" distR="114300">
            <wp:extent cx="4681855" cy="2378710"/>
            <wp:effectExtent l="0" t="0" r="4445" b="2540"/>
            <wp:docPr id="23" name="图片 12" descr="8746ca3c29c4409ceed41e0fc329b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2" descr="8746ca3c29c4409ceed41e0fc329b28"/>
                    <pic:cNvPicPr>
                      <a:picLocks noChangeAspect="1"/>
                    </pic:cNvPicPr>
                  </pic:nvPicPr>
                  <pic:blipFill>
                    <a:blip r:embed="rId12"/>
                    <a:stretch>
                      <a:fillRect/>
                    </a:stretch>
                  </pic:blipFill>
                  <pic:spPr>
                    <a:xfrm>
                      <a:off x="0" y="0"/>
                      <a:ext cx="4681855" cy="2378710"/>
                    </a:xfrm>
                    <a:prstGeom prst="rect">
                      <a:avLst/>
                    </a:prstGeom>
                    <a:noFill/>
                    <a:ln>
                      <a:noFill/>
                    </a:ln>
                  </pic:spPr>
                </pic:pic>
              </a:graphicData>
            </a:graphic>
          </wp:inline>
        </w:drawing>
      </w:r>
    </w:p>
    <w:p w14:paraId="426B7E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微软雅黑" w:eastAsia="仿宋_GB2312" w:cs="宋体"/>
          <w:color w:val="auto"/>
          <w:sz w:val="32"/>
          <w:szCs w:val="48"/>
          <w:lang w:val="en-US" w:eastAsia="zh-CN" w:bidi="ug-CN"/>
        </w:rPr>
      </w:pPr>
      <w:r>
        <w:rPr>
          <w:rFonts w:hint="eastAsia" w:ascii="仿宋_GB2312" w:hAnsi="微软雅黑" w:eastAsia="仿宋_GB2312" w:cs="宋体"/>
          <w:color w:val="auto"/>
          <w:sz w:val="32"/>
          <w:szCs w:val="48"/>
          <w:lang w:val="en-US" w:eastAsia="zh-CN" w:bidi="ug-CN"/>
        </w:rPr>
        <w:t>（图6）</w:t>
      </w:r>
    </w:p>
    <w:p w14:paraId="09836D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宋体"/>
          <w:color w:val="auto"/>
          <w:sz w:val="32"/>
          <w:szCs w:val="48"/>
          <w:lang w:bidi="ug-CN"/>
        </w:rPr>
      </w:pPr>
      <w:r>
        <w:rPr>
          <w:rFonts w:hint="eastAsia" w:ascii="仿宋_GB2312" w:hAnsi="微软雅黑" w:eastAsia="仿宋_GB2312" w:cs="宋体"/>
          <w:color w:val="auto"/>
          <w:sz w:val="32"/>
          <w:szCs w:val="48"/>
          <w:lang w:val="en-US" w:eastAsia="zh-CN" w:bidi="ug-CN"/>
        </w:rPr>
        <w:t>（七）申请人的经营场所位于中小学校、幼儿园周围的，以中小学校、幼儿园日常可通行的出入口（含大门、侧门等）中间点为测量基准点，以测量基准点为圆心，以按照本规划规定的距离要求为半径，与测量目标出入口的最近点的半径距离。</w:t>
      </w:r>
      <w:r>
        <w:rPr>
          <w:rFonts w:hint="eastAsia" w:ascii="仿宋_GB2312" w:hAnsi="微软雅黑" w:eastAsia="仿宋_GB2312" w:cs="宋体"/>
          <w:color w:val="auto"/>
          <w:sz w:val="32"/>
          <w:szCs w:val="48"/>
          <w:lang w:bidi="ug-CN"/>
        </w:rPr>
        <w:t>（如图</w:t>
      </w:r>
      <w:r>
        <w:rPr>
          <w:rFonts w:hint="eastAsia" w:ascii="仿宋_GB2312" w:hAnsi="微软雅黑" w:eastAsia="仿宋_GB2312" w:cs="宋体"/>
          <w:color w:val="auto"/>
          <w:sz w:val="32"/>
          <w:szCs w:val="48"/>
          <w:lang w:val="en-US" w:eastAsia="zh-CN" w:bidi="ug-CN"/>
        </w:rPr>
        <w:t>7</w:t>
      </w:r>
      <w:r>
        <w:rPr>
          <w:rFonts w:hint="eastAsia" w:ascii="仿宋_GB2312" w:hAnsi="微软雅黑" w:eastAsia="仿宋_GB2312" w:cs="宋体"/>
          <w:color w:val="auto"/>
          <w:sz w:val="32"/>
          <w:szCs w:val="48"/>
          <w:lang w:bidi="ug-CN"/>
        </w:rPr>
        <w:t xml:space="preserve">所示） </w:t>
      </w:r>
    </w:p>
    <w:p w14:paraId="106889E0">
      <w:pPr>
        <w:adjustRightInd w:val="0"/>
        <w:snapToGrid w:val="0"/>
        <w:spacing w:line="360" w:lineRule="auto"/>
        <w:jc w:val="center"/>
        <w:rPr>
          <w:rFonts w:hint="default" w:eastAsia="仿宋_GB2312"/>
          <w:color w:val="auto"/>
          <w:sz w:val="28"/>
          <w:szCs w:val="36"/>
          <w:lang w:val="en-US" w:eastAsia="zh-CN"/>
        </w:rPr>
      </w:pPr>
      <w:r>
        <w:rPr>
          <w:rFonts w:hint="default" w:eastAsia="仿宋_GB2312"/>
          <w:color w:val="auto"/>
          <w:sz w:val="28"/>
          <w:szCs w:val="36"/>
          <w:lang w:val="en-US" w:eastAsia="zh-CN"/>
        </w:rPr>
        <w:drawing>
          <wp:inline distT="0" distB="0" distL="114300" distR="114300">
            <wp:extent cx="4575175" cy="3035935"/>
            <wp:effectExtent l="9525" t="9525" r="25400" b="21590"/>
            <wp:docPr id="7" name="图片 7" descr="mmexport1702461666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mmexport1702461666863"/>
                    <pic:cNvPicPr>
                      <a:picLocks noChangeAspect="1"/>
                    </pic:cNvPicPr>
                  </pic:nvPicPr>
                  <pic:blipFill>
                    <a:blip r:embed="rId13"/>
                    <a:stretch>
                      <a:fillRect/>
                    </a:stretch>
                  </pic:blipFill>
                  <pic:spPr>
                    <a:xfrm>
                      <a:off x="0" y="0"/>
                      <a:ext cx="4575175" cy="3035935"/>
                    </a:xfrm>
                    <a:prstGeom prst="rect">
                      <a:avLst/>
                    </a:prstGeom>
                    <a:ln>
                      <a:solidFill>
                        <a:schemeClr val="bg1"/>
                      </a:solidFill>
                    </a:ln>
                  </pic:spPr>
                </pic:pic>
              </a:graphicData>
            </a:graphic>
          </wp:inline>
        </w:drawing>
      </w:r>
    </w:p>
    <w:p w14:paraId="197D7D34">
      <w:pPr>
        <w:adjustRightInd w:val="0"/>
        <w:snapToGrid w:val="0"/>
        <w:spacing w:line="360" w:lineRule="auto"/>
        <w:jc w:val="center"/>
        <w:rPr>
          <w:rFonts w:hint="eastAsia" w:ascii="仿宋_GB2312" w:hAnsi="仿宋" w:eastAsia="仿宋_GB2312" w:cs="宋体"/>
          <w:color w:val="auto"/>
          <w:szCs w:val="32"/>
          <w:lang w:bidi="ug-CN"/>
        </w:rPr>
      </w:pPr>
      <w:r>
        <w:rPr>
          <w:rFonts w:hint="default" w:eastAsia="仿宋_GB2312"/>
          <w:color w:val="auto"/>
          <w:sz w:val="28"/>
          <w:szCs w:val="36"/>
          <w:lang w:val="en-US" w:eastAsia="zh-CN"/>
        </w:rPr>
        <w:drawing>
          <wp:inline distT="0" distB="0" distL="114300" distR="114300">
            <wp:extent cx="4579620" cy="3239135"/>
            <wp:effectExtent l="0" t="0" r="11430" b="18415"/>
            <wp:docPr id="8" name="图片 8" descr="mmexport1702461675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mmexport1702461675531"/>
                    <pic:cNvPicPr>
                      <a:picLocks noChangeAspect="1"/>
                    </pic:cNvPicPr>
                  </pic:nvPicPr>
                  <pic:blipFill>
                    <a:blip r:embed="rId14"/>
                    <a:stretch>
                      <a:fillRect/>
                    </a:stretch>
                  </pic:blipFill>
                  <pic:spPr>
                    <a:xfrm>
                      <a:off x="0" y="0"/>
                      <a:ext cx="4579620" cy="3239135"/>
                    </a:xfrm>
                    <a:prstGeom prst="rect">
                      <a:avLst/>
                    </a:prstGeom>
                  </pic:spPr>
                </pic:pic>
              </a:graphicData>
            </a:graphic>
          </wp:inline>
        </w:drawing>
      </w:r>
    </w:p>
    <w:p w14:paraId="35CE23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微软雅黑" w:eastAsia="仿宋_GB2312" w:cs="宋体"/>
          <w:color w:val="auto"/>
          <w:sz w:val="32"/>
          <w:szCs w:val="48"/>
          <w:lang w:val="en-US" w:eastAsia="zh-CN" w:bidi="ug-CN"/>
        </w:rPr>
      </w:pPr>
      <w:r>
        <w:rPr>
          <w:rFonts w:hint="eastAsia" w:ascii="仿宋_GB2312" w:hAnsi="微软雅黑" w:eastAsia="仿宋_GB2312" w:cs="宋体"/>
          <w:color w:val="auto"/>
          <w:sz w:val="32"/>
          <w:szCs w:val="48"/>
          <w:lang w:val="en-US" w:eastAsia="zh-CN" w:bidi="ug-CN"/>
        </w:rPr>
        <w:t>（图7）</w:t>
      </w:r>
    </w:p>
    <w:p w14:paraId="6F1119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宋体"/>
          <w:color w:val="auto"/>
          <w:sz w:val="32"/>
          <w:szCs w:val="48"/>
          <w:lang w:val="en-US" w:eastAsia="zh-CN" w:bidi="ug-CN"/>
        </w:rPr>
      </w:pPr>
      <w:r>
        <w:rPr>
          <w:rFonts w:hint="eastAsia" w:ascii="仿宋_GB2312" w:hAnsi="微软雅黑" w:eastAsia="仿宋_GB2312" w:cs="宋体"/>
          <w:color w:val="auto"/>
          <w:sz w:val="32"/>
          <w:szCs w:val="48"/>
          <w:lang w:val="en-US" w:eastAsia="zh-CN" w:bidi="ug-CN"/>
        </w:rPr>
        <w:t>（八）市场、封闭式小区内、广场等区域零售点间距测量方法均以原设计道路、人行通道等行人正常安全行走的最短距离进行测量。</w:t>
      </w:r>
    </w:p>
    <w:p w14:paraId="114307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宋体"/>
          <w:color w:val="auto"/>
          <w:sz w:val="32"/>
          <w:szCs w:val="48"/>
          <w:lang w:val="en-US" w:eastAsia="zh-CN" w:bidi="ug-CN"/>
        </w:rPr>
      </w:pPr>
      <w:r>
        <w:rPr>
          <w:rFonts w:hint="eastAsia" w:ascii="仿宋_GB2312" w:hAnsi="微软雅黑" w:eastAsia="仿宋_GB2312" w:cs="宋体"/>
          <w:color w:val="auto"/>
          <w:sz w:val="32"/>
          <w:szCs w:val="48"/>
          <w:lang w:val="en-US" w:eastAsia="zh-CN" w:bidi="ug-CN"/>
        </w:rPr>
        <w:t>（九）特殊地形测量：因地形、地貌或设计等原因导致道路、通道成不规则形态，通过前述方法无法测量的，取可安全通行路径最近距离进行测量。</w:t>
      </w:r>
    </w:p>
    <w:p w14:paraId="2869F1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微软雅黑" w:eastAsia="仿宋_GB2312" w:cs="宋体"/>
          <w:color w:val="auto"/>
          <w:sz w:val="32"/>
          <w:szCs w:val="32"/>
          <w:highlight w:val="none"/>
          <w:lang w:val="en-US" w:eastAsia="zh-CN" w:bidi="ug-CN"/>
        </w:rPr>
      </w:pPr>
      <w:r>
        <w:rPr>
          <w:rFonts w:hint="eastAsia" w:ascii="仿宋_GB2312" w:hAnsi="微软雅黑" w:eastAsia="仿宋_GB2312" w:cs="宋体"/>
          <w:color w:val="auto"/>
          <w:sz w:val="32"/>
          <w:szCs w:val="48"/>
          <w:lang w:val="en-US" w:eastAsia="zh-CN" w:bidi="ug-CN"/>
        </w:rPr>
        <w:t>（十）测量工具使用符合国家统一标准的测量工具。</w:t>
      </w:r>
      <w:r>
        <w:rPr>
          <w:rFonts w:hint="eastAsia" w:ascii="仿宋_GB2312" w:hAnsi="微软雅黑" w:eastAsia="仿宋_GB2312" w:cs="宋体"/>
          <w:color w:val="auto"/>
          <w:sz w:val="32"/>
          <w:szCs w:val="32"/>
          <w:highlight w:val="none"/>
          <w:lang w:val="en-US" w:eastAsia="zh-CN" w:bidi="ug-CN"/>
        </w:rPr>
        <w:br w:type="page"/>
      </w:r>
    </w:p>
    <w:p w14:paraId="1A5C01A4">
      <w:pPr>
        <w:rPr>
          <w:rFonts w:hint="eastAsia" w:ascii="方正小标宋简体" w:hAnsi="方正小标宋简体" w:eastAsia="方正小标宋简体" w:cs="方正小标宋简体"/>
          <w:b/>
          <w:bCs/>
          <w:color w:val="auto"/>
          <w:sz w:val="40"/>
          <w:szCs w:val="40"/>
          <w:lang w:val="en-US" w:eastAsia="zh-CN"/>
        </w:rPr>
      </w:pPr>
      <w:r>
        <w:rPr>
          <w:rFonts w:hint="eastAsia" w:ascii="仿宋_GB2312" w:hAnsi="微软雅黑" w:eastAsia="仿宋_GB2312" w:cs="宋体"/>
          <w:b/>
          <w:bCs/>
          <w:color w:val="auto"/>
          <w:sz w:val="32"/>
          <w:szCs w:val="32"/>
          <w:highlight w:val="none"/>
          <w:lang w:val="en-US" w:eastAsia="zh-CN" w:bidi="ug-CN"/>
        </w:rPr>
        <w:t>附件4：</w:t>
      </w:r>
    </w:p>
    <w:p w14:paraId="434C87E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lang w:val="en-US" w:eastAsia="zh-CN"/>
        </w:rPr>
        <w:t>太白县</w:t>
      </w:r>
      <w:r>
        <w:rPr>
          <w:rFonts w:hint="eastAsia" w:ascii="方正小标宋简体" w:hAnsi="方正小标宋简体" w:eastAsia="方正小标宋简体" w:cs="方正小标宋简体"/>
          <w:color w:val="auto"/>
          <w:sz w:val="40"/>
          <w:szCs w:val="40"/>
        </w:rPr>
        <w:t>烟草专卖零售许可证办理轮候制度</w:t>
      </w:r>
    </w:p>
    <w:p w14:paraId="4F78A91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p>
    <w:p w14:paraId="207A03F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14:paraId="3555D73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sz w:val="32"/>
          <w:szCs w:val="32"/>
        </w:rPr>
        <w:t>为规范实施《太白县烟草制品零售点合理布局规划》，坚持公平、公正、公开原则，进一步增强公信力，根据《中华人民共和国行政许可法》《烟草专卖许可证管理办法》《烟草专卖许可证管理办法实施细则》的精神，促进烟草零售点轮候的规范，特制定本制度。</w:t>
      </w:r>
    </w:p>
    <w:p w14:paraId="7FAED0A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本制度适用于</w:t>
      </w:r>
      <w:r>
        <w:rPr>
          <w:rFonts w:hint="eastAsia" w:ascii="仿宋_GB2312" w:hAnsi="仿宋_GB2312" w:eastAsia="仿宋_GB2312" w:cs="仿宋_GB2312"/>
          <w:color w:val="auto"/>
          <w:sz w:val="32"/>
          <w:szCs w:val="32"/>
          <w:lang w:val="en-US" w:eastAsia="zh-CN"/>
        </w:rPr>
        <w:t>太白县</w:t>
      </w:r>
      <w:r>
        <w:rPr>
          <w:rFonts w:hint="eastAsia" w:ascii="仿宋_GB2312" w:hAnsi="仿宋_GB2312" w:eastAsia="仿宋_GB2312" w:cs="仿宋_GB2312"/>
          <w:color w:val="auto"/>
          <w:sz w:val="32"/>
          <w:szCs w:val="32"/>
        </w:rPr>
        <w:t>烟草专卖局</w:t>
      </w:r>
      <w:r>
        <w:rPr>
          <w:rFonts w:hint="eastAsia" w:ascii="仿宋_GB2312" w:hAnsi="仿宋_GB2312" w:eastAsia="仿宋_GB2312" w:cs="仿宋_GB2312"/>
          <w:color w:val="auto"/>
          <w:sz w:val="32"/>
          <w:szCs w:val="32"/>
          <w:lang w:eastAsia="zh-CN"/>
        </w:rPr>
        <w:t>。</w:t>
      </w:r>
    </w:p>
    <w:p w14:paraId="187E82F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轮候制度指实施数量调控的市场单元内的零售点数量达到规划户数时，该市场单元内不再核发新的烟草专卖零售许可证，发证机关遵循“退一进一”原则，根据申请办证的先后顺序进行分配办理名额的管理制度。</w:t>
      </w:r>
    </w:p>
    <w:p w14:paraId="329558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p>
    <w:p w14:paraId="142A5F1E">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实施机关</w:t>
      </w:r>
    </w:p>
    <w:p w14:paraId="2B2BDC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xml:space="preserve">  申请人申请排队轮候的，由申请人经营场所所在地的烟草专卖局（统称“发证机关”）负责接收、审查。</w:t>
      </w:r>
    </w:p>
    <w:p w14:paraId="444D42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p>
    <w:p w14:paraId="45DF2C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  信息公开</w:t>
      </w:r>
    </w:p>
    <w:p w14:paraId="698B802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发证机关应及时公开年度市场单元规划数量、排队轮候情况、持证零售户违法违规情况等有关信息。</w:t>
      </w:r>
    </w:p>
    <w:p w14:paraId="67C2E5C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发证机关应当提供咨询和投诉举报渠道，按烟草行政服务窗口文明服务规范答复咨询，及时处理投诉举报。</w:t>
      </w:r>
    </w:p>
    <w:p w14:paraId="58974E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p>
    <w:p w14:paraId="322D66F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  申请要求</w:t>
      </w:r>
    </w:p>
    <w:p w14:paraId="4559613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第七条</w:t>
      </w:r>
      <w:r>
        <w:rPr>
          <w:rFonts w:hint="eastAsia" w:ascii="仿宋_GB2312" w:hAnsi="仿宋_GB2312" w:eastAsia="仿宋_GB2312" w:cs="仿宋_GB2312"/>
          <w:color w:val="auto"/>
          <w:sz w:val="32"/>
          <w:szCs w:val="32"/>
        </w:rPr>
        <w:t xml:space="preserve">  当某一市场单元规划户数额满后，如再接到新办申请，按申请时间的先后顺序转入排队轮候。</w:t>
      </w:r>
    </w:p>
    <w:p w14:paraId="4FE65A9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第八条</w:t>
      </w:r>
      <w:r>
        <w:rPr>
          <w:rFonts w:hint="eastAsia" w:ascii="仿宋_GB2312" w:hAnsi="仿宋_GB2312" w:eastAsia="仿宋_GB2312" w:cs="仿宋_GB2312"/>
          <w:color w:val="auto"/>
          <w:sz w:val="32"/>
          <w:szCs w:val="32"/>
        </w:rPr>
        <w:t xml:space="preserve">  符合《太白县烟草制品零售点合理布局规划》放宽情形的，申请人可按规定提出有关轮候申请。</w:t>
      </w:r>
    </w:p>
    <w:p w14:paraId="735DDB3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进入轮候后，除由于系统故障、生僻字无法录入等原因导致轮候登记的事项信息不一致的，申请人登记的企业名称、法定代表人或其他组织负责人、企业住所、经营地址等登记事项应与实际经营情况相一致。</w:t>
      </w:r>
    </w:p>
    <w:p w14:paraId="5AF9E94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申请人如客观原因需更改企业名称或更正身份信息的，应当在到号前向发证机关申请作出相应修改。</w:t>
      </w:r>
    </w:p>
    <w:p w14:paraId="339240C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申请人在排队轮候期间，书面提出取消排队轮候申请的，发证机关应当及时终止其申请。</w:t>
      </w:r>
    </w:p>
    <w:p w14:paraId="1E60D4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p>
    <w:p w14:paraId="5597FE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  办理程序</w:t>
      </w:r>
    </w:p>
    <w:p w14:paraId="314C0DD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申请人成功纳入排队轮候的，发证机关应采用</w:t>
      </w:r>
      <w:r>
        <w:rPr>
          <w:rFonts w:hint="eastAsia" w:ascii="仿宋_GB2312" w:hAnsi="仿宋_GB2312" w:eastAsia="仿宋_GB2312" w:cs="仿宋_GB2312"/>
          <w:color w:val="auto"/>
          <w:sz w:val="32"/>
          <w:szCs w:val="32"/>
          <w:lang w:val="en-US" w:eastAsia="zh-CN"/>
        </w:rPr>
        <w:t>电话告知或</w:t>
      </w:r>
      <w:r>
        <w:rPr>
          <w:rFonts w:hint="eastAsia" w:ascii="仿宋_GB2312" w:hAnsi="仿宋_GB2312" w:eastAsia="仿宋_GB2312" w:cs="仿宋_GB2312"/>
          <w:color w:val="auto"/>
          <w:sz w:val="32"/>
          <w:szCs w:val="32"/>
        </w:rPr>
        <w:t>手机短信等方式告知申请人轮候号码和《太白县烟草制品零售点合理布局规划》准入条件。</w:t>
      </w:r>
    </w:p>
    <w:p w14:paraId="5536A63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当申请人经营场所所在辖区市场单元零售点数量超过规划数量时，该区域内不予设置新的零售点，发证机关应作出不予行政许可决定，并引导申请人进入排队轮候；申请人排队到号且在规定期限内提出新办申请的，发证机关应按法定程序进行办理。申请人逾期未提出新办申请的，则自动视为放弃申请。</w:t>
      </w:r>
    </w:p>
    <w:p w14:paraId="20B77A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p>
    <w:p w14:paraId="0AC069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第六章  监督检查</w:t>
      </w:r>
    </w:p>
    <w:p w14:paraId="23B8BE7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第十四条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县局纪检部门不定期</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县局</w:t>
      </w:r>
      <w:r>
        <w:rPr>
          <w:rFonts w:hint="eastAsia" w:ascii="仿宋_GB2312" w:hAnsi="仿宋_GB2312" w:eastAsia="仿宋_GB2312" w:cs="仿宋_GB2312"/>
          <w:color w:val="auto"/>
          <w:sz w:val="32"/>
          <w:szCs w:val="32"/>
        </w:rPr>
        <w:t>轮候管理工作监督检查，完善轮候管理工作督查机制，防范违法违规行为的发生。</w:t>
      </w:r>
    </w:p>
    <w:p w14:paraId="01AB236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第十五条</w:t>
      </w:r>
      <w:r>
        <w:rPr>
          <w:rFonts w:hint="eastAsia" w:ascii="仿宋_GB2312" w:hAnsi="仿宋_GB2312" w:eastAsia="仿宋_GB2312" w:cs="仿宋_GB2312"/>
          <w:color w:val="auto"/>
          <w:sz w:val="32"/>
          <w:szCs w:val="32"/>
        </w:rPr>
        <w:t xml:space="preserve">  申请人在排队轮候期间擅自从事烟草专卖品生产经营活动的，烟草专卖局应当按照《烟草专卖许可证管理办法》第四十三条规定进行处理。</w:t>
      </w:r>
    </w:p>
    <w:p w14:paraId="496901E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第十六条</w:t>
      </w:r>
      <w:r>
        <w:rPr>
          <w:rFonts w:hint="eastAsia" w:ascii="仿宋_GB2312" w:hAnsi="仿宋_GB2312" w:eastAsia="仿宋_GB2312" w:cs="仿宋_GB2312"/>
          <w:color w:val="auto"/>
          <w:sz w:val="32"/>
          <w:szCs w:val="32"/>
        </w:rPr>
        <w:t xml:space="preserve">  发证机关工作人员办理排队轮候或者依法进行监督检查时，违反办理规定，索取、收受他人财物或者谋取其他利益的，依法给予行政处分；构成犯罪的，依法追究刑事责任。</w:t>
      </w:r>
    </w:p>
    <w:p w14:paraId="5A2B78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14:paraId="0F7936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第七章  附则</w:t>
      </w:r>
    </w:p>
    <w:p w14:paraId="4C7EC7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第十七条</w:t>
      </w:r>
      <w:r>
        <w:rPr>
          <w:rFonts w:hint="eastAsia" w:ascii="仿宋_GB2312" w:hAnsi="仿宋_GB2312" w:eastAsia="仿宋_GB2312" w:cs="仿宋_GB2312"/>
          <w:color w:val="auto"/>
          <w:sz w:val="32"/>
          <w:szCs w:val="32"/>
        </w:rPr>
        <w:t>  发证机关接收和办理排队轮候，不得收取任何费用。</w:t>
      </w:r>
    </w:p>
    <w:p w14:paraId="3E595AB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第十八条</w:t>
      </w:r>
      <w:r>
        <w:rPr>
          <w:rFonts w:hint="eastAsia" w:ascii="仿宋_GB2312" w:hAnsi="仿宋_GB2312" w:eastAsia="仿宋_GB2312" w:cs="仿宋_GB2312"/>
          <w:color w:val="auto"/>
          <w:sz w:val="32"/>
          <w:szCs w:val="32"/>
        </w:rPr>
        <w:t>  本制度由</w:t>
      </w:r>
      <w:r>
        <w:rPr>
          <w:rFonts w:hint="eastAsia" w:ascii="仿宋_GB2312" w:hAnsi="仿宋_GB2312" w:eastAsia="仿宋_GB2312" w:cs="仿宋_GB2312"/>
          <w:color w:val="auto"/>
          <w:sz w:val="32"/>
          <w:szCs w:val="32"/>
          <w:lang w:val="en-US" w:eastAsia="zh-CN"/>
        </w:rPr>
        <w:t>太白县</w:t>
      </w:r>
      <w:r>
        <w:rPr>
          <w:rFonts w:hint="eastAsia" w:ascii="仿宋_GB2312" w:hAnsi="仿宋_GB2312" w:eastAsia="仿宋_GB2312" w:cs="仿宋_GB2312"/>
          <w:color w:val="auto"/>
          <w:sz w:val="32"/>
          <w:szCs w:val="32"/>
        </w:rPr>
        <w:t>烟草专卖局负责解释。</w:t>
      </w:r>
    </w:p>
    <w:p w14:paraId="565E095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黑体" w:eastAsia="仿宋_GB2312" w:cs="宋体"/>
          <w:color w:val="auto"/>
          <w:szCs w:val="32"/>
          <w:lang w:bidi="ug-CN"/>
        </w:rPr>
      </w:pPr>
      <w:r>
        <w:rPr>
          <w:rFonts w:hint="eastAsia" w:ascii="仿宋_GB2312" w:hAnsi="仿宋_GB2312" w:eastAsia="仿宋_GB2312" w:cs="仿宋_GB2312"/>
          <w:b/>
          <w:bCs/>
          <w:color w:val="auto"/>
          <w:sz w:val="32"/>
          <w:szCs w:val="32"/>
        </w:rPr>
        <w:t>第十九条</w:t>
      </w:r>
      <w:r>
        <w:rPr>
          <w:rFonts w:hint="eastAsia" w:ascii="仿宋_GB2312" w:hAnsi="仿宋_GB2312" w:eastAsia="仿宋_GB2312" w:cs="仿宋_GB2312"/>
          <w:color w:val="auto"/>
          <w:sz w:val="32"/>
          <w:szCs w:val="32"/>
        </w:rPr>
        <w:t xml:space="preserve">  本制度自印发之日起施行。</w:t>
      </w:r>
    </w:p>
    <w:p w14:paraId="57E9F4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left"/>
        <w:rPr>
          <w:rFonts w:hint="eastAsia" w:ascii="仿宋_GB2312" w:hAnsi="仿宋_GB2312" w:eastAsia="仿宋_GB2312" w:cs="仿宋_GB2312"/>
          <w:i w:val="0"/>
          <w:iCs w:val="0"/>
          <w:caps w:val="0"/>
          <w:color w:val="414141"/>
          <w:spacing w:val="0"/>
          <w:sz w:val="32"/>
          <w:szCs w:val="32"/>
          <w:shd w:val="clear" w:fill="FFFFFF"/>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E905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5FEC9A">
                          <w:pPr>
                            <w:pStyle w:val="6"/>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D5FEC9A">
                    <w:pPr>
                      <w:pStyle w:val="6"/>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8A961">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2412365</wp:posOffset>
              </wp:positionH>
              <wp:positionV relativeFrom="paragraph">
                <wp:posOffset>-116205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37B59">
                          <w:pPr>
                            <w:pStyle w:val="6"/>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- 1 -</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9.95pt;margin-top:-9.15pt;height:144pt;width:144pt;mso-position-horizontal-relative:margin;mso-wrap-style:none;z-index:251659264;mso-width-relative:page;mso-height-relative:page;" filled="f" stroked="f" coordsize="21600,21600" o:gfxdata="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njHjz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14:paraId="3A837B59">
                    <w:pPr>
                      <w:pStyle w:val="6"/>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- 1 -</w:t>
                    </w:r>
                    <w:r>
                      <w:rPr>
                        <w:sz w:val="24"/>
                        <w:szCs w:val="40"/>
                      </w:rPr>
                      <w:fldChar w:fldCharType="end"/>
                    </w:r>
                    <w:r>
                      <w:rPr>
                        <w:sz w:val="24"/>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1149F"/>
    <w:multiLevelType w:val="singleLevel"/>
    <w:tmpl w:val="37D1149F"/>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YzJjNDRlNzI0NDI3MDdhYWMwMmE4ZjJlOWM4OGUifQ=="/>
  </w:docVars>
  <w:rsids>
    <w:rsidRoot w:val="3DDE16DD"/>
    <w:rsid w:val="009F5992"/>
    <w:rsid w:val="00CE2E7C"/>
    <w:rsid w:val="00D256FC"/>
    <w:rsid w:val="010350CD"/>
    <w:rsid w:val="019A692C"/>
    <w:rsid w:val="01E468FF"/>
    <w:rsid w:val="039B2C71"/>
    <w:rsid w:val="048B7990"/>
    <w:rsid w:val="04B96CA8"/>
    <w:rsid w:val="068C5C42"/>
    <w:rsid w:val="092A1492"/>
    <w:rsid w:val="0A5C681E"/>
    <w:rsid w:val="0AC70887"/>
    <w:rsid w:val="0C3139A9"/>
    <w:rsid w:val="0DB04515"/>
    <w:rsid w:val="0EF3083B"/>
    <w:rsid w:val="0F1B7103"/>
    <w:rsid w:val="0F1C14C9"/>
    <w:rsid w:val="0F2B3D04"/>
    <w:rsid w:val="110776D7"/>
    <w:rsid w:val="13C539D9"/>
    <w:rsid w:val="13F13CC6"/>
    <w:rsid w:val="17642A22"/>
    <w:rsid w:val="18135A10"/>
    <w:rsid w:val="18A8690B"/>
    <w:rsid w:val="1AF5395E"/>
    <w:rsid w:val="1B2D1349"/>
    <w:rsid w:val="1B954BD8"/>
    <w:rsid w:val="1BF06C65"/>
    <w:rsid w:val="1DA26949"/>
    <w:rsid w:val="1F155D75"/>
    <w:rsid w:val="209605AD"/>
    <w:rsid w:val="22B7700E"/>
    <w:rsid w:val="23DF33FD"/>
    <w:rsid w:val="254A0D53"/>
    <w:rsid w:val="275E35FC"/>
    <w:rsid w:val="28D10507"/>
    <w:rsid w:val="294B6B4C"/>
    <w:rsid w:val="29B9024C"/>
    <w:rsid w:val="2A970D6C"/>
    <w:rsid w:val="2B3866F7"/>
    <w:rsid w:val="2C7756DE"/>
    <w:rsid w:val="305F069D"/>
    <w:rsid w:val="32FB084E"/>
    <w:rsid w:val="33CA462F"/>
    <w:rsid w:val="34486F54"/>
    <w:rsid w:val="34624A96"/>
    <w:rsid w:val="34E8540B"/>
    <w:rsid w:val="387A7A67"/>
    <w:rsid w:val="391E43F1"/>
    <w:rsid w:val="3B6E32B9"/>
    <w:rsid w:val="3C5C4417"/>
    <w:rsid w:val="3DDE16DD"/>
    <w:rsid w:val="41597E4C"/>
    <w:rsid w:val="41B3740C"/>
    <w:rsid w:val="43363702"/>
    <w:rsid w:val="44682E47"/>
    <w:rsid w:val="46A529C4"/>
    <w:rsid w:val="47677C6D"/>
    <w:rsid w:val="485C4073"/>
    <w:rsid w:val="4B637BDF"/>
    <w:rsid w:val="4EEE2E68"/>
    <w:rsid w:val="4F693C71"/>
    <w:rsid w:val="4F8C6F59"/>
    <w:rsid w:val="501D1BC6"/>
    <w:rsid w:val="50992F99"/>
    <w:rsid w:val="50B13272"/>
    <w:rsid w:val="51820082"/>
    <w:rsid w:val="527252B8"/>
    <w:rsid w:val="53D44B04"/>
    <w:rsid w:val="54194D9C"/>
    <w:rsid w:val="54B83DE8"/>
    <w:rsid w:val="55842704"/>
    <w:rsid w:val="55A822EA"/>
    <w:rsid w:val="56CF6310"/>
    <w:rsid w:val="573D690C"/>
    <w:rsid w:val="581F02C9"/>
    <w:rsid w:val="59F5538D"/>
    <w:rsid w:val="5E32777E"/>
    <w:rsid w:val="5F790729"/>
    <w:rsid w:val="619A7E45"/>
    <w:rsid w:val="62386646"/>
    <w:rsid w:val="637233AA"/>
    <w:rsid w:val="66134265"/>
    <w:rsid w:val="67AA7433"/>
    <w:rsid w:val="6A3A0F4E"/>
    <w:rsid w:val="6B3956E9"/>
    <w:rsid w:val="71510DF0"/>
    <w:rsid w:val="72033E25"/>
    <w:rsid w:val="727A7379"/>
    <w:rsid w:val="72B06D57"/>
    <w:rsid w:val="745C1A1D"/>
    <w:rsid w:val="76F160FB"/>
    <w:rsid w:val="76F874BD"/>
    <w:rsid w:val="7FA63A05"/>
    <w:rsid w:val="7FCA6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2">
    <w:name w:val="Strong"/>
    <w:basedOn w:val="11"/>
    <w:qFormat/>
    <w:uiPriority w:val="0"/>
    <w:rPr>
      <w:b/>
    </w:rPr>
  </w:style>
  <w:style w:type="character" w:styleId="13">
    <w:name w:val="FollowedHyperlink"/>
    <w:basedOn w:val="11"/>
    <w:qFormat/>
    <w:uiPriority w:val="0"/>
    <w:rPr>
      <w:color w:val="666666"/>
      <w:u w:val="none"/>
    </w:rPr>
  </w:style>
  <w:style w:type="character" w:styleId="14">
    <w:name w:val="Hyperlink"/>
    <w:basedOn w:val="11"/>
    <w:qFormat/>
    <w:uiPriority w:val="0"/>
    <w:rPr>
      <w:color w:val="666666"/>
      <w:u w:val="none"/>
    </w:rPr>
  </w:style>
  <w:style w:type="character" w:customStyle="1" w:styleId="15">
    <w:name w:val="wzzc"/>
    <w:basedOn w:val="11"/>
    <w:qFormat/>
    <w:uiPriority w:val="0"/>
  </w:style>
  <w:style w:type="character" w:customStyle="1" w:styleId="16">
    <w:name w:val="slh"/>
    <w:basedOn w:val="11"/>
    <w:qFormat/>
    <w:uiPriority w:val="0"/>
  </w:style>
  <w:style w:type="character" w:customStyle="1" w:styleId="17">
    <w:name w:val="font0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7035</Words>
  <Characters>7168</Characters>
  <Lines>0</Lines>
  <Paragraphs>0</Paragraphs>
  <TotalTime>4</TotalTime>
  <ScaleCrop>false</ScaleCrop>
  <LinksUpToDate>false</LinksUpToDate>
  <CharactersWithSpaces>7237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2021-06-29T17:01:00Z</dcterms:created>
  <dc:creator>NTKO</dc:creator>
  <cp:lastModifiedBy>noname</cp:lastModifiedBy>
  <cp:lastPrinted>2026-04-15T04:02:00Z</cp:lastPrinted>
  <dcterms:modified xsi:type="dcterms:W3CDTF">2026-04-27T00:43:11Z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C81D60503095437EA55573A9829AAB83</vt:lpwstr>
  </property>
  <property fmtid="{D5CDD505-2E9C-101B-9397-08002B2CF9AE}" pid="4" name="commondata">
    <vt:lpwstr>eyJoZGlkIjoiY2MzYzJjNDRlNzI0NDI3MDdhYWMwMmE4ZjJlOWM4OGUifQ==</vt:lpwstr>
  </property>
  <property fmtid="{D5CDD505-2E9C-101B-9397-08002B2CF9AE}" pid="5" name="KSOTemplateDocerSaveRecord">
    <vt:lpwstr>eyJoZGlkIjoiZTBhZjhkMGZhN2YzY2MyM2Y3MDM1MWJlMWYyNjgyZTIiLCJ1c2VySWQiOiIzODUzNDQwMjgifQ==</vt:lpwstr>
  </property>
</Properties>
</file>