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成品油经营企业年度检查公示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宝鸡市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商务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做好2025年度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成品油零售企业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年检及年度统计工作的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通知》要求，我局对全县成品油零售企业进行202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年度检查，现将拟通过年检的成品油零售经营企业予以公示。如有异议，请于202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日前，将有关材料邮寄或传真至太白县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商务和工业信息化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地址：太白县汉源路1号太白县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商务和工业信息化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邮编：721600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电话：0917—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4951012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传真：0917—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4951012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太白县商务和工业信息化局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2026年3月16日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551"/>
        <w:gridCol w:w="2646"/>
        <w:gridCol w:w="1030"/>
        <w:gridCol w:w="2100"/>
        <w:gridCol w:w="1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55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成品油零售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经营批准证书编号</w:t>
            </w:r>
          </w:p>
        </w:tc>
        <w:tc>
          <w:tcPr>
            <w:tcW w:w="264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企业名称</w:t>
            </w:r>
          </w:p>
        </w:tc>
        <w:tc>
          <w:tcPr>
            <w:tcW w:w="103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法定代表人姓名</w:t>
            </w:r>
          </w:p>
        </w:tc>
        <w:tc>
          <w:tcPr>
            <w:tcW w:w="210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加油站地址</w:t>
            </w:r>
          </w:p>
        </w:tc>
        <w:tc>
          <w:tcPr>
            <w:tcW w:w="1194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油零售证书第61033120250001号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中国石油天然气股份有限公司陕西宝鸡销售分公司太白公司加油站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鲍少飞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太白县北大街汉源路一号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油零售证书第61033120250003号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中国石油天然气股份有限公司陕西宝鸡销售分公司太白城南加油站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鲍少飞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太白县咀头镇城南94.8公里处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油零售证书第61033120250004号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中国石油天然气股份有限公司陕西宝鸡销售分公司太白王家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鲍少飞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太白县王家堎镇中明村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油零售证书第61033120250005号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 中国石油天然气股份有限公司陕西宝鸡销售分公司太白鹦鸽加油站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鲍少飞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宝鸡市太白县鹦鸽镇（姜眉公路140公里）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油零售证书第61033120250006号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中国石化销售股份有限公司陕西宝鸡石油分公司太白加油站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李旭力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太白县城西南角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油零售证书第61033120250007号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中国石化销售股份有限公司陕西宝鸡石油分公司太白加油二站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李旭力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太白县咀头镇黄凤山村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油零售证书第61033120250008号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中国石化销售股份有限公司陕西宝鸡石油分公司太白海洪加油站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李旭力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陕西省宝鸡市太白县咀头镇拐里村4组11号姜眉公路北侧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油零售证书第61033120250011号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太白县祥和石化销售有限责任公司祥和加油站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何宝太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太白县桃川镇灵丹庙村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油零售证书第61033120250012号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太白县中围石化销售有限公司加油站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惠星星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太白县咀头镇下白云村姜眉公路75公里处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油零售证书第61033120250013号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宝鸡万隆石化能源有限公司太白加油站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陈建徽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太白县咀头镇塘口村一组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油零售证书第61033120250014号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太白县鹦鸽军成加油站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陈志杰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太白县鹦鸽镇镇政府东500米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油零售证书第61033120250015号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太白县和平石化销售有限责任公司加油站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凌  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太白县王家堎镇和平村二组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油零售证书第61033120250016号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太白县梅湾加油站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有限公司梅湾加油站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贾洪波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太白县咀头镇梅湾村口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610320210006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太白县富塬能源工贸有限公司太白县黄柏塬加油站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杨红周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太白县黄柏塬镇黄柏塬村四组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油零售证书第61033120250010号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凤翔易高清洁能源有限责任公司太白加油站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张  亮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1"/>
                <w:szCs w:val="21"/>
              </w:rPr>
              <w:t>太白县鹦鸽镇鹦鸽街村街道西口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/>
          <w:bCs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呈王天喜草书">
    <w:panose1 w:val="02010601030101010101"/>
    <w:charset w:val="86"/>
    <w:family w:val="auto"/>
    <w:pitch w:val="default"/>
    <w:sig w:usb0="800002BF" w:usb1="084F6CF8" w:usb2="00000012" w:usb3="00000000" w:csb0="00040001" w:csb1="00000000"/>
  </w:font>
  <w:font w:name="汉仪超级战甲W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舒圆黑简体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正圆 7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汉仪元隆黑-105W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文鼎小标宋">
    <w:panose1 w:val="02020800000000000000"/>
    <w:charset w:val="86"/>
    <w:family w:val="auto"/>
    <w:pitch w:val="default"/>
    <w:sig w:usb0="A00002BF" w:usb1="184F6CF8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OTQ5ZmRiOGRjNGZkYWFjMWMwMGE5MmI3MmM0YzAifQ=="/>
  </w:docVars>
  <w:rsids>
    <w:rsidRoot w:val="00000000"/>
    <w:rsid w:val="04DD5D12"/>
    <w:rsid w:val="14C3483B"/>
    <w:rsid w:val="1DC00253"/>
    <w:rsid w:val="1DC53ABB"/>
    <w:rsid w:val="1E012619"/>
    <w:rsid w:val="1E0C5B13"/>
    <w:rsid w:val="26386525"/>
    <w:rsid w:val="267D6303"/>
    <w:rsid w:val="283511C8"/>
    <w:rsid w:val="28E023C0"/>
    <w:rsid w:val="3B9F3616"/>
    <w:rsid w:val="3DDB5C37"/>
    <w:rsid w:val="47EF7803"/>
    <w:rsid w:val="48E3503A"/>
    <w:rsid w:val="5F6A11E5"/>
    <w:rsid w:val="64AF6C25"/>
    <w:rsid w:val="6969142D"/>
    <w:rsid w:val="6E6B096E"/>
    <w:rsid w:val="749649DF"/>
    <w:rsid w:val="757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1192</Characters>
  <Lines>0</Lines>
  <Paragraphs>0</Paragraphs>
  <TotalTime>2</TotalTime>
  <ScaleCrop>false</ScaleCrop>
  <LinksUpToDate>false</LinksUpToDate>
  <CharactersWithSpaces>1201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2026-03-11T07:11:00Z</dcterms:created>
  <dc:creator>Administrator</dc:creator>
  <cp:lastModifiedBy>任怡轩.</cp:lastModifiedBy>
  <dcterms:modified xsi:type="dcterms:W3CDTF">2026-03-16T02:07:01Z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eyJoZGlkIjoiMjMzOGI5ZmU3NmFiNjE5MjM2MWJmNzY4OWUwOWExNzgiLCJ1c2VySWQiOiIzMTMwMjA1MTgifQ==</vt:lpwstr>
  </property>
  <property fmtid="{D5CDD505-2E9C-101B-9397-08002B2CF9AE}" pid="4" name="ICV">
    <vt:lpwstr>180657EA032D49359D30A5C57A70FAF2_12</vt:lpwstr>
  </property>
</Properties>
</file>