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71D0BF">
      <w:pPr>
        <w:spacing w:line="560" w:lineRule="exact"/>
        <w:rPr>
          <w:rFonts w:ascii="黑体" w:hAnsi="ˎ̥" w:eastAsia="黑体" w:cs="Arial"/>
          <w:sz w:val="32"/>
          <w:szCs w:val="32"/>
        </w:rPr>
      </w:pPr>
      <w:r>
        <w:rPr>
          <w:rFonts w:hint="eastAsia" w:ascii="黑体" w:hAnsi="ˎ̥" w:eastAsia="黑体" w:cs="Arial"/>
          <w:sz w:val="32"/>
          <w:szCs w:val="32"/>
        </w:rPr>
        <w:t>附件</w:t>
      </w:r>
      <w:r>
        <w:rPr>
          <w:rFonts w:hint="eastAsia" w:ascii="黑体" w:hAnsi="ˎ̥" w:eastAsia="黑体" w:cs="Arial"/>
          <w:sz w:val="32"/>
          <w:szCs w:val="32"/>
          <w:lang w:val="en-US" w:eastAsia="zh-CN"/>
        </w:rPr>
        <w:t>4</w:t>
      </w:r>
      <w:bookmarkStart w:id="0" w:name="_GoBack"/>
      <w:bookmarkEnd w:id="0"/>
      <w:r>
        <w:rPr>
          <w:rFonts w:hint="eastAsia" w:ascii="黑体" w:hAnsi="ˎ̥" w:eastAsia="黑体" w:cs="Arial"/>
          <w:sz w:val="32"/>
          <w:szCs w:val="32"/>
        </w:rPr>
        <w:t>:</w:t>
      </w:r>
    </w:p>
    <w:p w14:paraId="5F88AAA6">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方正小标宋简体" w:eastAsia="方正小标宋简体" w:hAnsiTheme="minorHAnsi"/>
          <w:sz w:val="44"/>
          <w:szCs w:val="44"/>
        </w:rPr>
      </w:pPr>
      <w:r>
        <w:rPr>
          <w:rFonts w:hint="eastAsia" w:ascii="方正小标宋简体" w:eastAsia="方正小标宋简体" w:hAnsiTheme="minorHAnsi"/>
          <w:sz w:val="44"/>
          <w:szCs w:val="44"/>
        </w:rPr>
        <w:t>关于</w:t>
      </w:r>
      <w:r>
        <w:rPr>
          <w:rFonts w:hint="eastAsia" w:ascii="方正小标宋简体" w:eastAsia="方正小标宋简体" w:hAnsiTheme="minorHAnsi"/>
          <w:sz w:val="44"/>
          <w:szCs w:val="44"/>
          <w:lang w:val="en-US" w:eastAsia="zh-CN"/>
        </w:rPr>
        <w:t>部分检验</w:t>
      </w:r>
      <w:r>
        <w:rPr>
          <w:rFonts w:hint="eastAsia" w:ascii="方正小标宋简体" w:eastAsia="方正小标宋简体" w:hAnsiTheme="minorHAnsi"/>
          <w:sz w:val="44"/>
          <w:szCs w:val="44"/>
        </w:rPr>
        <w:t>项目的说明</w:t>
      </w:r>
    </w:p>
    <w:p w14:paraId="70DF3DA9">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6" w:afterAutospacing="0" w:line="360" w:lineRule="atLeast"/>
        <w:ind w:left="0" w:right="0" w:firstLine="420"/>
        <w:rPr>
          <w:rFonts w:hint="eastAsia" w:ascii="Arial" w:hAnsi="Arial" w:eastAsia="宋体" w:cs="Arial"/>
          <w:b/>
          <w:bCs/>
          <w:i w:val="0"/>
          <w:iCs w:val="0"/>
          <w:caps w:val="0"/>
          <w:color w:val="333333"/>
          <w:spacing w:val="0"/>
          <w:sz w:val="28"/>
          <w:szCs w:val="28"/>
          <w:shd w:val="clear" w:fill="FFFFFF"/>
          <w:lang w:val="en-US" w:eastAsia="zh-CN"/>
        </w:rPr>
      </w:pPr>
    </w:p>
    <w:p w14:paraId="7A93C343">
      <w:pPr>
        <w:keepNext w:val="0"/>
        <w:keepLines w:val="0"/>
        <w:pageBreakBefore w:val="0"/>
        <w:numPr>
          <w:ilvl w:val="0"/>
          <w:numId w:val="0"/>
        </w:numPr>
        <w:kinsoku/>
        <w:wordWrap/>
        <w:overflowPunct/>
        <w:topLinePunct w:val="0"/>
        <w:autoSpaceDE/>
        <w:autoSpaceDN/>
        <w:bidi w:val="0"/>
        <w:adjustRightInd/>
        <w:snapToGrid/>
        <w:spacing w:line="594" w:lineRule="exact"/>
        <w:ind w:firstLine="643" w:firstLineChars="200"/>
        <w:textAlignment w:val="auto"/>
        <w:rPr>
          <w:rFonts w:hint="default" w:ascii="Times New Roman" w:hAnsi="Times New Roman" w:eastAsia="黑体" w:cs="Times New Roman"/>
          <w:spacing w:val="-12"/>
          <w:sz w:val="32"/>
          <w:szCs w:val="32"/>
          <w:highlight w:val="none"/>
          <w:lang w:val="en-US" w:eastAsia="zh-CN"/>
        </w:rPr>
      </w:pPr>
      <w:r>
        <w:rPr>
          <w:rFonts w:hint="eastAsia" w:ascii="仿宋_GB2312" w:hAnsi="仿宋_GB2312" w:eastAsia="仿宋_GB2312" w:cs="仿宋_GB2312"/>
          <w:b/>
          <w:bCs/>
          <w:color w:val="000000"/>
          <w:sz w:val="32"/>
          <w:szCs w:val="32"/>
          <w:lang w:val="en-US" w:eastAsia="zh-CN"/>
        </w:rPr>
        <w:t>一、</w:t>
      </w:r>
      <w:r>
        <w:rPr>
          <w:rFonts w:hint="default" w:ascii="Times New Roman" w:hAnsi="Times New Roman" w:eastAsia="黑体" w:cs="Times New Roman"/>
          <w:spacing w:val="-12"/>
          <w:sz w:val="32"/>
          <w:szCs w:val="32"/>
          <w:highlight w:val="none"/>
          <w:lang w:val="en-US" w:eastAsia="zh-CN"/>
        </w:rPr>
        <w:t>苯甲酸及其钠盐（以苯甲酸计）</w:t>
      </w:r>
    </w:p>
    <w:p w14:paraId="70DF326B">
      <w:pPr>
        <w:spacing w:line="594" w:lineRule="exact"/>
        <w:ind w:firstLine="640" w:firstLineChars="200"/>
        <w:rPr>
          <w:rFonts w:hint="default" w:ascii="Times New Roman" w:hAnsi="Times New Roman" w:eastAsia="仿宋_GB2312" w:cs="Times New Roman"/>
          <w:color w:val="auto"/>
          <w:spacing w:val="-12"/>
          <w:sz w:val="32"/>
          <w:szCs w:val="32"/>
          <w:highlight w:val="none"/>
          <w:lang w:val="en-US" w:eastAsia="zh-CN"/>
        </w:rPr>
      </w:pPr>
      <w:r>
        <w:rPr>
          <w:rFonts w:hint="default" w:ascii="Times New Roman" w:hAnsi="Times New Roman" w:eastAsia="仿宋_GB2312" w:cs="Times New Roman"/>
          <w:b w:val="0"/>
          <w:bCs w:val="0"/>
          <w:color w:val="000000"/>
          <w:sz w:val="32"/>
          <w:szCs w:val="32"/>
          <w:highlight w:val="none"/>
          <w:lang w:val="en-US" w:eastAsia="zh-CN"/>
        </w:rPr>
        <w:t>苯甲酸又称安息香酸，在酸性条件下对多种微生物有明显的杀菌、抑菌作用，是很常用的食品防腐剂。如果人体长期大量摄入苯甲酸及其钠盐残留超标的食品，可能会造成肝脏积累性中毒，危害肝脏健康。《食品安全国家标准 食品添加剂使用标准》（GB 2760</w:t>
      </w:r>
      <w:r>
        <w:rPr>
          <w:rFonts w:hint="eastAsia" w:ascii="仿宋_GB2312" w:hAnsi="仿宋_GB2312" w:eastAsia="仿宋_GB2312" w:cs="仿宋_GB2312"/>
          <w:b w:val="0"/>
          <w:bCs w:val="0"/>
          <w:color w:val="000000"/>
          <w:sz w:val="32"/>
          <w:szCs w:val="32"/>
          <w:highlight w:val="none"/>
          <w:lang w:val="en-US" w:eastAsia="zh-CN"/>
        </w:rPr>
        <w:t>—</w:t>
      </w:r>
      <w:r>
        <w:rPr>
          <w:rFonts w:hint="default" w:ascii="Times New Roman" w:hAnsi="Times New Roman" w:eastAsia="仿宋_GB2312" w:cs="Times New Roman"/>
          <w:b w:val="0"/>
          <w:bCs w:val="0"/>
          <w:color w:val="000000"/>
          <w:sz w:val="32"/>
          <w:szCs w:val="32"/>
          <w:highlight w:val="none"/>
          <w:lang w:val="en-US" w:eastAsia="zh-CN"/>
        </w:rPr>
        <w:t>2024）中规定，</w:t>
      </w:r>
      <w:r>
        <w:rPr>
          <w:rFonts w:hint="eastAsia" w:eastAsia="仿宋_GB2312" w:cs="Times New Roman"/>
          <w:b w:val="0"/>
          <w:bCs w:val="0"/>
          <w:color w:val="000000"/>
          <w:sz w:val="32"/>
          <w:szCs w:val="32"/>
          <w:highlight w:val="none"/>
          <w:lang w:val="en-US" w:eastAsia="zh-CN"/>
        </w:rPr>
        <w:t>食醋</w:t>
      </w:r>
      <w:r>
        <w:rPr>
          <w:rFonts w:hint="default" w:ascii="Times New Roman" w:hAnsi="Times New Roman" w:eastAsia="仿宋_GB2312" w:cs="Times New Roman"/>
          <w:b w:val="0"/>
          <w:bCs w:val="0"/>
          <w:color w:val="000000"/>
          <w:sz w:val="32"/>
          <w:szCs w:val="32"/>
          <w:highlight w:val="none"/>
          <w:lang w:val="en-US" w:eastAsia="zh-CN"/>
        </w:rPr>
        <w:t>中苯甲酸及其钠盐（以苯甲酸计）的最大使用量为</w:t>
      </w:r>
      <w:r>
        <w:rPr>
          <w:rFonts w:hint="eastAsia" w:eastAsia="仿宋_GB2312" w:cs="Times New Roman"/>
          <w:b w:val="0"/>
          <w:bCs w:val="0"/>
          <w:color w:val="000000"/>
          <w:sz w:val="32"/>
          <w:szCs w:val="32"/>
          <w:highlight w:val="none"/>
          <w:lang w:val="en-US" w:eastAsia="zh-CN"/>
        </w:rPr>
        <w:t>1.0</w:t>
      </w:r>
      <w:r>
        <w:rPr>
          <w:rFonts w:hint="default" w:ascii="Times New Roman" w:hAnsi="Times New Roman" w:eastAsia="仿宋_GB2312" w:cs="Times New Roman"/>
          <w:b w:val="0"/>
          <w:bCs w:val="0"/>
          <w:color w:val="000000"/>
          <w:sz w:val="32"/>
          <w:szCs w:val="32"/>
          <w:highlight w:val="none"/>
          <w:lang w:val="en-US" w:eastAsia="zh-CN"/>
        </w:rPr>
        <w:t>g/kg</w:t>
      </w:r>
      <w:r>
        <w:rPr>
          <w:rFonts w:hint="eastAsia" w:ascii="Times New Roman" w:hAnsi="Times New Roman" w:eastAsia="仿宋_GB2312" w:cs="Times New Roman"/>
          <w:b w:val="0"/>
          <w:bCs w:val="0"/>
          <w:color w:val="000000"/>
          <w:sz w:val="32"/>
          <w:szCs w:val="32"/>
          <w:highlight w:val="none"/>
          <w:lang w:val="en-US" w:eastAsia="zh-CN"/>
        </w:rPr>
        <w:t>，</w:t>
      </w:r>
      <w:r>
        <w:rPr>
          <w:rFonts w:hint="eastAsia" w:eastAsia="仿宋_GB2312" w:cs="Times New Roman"/>
          <w:b w:val="0"/>
          <w:bCs w:val="0"/>
          <w:color w:val="000000"/>
          <w:sz w:val="32"/>
          <w:szCs w:val="32"/>
          <w:highlight w:val="none"/>
          <w:lang w:val="en-US" w:eastAsia="zh-CN"/>
        </w:rPr>
        <w:t>食醋</w:t>
      </w:r>
      <w:r>
        <w:rPr>
          <w:rFonts w:hint="default" w:ascii="Times New Roman" w:hAnsi="Times New Roman" w:eastAsia="仿宋_GB2312" w:cs="Times New Roman"/>
          <w:b w:val="0"/>
          <w:bCs w:val="0"/>
          <w:color w:val="000000"/>
          <w:sz w:val="32"/>
          <w:szCs w:val="32"/>
          <w:highlight w:val="none"/>
          <w:lang w:val="en-US" w:eastAsia="zh-CN"/>
        </w:rPr>
        <w:t>中苯甲酸及其钠盐</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（以苯甲酸计）检验值</w:t>
      </w:r>
      <w:r>
        <w:rPr>
          <w:rFonts w:hint="default" w:ascii="Times New Roman" w:hAnsi="Times New Roman" w:eastAsia="仿宋_GB2312" w:cs="Times New Roman"/>
          <w:b w:val="0"/>
          <w:bCs w:val="0"/>
          <w:color w:val="000000"/>
          <w:sz w:val="32"/>
          <w:szCs w:val="32"/>
          <w:highlight w:val="none"/>
          <w:lang w:val="en-US" w:eastAsia="zh-CN"/>
        </w:rPr>
        <w:t>超标的原因，可能是生产企业为延长产品保质期或弥补产品生产过程卫生条件不佳而超限量使用</w:t>
      </w:r>
      <w:r>
        <w:rPr>
          <w:rFonts w:hint="eastAsia" w:ascii="Times New Roman" w:hAnsi="Times New Roman" w:eastAsia="仿宋_GB2312" w:cs="Times New Roman"/>
          <w:b w:val="0"/>
          <w:bCs w:val="0"/>
          <w:color w:val="000000"/>
          <w:sz w:val="32"/>
          <w:szCs w:val="32"/>
          <w:highlight w:val="none"/>
          <w:lang w:val="en-US" w:eastAsia="zh-CN"/>
        </w:rPr>
        <w:t>；</w:t>
      </w:r>
      <w:r>
        <w:rPr>
          <w:rFonts w:hint="default" w:ascii="Times New Roman" w:hAnsi="Times New Roman" w:eastAsia="仿宋_GB2312" w:cs="Times New Roman"/>
          <w:b w:val="0"/>
          <w:bCs w:val="0"/>
          <w:color w:val="000000"/>
          <w:sz w:val="32"/>
          <w:szCs w:val="32"/>
          <w:highlight w:val="none"/>
          <w:lang w:val="en-US" w:eastAsia="zh-CN"/>
        </w:rPr>
        <w:t>也可能是使用时未准确计量。</w:t>
      </w:r>
    </w:p>
    <w:p w14:paraId="1F85D3C1">
      <w:pPr>
        <w:keepNext w:val="0"/>
        <w:keepLines w:val="0"/>
        <w:pageBreakBefore w:val="0"/>
        <w:numPr>
          <w:ilvl w:val="0"/>
          <w:numId w:val="0"/>
        </w:numPr>
        <w:kinsoku/>
        <w:wordWrap/>
        <w:overflowPunct/>
        <w:topLinePunct w:val="0"/>
        <w:autoSpaceDE/>
        <w:autoSpaceDN/>
        <w:bidi w:val="0"/>
        <w:adjustRightInd/>
        <w:snapToGrid/>
        <w:spacing w:line="594" w:lineRule="exact"/>
        <w:ind w:firstLine="643" w:firstLineChars="200"/>
        <w:textAlignment w:val="auto"/>
        <w:rPr>
          <w:rFonts w:hint="default" w:ascii="Times New Roman" w:hAnsi="Times New Roman" w:eastAsia="黑体" w:cs="Times New Roman"/>
          <w:spacing w:val="-12"/>
          <w:sz w:val="32"/>
          <w:szCs w:val="32"/>
          <w:highlight w:val="none"/>
          <w:lang w:val="en-US" w:eastAsia="zh-CN"/>
        </w:rPr>
      </w:pPr>
      <w:r>
        <w:rPr>
          <w:rFonts w:hint="eastAsia" w:ascii="仿宋_GB2312" w:hAnsi="仿宋_GB2312" w:eastAsia="仿宋_GB2312" w:cs="仿宋_GB2312"/>
          <w:b/>
          <w:bCs/>
          <w:color w:val="000000"/>
          <w:sz w:val="32"/>
          <w:szCs w:val="32"/>
          <w:lang w:val="en-US" w:eastAsia="zh-CN"/>
        </w:rPr>
        <w:t>二、</w:t>
      </w:r>
      <w:r>
        <w:rPr>
          <w:rFonts w:hint="eastAsia" w:eastAsia="黑体" w:cs="Times New Roman"/>
          <w:spacing w:val="-12"/>
          <w:sz w:val="32"/>
          <w:szCs w:val="32"/>
          <w:highlight w:val="none"/>
          <w:lang w:val="en-US" w:eastAsia="zh-CN"/>
        </w:rPr>
        <w:t xml:space="preserve"> 总酸</w:t>
      </w:r>
    </w:p>
    <w:p w14:paraId="1E83E338">
      <w:pPr>
        <w:spacing w:line="594" w:lineRule="exact"/>
        <w:ind w:firstLine="640" w:firstLineChars="200"/>
        <w:rPr>
          <w:rFonts w:hint="default" w:ascii="Times New Roman" w:hAnsi="Times New Roman" w:eastAsia="仿宋_GB2312" w:cs="Times New Roman"/>
          <w:b w:val="0"/>
          <w:bCs w:val="0"/>
          <w:color w:val="000000"/>
          <w:sz w:val="32"/>
          <w:szCs w:val="32"/>
          <w:highlight w:val="none"/>
          <w:lang w:val="en-US" w:eastAsia="zh-CN"/>
        </w:rPr>
      </w:pPr>
      <w:r>
        <w:rPr>
          <w:rFonts w:hint="default" w:ascii="Times New Roman" w:hAnsi="Times New Roman" w:eastAsia="仿宋_GB2312" w:cs="Times New Roman"/>
          <w:b w:val="0"/>
          <w:bCs w:val="0"/>
          <w:color w:val="000000"/>
          <w:sz w:val="32"/>
          <w:szCs w:val="32"/>
          <w:highlight w:val="none"/>
          <w:lang w:val="en-US" w:eastAsia="zh-CN"/>
        </w:rPr>
        <w:t>总酸（以乙酸计）是食醋品质指标，不是有毒有害物质指标，GB 2719-2018要求食醋总酸≥3.5g/100mL 。</w:t>
      </w:r>
      <w:r>
        <w:rPr>
          <w:rFonts w:hint="eastAsia" w:eastAsia="仿宋_GB2312" w:cs="Times New Roman"/>
          <w:b w:val="0"/>
          <w:bCs w:val="0"/>
          <w:color w:val="000000"/>
          <w:sz w:val="32"/>
          <w:szCs w:val="32"/>
          <w:highlight w:val="none"/>
          <w:lang w:val="en-US" w:eastAsia="zh-CN"/>
        </w:rPr>
        <w:t>食醋总酸不达标说明产品</w:t>
      </w:r>
      <w:r>
        <w:rPr>
          <w:rFonts w:hint="default" w:ascii="Times New Roman" w:hAnsi="Times New Roman" w:eastAsia="仿宋_GB2312" w:cs="Times New Roman"/>
          <w:b w:val="0"/>
          <w:bCs w:val="0"/>
          <w:color w:val="000000"/>
          <w:sz w:val="32"/>
          <w:szCs w:val="32"/>
          <w:highlight w:val="none"/>
          <w:lang w:val="en-US" w:eastAsia="zh-CN"/>
        </w:rPr>
        <w:t>酸味不足、风味寡淡，发酵程度不够；醋的防腐作用依靠醋酸，总酸偏低，更容易变质、长霉，储存期变短。单纯总酸偏低，不会直接产生急性毒性。但如果是劣质勾兑产品伴随其他不合格项，则存在额外风险；</w:t>
      </w:r>
      <w:r>
        <w:rPr>
          <w:rFonts w:hint="eastAsia" w:eastAsia="仿宋_GB2312" w:cs="Times New Roman"/>
          <w:b w:val="0"/>
          <w:bCs w:val="0"/>
          <w:color w:val="000000"/>
          <w:sz w:val="32"/>
          <w:szCs w:val="32"/>
          <w:highlight w:val="none"/>
          <w:lang w:val="en-US" w:eastAsia="zh-CN"/>
        </w:rPr>
        <w:t>总酸不合格原因主要是</w:t>
      </w:r>
      <w:r>
        <w:rPr>
          <w:rFonts w:hint="default" w:ascii="Times New Roman" w:hAnsi="Times New Roman" w:eastAsia="仿宋_GB2312" w:cs="Times New Roman"/>
          <w:b w:val="0"/>
          <w:bCs w:val="0"/>
          <w:color w:val="000000"/>
          <w:sz w:val="32"/>
          <w:szCs w:val="32"/>
          <w:highlight w:val="none"/>
          <w:lang w:val="en-US" w:eastAsia="zh-CN"/>
        </w:rPr>
        <w:t>发酵工艺管控差、发酵时间不足、成品兑水稀释、出厂检验未把关。</w:t>
      </w:r>
    </w:p>
    <w:p w14:paraId="30843883">
      <w:pPr>
        <w:pStyle w:val="2"/>
        <w:keepNext w:val="0"/>
        <w:keepLines w:val="0"/>
        <w:pageBreakBefore w:val="0"/>
        <w:widowControl w:val="0"/>
        <w:kinsoku/>
        <w:wordWrap/>
        <w:overflowPunct/>
        <w:topLinePunct w:val="0"/>
        <w:autoSpaceDE/>
        <w:autoSpaceDN/>
        <w:bidi w:val="0"/>
        <w:snapToGrid/>
        <w:spacing w:line="540" w:lineRule="atLeast"/>
        <w:ind w:left="0" w:leftChars="0" w:firstLine="0" w:firstLineChars="0"/>
        <w:textAlignment w:val="auto"/>
        <w:rPr>
          <w:rFonts w:hint="eastAsia" w:ascii="仿宋_GB2312" w:hAnsi="仿宋_GB2312" w:eastAsia="仿宋_GB2312" w:cs="仿宋_GB2312"/>
          <w:color w:val="000000"/>
          <w:kern w:val="2"/>
          <w:sz w:val="32"/>
          <w:szCs w:val="32"/>
          <w:lang w:val="en-US" w:eastAsia="zh-CN" w:bidi="ar-SA"/>
        </w:rPr>
      </w:pPr>
    </w:p>
    <w:sectPr>
      <w:footerReference r:id="rId3" w:type="default"/>
      <w:footerReference r:id="rId4" w:type="even"/>
      <w:pgSz w:w="11906" w:h="16838"/>
      <w:pgMar w:top="1701" w:right="1474" w:bottom="1440"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微软雅黑">
    <w:altName w:val="黑体"/>
    <w:panose1 w:val="020B0503020204020204"/>
    <w:charset w:val="86"/>
    <w:family w:val="swiss"/>
    <w:pitch w:val="default"/>
    <w:sig w:usb0="00000000" w:usb1="00000000" w:usb2="00000016" w:usb3="00000000" w:csb0="0004001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ˎ̥">
    <w:altName w:val="Times New Roman"/>
    <w:panose1 w:val="00000000000000000000"/>
    <w:charset w:val="00"/>
    <w:family w:val="roman"/>
    <w:pitch w:val="default"/>
    <w:sig w:usb0="00000000" w:usb1="00000000" w:usb2="00000000" w:usb3="00000000" w:csb0="00040001" w:csb1="00000000"/>
  </w:font>
  <w:font w:name="方正小标宋简体">
    <w:panose1 w:val="03000509000000000000"/>
    <w:charset w:val="86"/>
    <w:family w:val="script"/>
    <w:pitch w:val="default"/>
    <w:sig w:usb0="00000001" w:usb1="080E0000" w:usb2="00000000" w:usb3="00000000" w:csb0="00040000" w:csb1="00000000"/>
  </w:font>
  <w:font w:name="Noto Music">
    <w:panose1 w:val="020B0502040504020204"/>
    <w:charset w:val="00"/>
    <w:family w:val="auto"/>
    <w:pitch w:val="default"/>
    <w:sig w:usb0="00000003" w:usb1="02006000" w:usb2="01000000" w:usb3="00000000" w:csb0="00000001"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E611CD">
    <w:pPr>
      <w:pStyle w:val="5"/>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955EAC">
    <w:pPr>
      <w:pStyle w:val="5"/>
      <w:ind w:right="360" w:firstLine="360"/>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a:effectLst/>
                    </wps:spPr>
                    <wps:txbx>
                      <w:txbxContent>
                        <w:p w14:paraId="7FC916E0">
                          <w:pPr>
                            <w:pStyle w:val="5"/>
                          </w:pPr>
                          <w:r>
                            <w:fldChar w:fldCharType="begin"/>
                          </w:r>
                          <w:r>
                            <w:instrText xml:space="preserve">PAGE  </w:instrText>
                          </w:r>
                          <w:r>
                            <w:fldChar w:fldCharType="separate"/>
                          </w:r>
                          <w:r>
                            <w:t>44</w:t>
                          </w:r>
                          <w:r>
                            <w:fldChar w:fldCharType="end"/>
                          </w:r>
                        </w:p>
                      </w:txbxContent>
                    </wps:txbx>
                    <wps:bodyPr wrap="none" lIns="0" tIns="0" rIns="0" bIns="0" upright="1">
                      <a:spAutoFit/>
                    </wps:bodyPr>
                  </wps:wsp>
                </a:graphicData>
              </a:graphic>
            </wp:anchor>
          </w:drawing>
        </mc:Choice>
        <mc:Fallback>
          <w:pict>
            <v:shape id="文本框 4"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AihtBdYBAACwAwAADgAAAAAAAAABACAAAAAe&#10;AQAAZHJzL2Uyb0RvYy54bWxQSwUGAAAAAAYABgBZAQAAZgUAAAAA&#10;">
              <v:fill on="f" focussize="0,0"/>
              <v:stroke on="f"/>
              <v:imagedata o:title=""/>
              <o:lock v:ext="edit" aspectratio="f"/>
              <v:textbox inset="0mm,0mm,0mm,0mm" style="mso-fit-shape-to-text:t;">
                <w:txbxContent>
                  <w:p w14:paraId="7FC916E0">
                    <w:pPr>
                      <w:pStyle w:val="5"/>
                    </w:pPr>
                    <w:r>
                      <w:fldChar w:fldCharType="begin"/>
                    </w:r>
                    <w:r>
                      <w:instrText xml:space="preserve">PAGE  </w:instrText>
                    </w:r>
                    <w:r>
                      <w:fldChar w:fldCharType="separate"/>
                    </w:r>
                    <w:r>
                      <w:t>44</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VhNDZiNTQ5NmQwNDRjYzZhOThkNWVjM2E1YmU3ZWUifQ=="/>
  </w:docVars>
  <w:rsids>
    <w:rsidRoot w:val="50251217"/>
    <w:rsid w:val="00040776"/>
    <w:rsid w:val="00042EA7"/>
    <w:rsid w:val="0009330C"/>
    <w:rsid w:val="0011353F"/>
    <w:rsid w:val="00127150"/>
    <w:rsid w:val="001352BE"/>
    <w:rsid w:val="001F52DC"/>
    <w:rsid w:val="002B7887"/>
    <w:rsid w:val="00321789"/>
    <w:rsid w:val="00327623"/>
    <w:rsid w:val="00341E60"/>
    <w:rsid w:val="003F4D36"/>
    <w:rsid w:val="00430FFD"/>
    <w:rsid w:val="00490FD6"/>
    <w:rsid w:val="004E1986"/>
    <w:rsid w:val="00506A47"/>
    <w:rsid w:val="00513A65"/>
    <w:rsid w:val="005768A0"/>
    <w:rsid w:val="005D762B"/>
    <w:rsid w:val="006322FE"/>
    <w:rsid w:val="00663058"/>
    <w:rsid w:val="00674962"/>
    <w:rsid w:val="007B237E"/>
    <w:rsid w:val="008062F2"/>
    <w:rsid w:val="008424C2"/>
    <w:rsid w:val="009B384C"/>
    <w:rsid w:val="00AD08B1"/>
    <w:rsid w:val="00B50969"/>
    <w:rsid w:val="00BD6BFC"/>
    <w:rsid w:val="00C51761"/>
    <w:rsid w:val="00CB02DB"/>
    <w:rsid w:val="00CB3024"/>
    <w:rsid w:val="00CC5FF8"/>
    <w:rsid w:val="00CD5A92"/>
    <w:rsid w:val="00D07BD1"/>
    <w:rsid w:val="00D922FA"/>
    <w:rsid w:val="00DF1AD7"/>
    <w:rsid w:val="00DF6AA7"/>
    <w:rsid w:val="00F7580B"/>
    <w:rsid w:val="00F86406"/>
    <w:rsid w:val="00FD6984"/>
    <w:rsid w:val="02F241BE"/>
    <w:rsid w:val="070B5BE8"/>
    <w:rsid w:val="077E1593"/>
    <w:rsid w:val="0F7E3BD5"/>
    <w:rsid w:val="136A099C"/>
    <w:rsid w:val="16EF4AC1"/>
    <w:rsid w:val="19791FAC"/>
    <w:rsid w:val="1C605AF7"/>
    <w:rsid w:val="1C7323BF"/>
    <w:rsid w:val="1D1364AB"/>
    <w:rsid w:val="1D435A2B"/>
    <w:rsid w:val="1E6D097F"/>
    <w:rsid w:val="20132BAC"/>
    <w:rsid w:val="20590CC0"/>
    <w:rsid w:val="20967991"/>
    <w:rsid w:val="212C4B06"/>
    <w:rsid w:val="25347E29"/>
    <w:rsid w:val="2F223112"/>
    <w:rsid w:val="303D73F1"/>
    <w:rsid w:val="32943976"/>
    <w:rsid w:val="35B410F2"/>
    <w:rsid w:val="3D437B38"/>
    <w:rsid w:val="3F116319"/>
    <w:rsid w:val="3F146DC5"/>
    <w:rsid w:val="3FDF4911"/>
    <w:rsid w:val="43D309EF"/>
    <w:rsid w:val="44CA67CA"/>
    <w:rsid w:val="48284A9B"/>
    <w:rsid w:val="48D17AF5"/>
    <w:rsid w:val="496E39C3"/>
    <w:rsid w:val="4CA14D3B"/>
    <w:rsid w:val="4CFE58D4"/>
    <w:rsid w:val="50251217"/>
    <w:rsid w:val="504371AE"/>
    <w:rsid w:val="544C6C2B"/>
    <w:rsid w:val="5AD36B10"/>
    <w:rsid w:val="5E466CA1"/>
    <w:rsid w:val="60A045C4"/>
    <w:rsid w:val="62847247"/>
    <w:rsid w:val="65E43AE0"/>
    <w:rsid w:val="663C637F"/>
    <w:rsid w:val="671A272D"/>
    <w:rsid w:val="67BC540F"/>
    <w:rsid w:val="689E0973"/>
    <w:rsid w:val="71DD22F7"/>
    <w:rsid w:val="72C00ECF"/>
    <w:rsid w:val="74085358"/>
    <w:rsid w:val="7616379F"/>
    <w:rsid w:val="77C47AB5"/>
    <w:rsid w:val="78F053E4"/>
    <w:rsid w:val="7D8F6D5C"/>
    <w:rsid w:val="7D9A404F"/>
    <w:rsid w:val="7E906943"/>
    <w:rsid w:val="7EB47D23"/>
    <w:rsid w:val="7F9E1384"/>
    <w:rsid w:val="A79D2008"/>
    <w:rsid w:val="BFEE35C8"/>
    <w:rsid w:val="DFFDF962"/>
    <w:rsid w:val="FFFEA93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99"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Theme="minorEastAsia" w:cstheme="minorBidi"/>
      <w:kern w:val="2"/>
      <w:sz w:val="21"/>
      <w:szCs w:val="21"/>
      <w:lang w:val="en-US" w:eastAsia="zh-CN" w:bidi="ar-SA"/>
    </w:rPr>
  </w:style>
  <w:style w:type="character" w:default="1" w:styleId="11">
    <w:name w:val="Default Paragraph Font"/>
    <w:autoRedefine/>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Normal Indent"/>
    <w:basedOn w:val="1"/>
    <w:semiHidden/>
    <w:unhideWhenUsed/>
    <w:qFormat/>
    <w:uiPriority w:val="99"/>
    <w:pPr>
      <w:ind w:firstLine="420" w:firstLineChars="200"/>
    </w:pPr>
  </w:style>
  <w:style w:type="paragraph" w:styleId="3">
    <w:name w:val="Body Text"/>
    <w:basedOn w:val="1"/>
    <w:next w:val="1"/>
    <w:autoRedefine/>
    <w:qFormat/>
    <w:uiPriority w:val="0"/>
  </w:style>
  <w:style w:type="paragraph" w:styleId="4">
    <w:name w:val="Body Text Indent"/>
    <w:basedOn w:val="1"/>
    <w:unhideWhenUsed/>
    <w:qFormat/>
    <w:uiPriority w:val="99"/>
    <w:pPr>
      <w:spacing w:after="120"/>
      <w:ind w:left="420" w:leftChars="200"/>
    </w:pPr>
  </w:style>
  <w:style w:type="paragraph" w:styleId="5">
    <w:name w:val="footer"/>
    <w:basedOn w:val="1"/>
    <w:autoRedefine/>
    <w:qFormat/>
    <w:uiPriority w:val="0"/>
    <w:pPr>
      <w:tabs>
        <w:tab w:val="center" w:pos="4153"/>
        <w:tab w:val="right" w:pos="8306"/>
      </w:tabs>
      <w:snapToGrid w:val="0"/>
      <w:jc w:val="left"/>
    </w:pPr>
    <w:rPr>
      <w:sz w:val="18"/>
      <w:szCs w:val="18"/>
    </w:rPr>
  </w:style>
  <w:style w:type="paragraph" w:styleId="6">
    <w:name w:val="header"/>
    <w:basedOn w:val="1"/>
    <w:link w:val="15"/>
    <w:autoRedefine/>
    <w:qFormat/>
    <w:uiPriority w:val="0"/>
    <w:pPr>
      <w:pBdr>
        <w:bottom w:val="single" w:color="auto" w:sz="6" w:space="1"/>
      </w:pBdr>
      <w:tabs>
        <w:tab w:val="center" w:pos="4153"/>
        <w:tab w:val="right" w:pos="8306"/>
      </w:tabs>
      <w:snapToGrid w:val="0"/>
      <w:jc w:val="center"/>
    </w:pPr>
    <w:rPr>
      <w:sz w:val="18"/>
      <w:szCs w:val="18"/>
    </w:rPr>
  </w:style>
  <w:style w:type="paragraph" w:styleId="7">
    <w:name w:val="HTML Preformatted"/>
    <w:basedOn w:val="1"/>
    <w:link w:val="17"/>
    <w:autoRedefine/>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left"/>
    </w:pPr>
    <w:rPr>
      <w:rFonts w:ascii="微软雅黑" w:hAnsi="微软雅黑" w:eastAsia="微软雅黑" w:cs="宋体"/>
      <w:kern w:val="0"/>
      <w:sz w:val="24"/>
      <w:szCs w:val="24"/>
    </w:rPr>
  </w:style>
  <w:style w:type="paragraph" w:styleId="8">
    <w:name w:val="Normal (Web)"/>
    <w:basedOn w:val="1"/>
    <w:autoRedefine/>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9">
    <w:name w:val="Body Text First Indent 2"/>
    <w:basedOn w:val="4"/>
    <w:next w:val="1"/>
    <w:qFormat/>
    <w:uiPriority w:val="0"/>
    <w:pPr>
      <w:adjustRightInd w:val="0"/>
      <w:ind w:left="0" w:leftChars="0" w:firstLine="880" w:firstLineChars="200"/>
    </w:pPr>
    <w:rPr>
      <w:rFonts w:ascii="Calibri" w:hAnsi="Calibri" w:eastAsia="仿宋" w:cs="Times New Roman"/>
      <w:sz w:val="32"/>
    </w:rPr>
  </w:style>
  <w:style w:type="character" w:styleId="12">
    <w:name w:val="Strong"/>
    <w:basedOn w:val="11"/>
    <w:qFormat/>
    <w:uiPriority w:val="0"/>
    <w:rPr>
      <w:b/>
    </w:rPr>
  </w:style>
  <w:style w:type="character" w:styleId="13">
    <w:name w:val="Emphasis"/>
    <w:basedOn w:val="11"/>
    <w:qFormat/>
    <w:uiPriority w:val="0"/>
    <w:rPr>
      <w:i/>
    </w:rPr>
  </w:style>
  <w:style w:type="character" w:styleId="14">
    <w:name w:val="Hyperlink"/>
    <w:basedOn w:val="11"/>
    <w:unhideWhenUsed/>
    <w:qFormat/>
    <w:uiPriority w:val="99"/>
    <w:rPr>
      <w:color w:val="656565"/>
      <w:u w:val="none"/>
    </w:rPr>
  </w:style>
  <w:style w:type="character" w:customStyle="1" w:styleId="15">
    <w:name w:val="页眉 Char"/>
    <w:basedOn w:val="11"/>
    <w:link w:val="6"/>
    <w:autoRedefine/>
    <w:qFormat/>
    <w:uiPriority w:val="0"/>
    <w:rPr>
      <w:rFonts w:ascii="Times New Roman" w:hAnsi="Times New Roman"/>
      <w:kern w:val="2"/>
      <w:sz w:val="18"/>
      <w:szCs w:val="18"/>
    </w:rPr>
  </w:style>
  <w:style w:type="paragraph" w:styleId="16">
    <w:name w:val="List Paragraph"/>
    <w:basedOn w:val="1"/>
    <w:unhideWhenUsed/>
    <w:qFormat/>
    <w:uiPriority w:val="99"/>
    <w:pPr>
      <w:ind w:firstLine="420" w:firstLineChars="200"/>
    </w:pPr>
  </w:style>
  <w:style w:type="character" w:customStyle="1" w:styleId="17">
    <w:name w:val="HTML 预设格式 Char"/>
    <w:basedOn w:val="11"/>
    <w:link w:val="7"/>
    <w:qFormat/>
    <w:uiPriority w:val="99"/>
    <w:rPr>
      <w:rFonts w:ascii="微软雅黑" w:hAnsi="微软雅黑" w:eastAsia="微软雅黑" w:cs="宋体"/>
      <w:sz w:val="24"/>
      <w:szCs w:val="24"/>
    </w:rPr>
  </w:style>
  <w:style w:type="paragraph" w:customStyle="1" w:styleId="18">
    <w:name w:val="Default"/>
    <w:qFormat/>
    <w:uiPriority w:val="0"/>
    <w:pPr>
      <w:widowControl w:val="0"/>
      <w:autoSpaceDE w:val="0"/>
      <w:autoSpaceDN w:val="0"/>
      <w:adjustRightInd w:val="0"/>
    </w:pPr>
    <w:rPr>
      <w:rFonts w:ascii="仿宋_GB2312" w:hAnsi="Times New Roman" w:eastAsia="仿宋_GB2312" w:cs="仿宋_GB2312"/>
      <w:color w:val="000000"/>
      <w:sz w:val="24"/>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微软用户</Company>
  <Pages>1</Pages>
  <Words>289</Words>
  <Characters>309</Characters>
  <Lines>3</Lines>
  <Paragraphs>1</Paragraphs>
  <TotalTime>252</TotalTime>
  <ScaleCrop>false</ScaleCrop>
  <LinksUpToDate>false</LinksUpToDate>
  <CharactersWithSpaces>311</CharactersWithSpaces>
  <Application>WPS Office_12.1.2.23582_F1E327BC-269C-435d-A152-05C5408002CA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2017-12-07T17:14:00Z</dcterms:created>
  <dc:creator>小烦</dc:creator>
  <cp:lastModifiedBy>baoji</cp:lastModifiedBy>
  <cp:lastPrinted>2026-10-19T23:24:00Z</cp:lastPrinted>
  <dcterms:modified xsi:type="dcterms:W3CDTF">2026-10-19T15:38:56Z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2052-12.1.2.23582</vt:lpwstr>
  </property>
  <property fmtid="{D5CDD505-2E9C-101B-9397-08002B2CF9AE}" pid="3" name="ICV">
    <vt:lpwstr>9926A1D77D644EF49E08C985E9438146_13</vt:lpwstr>
  </property>
  <property fmtid="{D5CDD505-2E9C-101B-9397-08002B2CF9AE}" pid="4" name="KSOTemplateDocerSaveRecord">
    <vt:lpwstr>eyJoZGlkIjoiNDUwMTFkMDI3ZjBmZjczM2Q3M2EwOGI5M2VjYzUzMDkiLCJ1c2VySWQiOiIzNjUxMjYxOTkifQ==</vt:lpwstr>
  </property>
</Properties>
</file>