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F0D9D">
      <w:pPr>
        <w:jc w:val="center"/>
        <w:rPr>
          <w:rFonts w:hint="default" w:ascii="黑体" w:hAnsi="黑体" w:eastAsia="黑体" w:cs="黑体"/>
          <w:sz w:val="48"/>
          <w:szCs w:val="48"/>
          <w:lang w:val="en-US" w:eastAsia="zh-CN"/>
        </w:rPr>
      </w:pPr>
      <w:bookmarkStart w:id="0" w:name="_GoBack"/>
      <w:bookmarkEnd w:id="0"/>
      <w:r>
        <w:rPr>
          <w:rFonts w:hint="eastAsia" w:ascii="黑体" w:hAnsi="黑体" w:eastAsia="黑体" w:cs="黑体"/>
          <w:sz w:val="48"/>
          <w:szCs w:val="48"/>
          <w:lang w:val="en-US" w:eastAsia="zh-CN"/>
        </w:rPr>
        <w:t>太白县秦岭生态环境保护突出问题整改情况公示表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1838"/>
        <w:gridCol w:w="1175"/>
        <w:gridCol w:w="5150"/>
        <w:gridCol w:w="1137"/>
        <w:gridCol w:w="1925"/>
        <w:gridCol w:w="1188"/>
        <w:gridCol w:w="930"/>
      </w:tblGrid>
      <w:tr w14:paraId="15E0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31" w:type="dxa"/>
            <w:vAlign w:val="center"/>
          </w:tcPr>
          <w:p w14:paraId="66CC298D">
            <w:pPr>
              <w:jc w:val="center"/>
              <w:rPr>
                <w:rFonts w:hint="default"/>
                <w:vertAlign w:val="baseline"/>
                <w:lang w:val="en-US" w:eastAsia="zh-CN"/>
              </w:rPr>
            </w:pPr>
            <w:r>
              <w:rPr>
                <w:rFonts w:hint="eastAsia"/>
                <w:vertAlign w:val="baseline"/>
                <w:lang w:val="en-US" w:eastAsia="zh-CN"/>
              </w:rPr>
              <w:t>序 号</w:t>
            </w:r>
          </w:p>
        </w:tc>
        <w:tc>
          <w:tcPr>
            <w:tcW w:w="1838" w:type="dxa"/>
            <w:vAlign w:val="center"/>
          </w:tcPr>
          <w:p w14:paraId="421D1E5A">
            <w:pPr>
              <w:jc w:val="center"/>
              <w:rPr>
                <w:rFonts w:hint="default"/>
                <w:vertAlign w:val="baseline"/>
                <w:lang w:val="en-US" w:eastAsia="zh-CN"/>
              </w:rPr>
            </w:pPr>
            <w:r>
              <w:rPr>
                <w:rFonts w:hint="eastAsia"/>
                <w:vertAlign w:val="baseline"/>
                <w:lang w:val="en-US" w:eastAsia="zh-CN"/>
              </w:rPr>
              <w:t>反馈问题</w:t>
            </w:r>
          </w:p>
        </w:tc>
        <w:tc>
          <w:tcPr>
            <w:tcW w:w="1175" w:type="dxa"/>
            <w:vAlign w:val="center"/>
          </w:tcPr>
          <w:p w14:paraId="6DD4721D">
            <w:pPr>
              <w:jc w:val="center"/>
              <w:rPr>
                <w:rFonts w:hint="default"/>
                <w:vertAlign w:val="baseline"/>
                <w:lang w:val="en-US" w:eastAsia="zh-CN"/>
              </w:rPr>
            </w:pPr>
            <w:r>
              <w:rPr>
                <w:rFonts w:hint="eastAsia"/>
                <w:vertAlign w:val="baseline"/>
                <w:lang w:val="en-US" w:eastAsia="zh-CN"/>
              </w:rPr>
              <w:t>整改目标</w:t>
            </w:r>
          </w:p>
        </w:tc>
        <w:tc>
          <w:tcPr>
            <w:tcW w:w="5150" w:type="dxa"/>
            <w:vAlign w:val="center"/>
          </w:tcPr>
          <w:p w14:paraId="26F30939">
            <w:pPr>
              <w:jc w:val="center"/>
              <w:rPr>
                <w:rFonts w:hint="default"/>
                <w:vertAlign w:val="baseline"/>
                <w:lang w:val="en-US" w:eastAsia="zh-CN"/>
              </w:rPr>
            </w:pPr>
            <w:r>
              <w:rPr>
                <w:rFonts w:hint="eastAsia"/>
                <w:vertAlign w:val="baseline"/>
                <w:lang w:val="en-US" w:eastAsia="zh-CN"/>
              </w:rPr>
              <w:t>整改措施</w:t>
            </w:r>
          </w:p>
        </w:tc>
        <w:tc>
          <w:tcPr>
            <w:tcW w:w="1137" w:type="dxa"/>
            <w:vAlign w:val="center"/>
          </w:tcPr>
          <w:p w14:paraId="63C34A1B">
            <w:pPr>
              <w:jc w:val="center"/>
              <w:rPr>
                <w:rFonts w:hint="default"/>
                <w:vertAlign w:val="baseline"/>
                <w:lang w:val="en-US" w:eastAsia="zh-CN"/>
              </w:rPr>
            </w:pPr>
            <w:r>
              <w:rPr>
                <w:rFonts w:hint="eastAsia"/>
                <w:vertAlign w:val="baseline"/>
                <w:lang w:val="en-US" w:eastAsia="zh-CN"/>
              </w:rPr>
              <w:t>整改时限</w:t>
            </w:r>
          </w:p>
        </w:tc>
        <w:tc>
          <w:tcPr>
            <w:tcW w:w="1925" w:type="dxa"/>
            <w:vAlign w:val="center"/>
          </w:tcPr>
          <w:p w14:paraId="1C04F52F">
            <w:pPr>
              <w:jc w:val="center"/>
              <w:rPr>
                <w:rFonts w:hint="default"/>
                <w:vertAlign w:val="baseline"/>
                <w:lang w:val="en-US" w:eastAsia="zh-CN"/>
              </w:rPr>
            </w:pPr>
            <w:r>
              <w:rPr>
                <w:rFonts w:hint="eastAsia"/>
                <w:vertAlign w:val="baseline"/>
                <w:lang w:val="en-US" w:eastAsia="zh-CN"/>
              </w:rPr>
              <w:t>完成情况</w:t>
            </w:r>
          </w:p>
        </w:tc>
        <w:tc>
          <w:tcPr>
            <w:tcW w:w="1188" w:type="dxa"/>
            <w:vAlign w:val="center"/>
          </w:tcPr>
          <w:p w14:paraId="693C299B">
            <w:pPr>
              <w:jc w:val="center"/>
              <w:rPr>
                <w:rFonts w:hint="default"/>
                <w:vertAlign w:val="baseline"/>
                <w:lang w:val="en-US" w:eastAsia="zh-CN"/>
              </w:rPr>
            </w:pPr>
            <w:r>
              <w:rPr>
                <w:rFonts w:hint="eastAsia"/>
                <w:vertAlign w:val="baseline"/>
                <w:lang w:val="en-US" w:eastAsia="zh-CN"/>
              </w:rPr>
              <w:t>责任单位</w:t>
            </w:r>
          </w:p>
        </w:tc>
        <w:tc>
          <w:tcPr>
            <w:tcW w:w="930" w:type="dxa"/>
            <w:vAlign w:val="center"/>
          </w:tcPr>
          <w:p w14:paraId="49AE5A08">
            <w:pPr>
              <w:jc w:val="center"/>
              <w:rPr>
                <w:rFonts w:hint="default"/>
                <w:vertAlign w:val="baseline"/>
                <w:lang w:val="en-US" w:eastAsia="zh-CN"/>
              </w:rPr>
            </w:pPr>
            <w:r>
              <w:rPr>
                <w:rFonts w:hint="eastAsia"/>
                <w:vertAlign w:val="baseline"/>
                <w:lang w:val="en-US" w:eastAsia="zh-CN"/>
              </w:rPr>
              <w:t>备注</w:t>
            </w:r>
          </w:p>
        </w:tc>
      </w:tr>
      <w:tr w14:paraId="46F8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7" w:hRule="atLeast"/>
        </w:trPr>
        <w:tc>
          <w:tcPr>
            <w:tcW w:w="831" w:type="dxa"/>
            <w:vAlign w:val="center"/>
          </w:tcPr>
          <w:p w14:paraId="00DAB95C">
            <w:pPr>
              <w:jc w:val="center"/>
              <w:rPr>
                <w:rFonts w:hint="default"/>
                <w:vertAlign w:val="baseline"/>
                <w:lang w:val="en-US" w:eastAsia="zh-CN"/>
              </w:rPr>
            </w:pPr>
            <w:r>
              <w:rPr>
                <w:rFonts w:hint="eastAsia"/>
                <w:vertAlign w:val="baseline"/>
                <w:lang w:val="en-US" w:eastAsia="zh-CN"/>
              </w:rPr>
              <w:t>1</w:t>
            </w:r>
          </w:p>
        </w:tc>
        <w:tc>
          <w:tcPr>
            <w:tcW w:w="1838" w:type="dxa"/>
            <w:vAlign w:val="center"/>
          </w:tcPr>
          <w:p w14:paraId="6CBAA501">
            <w:pPr>
              <w:jc w:val="both"/>
              <w:rPr>
                <w:rFonts w:hint="default"/>
                <w:vertAlign w:val="baseline"/>
                <w:lang w:val="en-US" w:eastAsia="zh-CN"/>
              </w:rPr>
            </w:pPr>
            <w:r>
              <w:rPr>
                <w:rFonts w:hint="default"/>
                <w:vertAlign w:val="baseline"/>
                <w:lang w:val="en-US" w:eastAsia="zh-CN"/>
              </w:rPr>
              <w:t>太白县桃川镇杜家庄村紧邻河道一处石料场，属于秦岭核心保护区，占地20余亩，无环保及用地审批手续。现场露天堆放大量石块、废渣，现场机械正在破碎生产，并向河道倾倒石料。工作人员称：场地内石料来源为河道直接采挖，经破碎后可直接对外销售。</w:t>
            </w:r>
          </w:p>
        </w:tc>
        <w:tc>
          <w:tcPr>
            <w:tcW w:w="1175" w:type="dxa"/>
            <w:vAlign w:val="center"/>
          </w:tcPr>
          <w:p w14:paraId="1F596895">
            <w:pPr>
              <w:jc w:val="both"/>
              <w:rPr>
                <w:rFonts w:hint="default"/>
                <w:vertAlign w:val="baseline"/>
                <w:lang w:val="en-US" w:eastAsia="zh-CN"/>
              </w:rPr>
            </w:pPr>
            <w:r>
              <w:rPr>
                <w:rFonts w:hint="eastAsia"/>
                <w:vertAlign w:val="baseline"/>
                <w:lang w:val="en-US" w:eastAsia="zh-CN"/>
              </w:rPr>
              <w:t>清除河道倾倒物料，限期清运外围临时堆放物料，恢复原地貌、落实环保措施。</w:t>
            </w:r>
          </w:p>
        </w:tc>
        <w:tc>
          <w:tcPr>
            <w:tcW w:w="5150" w:type="dxa"/>
            <w:vAlign w:val="center"/>
          </w:tcPr>
          <w:p w14:paraId="154CC17F">
            <w:pPr>
              <w:jc w:val="both"/>
              <w:rPr>
                <w:rFonts w:hint="default"/>
                <w:vertAlign w:val="baseline"/>
                <w:lang w:val="en-US" w:eastAsia="zh-CN"/>
              </w:rPr>
            </w:pPr>
            <w:r>
              <w:rPr>
                <w:rFonts w:hint="default"/>
                <w:vertAlign w:val="baseline"/>
                <w:lang w:val="en-US" w:eastAsia="zh-CN"/>
              </w:rPr>
              <w:t>1. 立即清退河道倾倒物料。聚焦河道水域及河道管理红线范围，靶向开展河道清障、乱象整治专项行动，对倾倒的石料、障碍物进行彻底清运，全面疏通河道行洪断面，保障河道水系畅通循环、生态系统平稳有序。2. 限期清运外围临时堆放物料。针对河道管理红线外滩地、河道岸线邻近区域临时堆存的破口石、废弃石料等物料，制定分区推进、分批清运的专项作业方案，有序开展集中清运、规范处置工作，全面清除临岸堆料乱象，实现区域物料清零、场地整洁。3.事发区域生态环境专项修复。对河道本体、岸线滩地及原有违规堆料区域实施系统性、整体性生态修复治理，开展场地平整、覆土培土作业，因地制宜选用本土绿植开展补绿复绿工程，精准修复受损地表肌理与水土生态。4.作业管控要求。严格落实扬尘管控“六个百分百”硬性要求，所有运输车辆全程密闭苫盖，杜绝沿途抛洒、扬尘扩散；作业场地常态化洒水抑尘、保洁降尘，持续维系场地洁净湿润。科学优化清运通行路线，主动避让秦岭生态敏感区、河道水源保护区及群众聚居生活区，合理确定作业时段，严控施工噪声扰动，最大限度降低整改作业对群众生产生活的影响。</w:t>
            </w:r>
          </w:p>
          <w:p w14:paraId="3056F7E0">
            <w:pPr>
              <w:jc w:val="both"/>
              <w:rPr>
                <w:rFonts w:hint="default"/>
                <w:vertAlign w:val="baseline"/>
                <w:lang w:val="en-US" w:eastAsia="zh-CN"/>
              </w:rPr>
            </w:pPr>
          </w:p>
        </w:tc>
        <w:tc>
          <w:tcPr>
            <w:tcW w:w="1137" w:type="dxa"/>
            <w:vAlign w:val="center"/>
          </w:tcPr>
          <w:p w14:paraId="2A066A3C">
            <w:pPr>
              <w:jc w:val="both"/>
              <w:rPr>
                <w:rFonts w:hint="default"/>
                <w:vertAlign w:val="baseline"/>
                <w:lang w:val="en-US" w:eastAsia="zh-CN"/>
              </w:rPr>
            </w:pPr>
            <w:r>
              <w:rPr>
                <w:rFonts w:hint="eastAsia"/>
                <w:vertAlign w:val="baseline"/>
                <w:lang w:val="en-US" w:eastAsia="zh-CN"/>
              </w:rPr>
              <w:t>2026.7.14</w:t>
            </w:r>
          </w:p>
        </w:tc>
        <w:tc>
          <w:tcPr>
            <w:tcW w:w="1925" w:type="dxa"/>
            <w:vAlign w:val="center"/>
          </w:tcPr>
          <w:p w14:paraId="1B4CC3F5">
            <w:pPr>
              <w:jc w:val="both"/>
              <w:rPr>
                <w:rFonts w:hint="default"/>
                <w:vertAlign w:val="baseline"/>
                <w:lang w:val="en-US" w:eastAsia="zh-CN"/>
              </w:rPr>
            </w:pPr>
            <w:r>
              <w:rPr>
                <w:rFonts w:hint="eastAsia"/>
                <w:vertAlign w:val="baseline"/>
                <w:lang w:val="en-US" w:eastAsia="zh-CN"/>
              </w:rPr>
              <w:t>问</w:t>
            </w:r>
            <w:r>
              <w:rPr>
                <w:rFonts w:hint="default"/>
                <w:vertAlign w:val="baseline"/>
                <w:lang w:val="en-US" w:eastAsia="zh-CN"/>
              </w:rPr>
              <w:t>题中所描述的对外销售砂石料，实际是为了保障关中环线眉县经岐山至凤翔公路市级重点交通项目建设用材需求。对堆放石料制定了运方案，</w:t>
            </w:r>
            <w:r>
              <w:rPr>
                <w:rFonts w:hint="eastAsia"/>
                <w:vertAlign w:val="baseline"/>
                <w:lang w:val="en-US" w:eastAsia="zh-CN"/>
              </w:rPr>
              <w:t>现场堆</w:t>
            </w:r>
            <w:r>
              <w:rPr>
                <w:rFonts w:hint="default"/>
                <w:vertAlign w:val="baseline"/>
                <w:lang w:val="en-US" w:eastAsia="zh-CN"/>
              </w:rPr>
              <w:t>料已经清运完毕，场地复土并播撒草籽，能够落实监管措施。现场安装了监控，杜绝后期乱采、乱挖、乱倒现象发生。</w:t>
            </w:r>
          </w:p>
        </w:tc>
        <w:tc>
          <w:tcPr>
            <w:tcW w:w="1188" w:type="dxa"/>
            <w:vAlign w:val="center"/>
          </w:tcPr>
          <w:p w14:paraId="08C053CA">
            <w:pPr>
              <w:jc w:val="both"/>
              <w:rPr>
                <w:rFonts w:hint="eastAsia"/>
                <w:vertAlign w:val="baseline"/>
                <w:lang w:val="en-US" w:eastAsia="zh-CN"/>
              </w:rPr>
            </w:pPr>
            <w:r>
              <w:rPr>
                <w:rFonts w:hint="eastAsia"/>
                <w:vertAlign w:val="baseline"/>
                <w:lang w:val="en-US" w:eastAsia="zh-CN"/>
              </w:rPr>
              <w:t>太白县农业农村和水利局</w:t>
            </w:r>
          </w:p>
          <w:p w14:paraId="2B325AA0">
            <w:pPr>
              <w:jc w:val="both"/>
              <w:rPr>
                <w:rFonts w:hint="eastAsia"/>
                <w:vertAlign w:val="baseline"/>
                <w:lang w:val="en-US" w:eastAsia="zh-CN"/>
              </w:rPr>
            </w:pPr>
          </w:p>
          <w:p w14:paraId="692DA2E7">
            <w:pPr>
              <w:jc w:val="both"/>
              <w:rPr>
                <w:rFonts w:hint="default"/>
                <w:vertAlign w:val="baseline"/>
                <w:lang w:val="en-US" w:eastAsia="zh-CN"/>
              </w:rPr>
            </w:pPr>
            <w:r>
              <w:rPr>
                <w:rFonts w:hint="eastAsia"/>
                <w:vertAlign w:val="baseline"/>
                <w:lang w:val="en-US" w:eastAsia="zh-CN"/>
              </w:rPr>
              <w:t>桃川镇人民政府</w:t>
            </w:r>
          </w:p>
          <w:p w14:paraId="113C56DE">
            <w:pPr>
              <w:jc w:val="both"/>
              <w:rPr>
                <w:rFonts w:hint="eastAsia"/>
                <w:vertAlign w:val="baseline"/>
                <w:lang w:val="en-US" w:eastAsia="zh-CN"/>
              </w:rPr>
            </w:pPr>
          </w:p>
          <w:p w14:paraId="6856E298">
            <w:pPr>
              <w:jc w:val="both"/>
              <w:rPr>
                <w:rFonts w:hint="default"/>
                <w:vertAlign w:val="baseline"/>
                <w:lang w:val="en-US" w:eastAsia="zh-CN"/>
              </w:rPr>
            </w:pPr>
            <w:r>
              <w:rPr>
                <w:rFonts w:hint="eastAsia"/>
                <w:vertAlign w:val="baseline"/>
                <w:lang w:val="en-US" w:eastAsia="zh-CN"/>
              </w:rPr>
              <w:t>市生态环境局太白分局</w:t>
            </w:r>
          </w:p>
        </w:tc>
        <w:tc>
          <w:tcPr>
            <w:tcW w:w="930" w:type="dxa"/>
            <w:vAlign w:val="center"/>
          </w:tcPr>
          <w:p w14:paraId="24F6437C">
            <w:pPr>
              <w:jc w:val="both"/>
              <w:rPr>
                <w:rFonts w:hint="default"/>
                <w:vertAlign w:val="baseline"/>
                <w:lang w:val="en-US" w:eastAsia="zh-CN"/>
              </w:rPr>
            </w:pPr>
          </w:p>
        </w:tc>
      </w:tr>
    </w:tbl>
    <w:p w14:paraId="2A5F80CB">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B668A"/>
    <w:rsid w:val="1B337B2F"/>
    <w:rsid w:val="2AC86808"/>
    <w:rsid w:val="6BAD7DE6"/>
    <w:rsid w:val="70CC1BE0"/>
    <w:rsid w:val="F5FD6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808</Words>
  <Characters>821</Characters>
  <Lines>0</Lines>
  <Paragraphs>0</Paragraphs>
  <TotalTime>36</TotalTime>
  <ScaleCrop>false</ScaleCrop>
  <LinksUpToDate>false</LinksUpToDate>
  <CharactersWithSpaces>824</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2026-08-21T14:42:00Z</dcterms:created>
  <dc:creator>lx</dc:creator>
  <cp:lastModifiedBy>kylin</cp:lastModifiedBy>
  <cp:lastPrinted>2026-08-21T15:04:00Z</cp:lastPrinted>
  <dcterms:modified xsi:type="dcterms:W3CDTF">2026-08-21T17:46:46Z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KSOTemplateDocerSaveRecord">
    <vt:lpwstr>eyJoZGlkIjoiN2NiNjcyMjg4YTAzMWU1NDc3NjViNTVlMDgzN2FlY2IiLCJ1c2VySWQiOiIzNjEzNjg4MjQifQ==</vt:lpwstr>
  </property>
  <property fmtid="{D5CDD505-2E9C-101B-9397-08002B2CF9AE}" pid="4" name="ICV">
    <vt:lpwstr>CF27ABF9CE5B44E4A671EE7C2189C622_12</vt:lpwstr>
  </property>
</Properties>
</file>