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43099">
      <w:pPr>
        <w:adjustRightInd w:val="0"/>
        <w:snapToGrid w:val="0"/>
        <w:jc w:val="center"/>
        <w:outlineLvl w:val="0"/>
        <w:rPr>
          <w:rFonts w:eastAsia="方正小标宋_GBK"/>
          <w:bCs/>
          <w:color w:val="auto"/>
          <w:sz w:val="72"/>
          <w:szCs w:val="72"/>
          <w:highlight w:val="none"/>
        </w:rPr>
      </w:pPr>
    </w:p>
    <w:p w14:paraId="5B911A44">
      <w:pPr>
        <w:adjustRightInd w:val="0"/>
        <w:snapToGrid w:val="0"/>
        <w:jc w:val="center"/>
        <w:outlineLvl w:val="0"/>
        <w:rPr>
          <w:rFonts w:eastAsia="方正小标宋_GBK"/>
          <w:bCs/>
          <w:color w:val="auto"/>
          <w:sz w:val="72"/>
          <w:szCs w:val="72"/>
          <w:highlight w:val="none"/>
        </w:rPr>
      </w:pPr>
      <w:bookmarkStart w:id="0" w:name="_Toc9607"/>
      <w:bookmarkStart w:id="1" w:name="_Toc12585"/>
      <w:r>
        <w:rPr>
          <w:rFonts w:eastAsia="方正小标宋_GBK"/>
          <w:bCs/>
          <w:color w:val="auto"/>
          <w:sz w:val="72"/>
          <w:szCs w:val="72"/>
          <w:highlight w:val="none"/>
        </w:rPr>
        <w:t>建设项目环境影响报告表</w:t>
      </w:r>
      <w:bookmarkEnd w:id="0"/>
      <w:bookmarkEnd w:id="1"/>
    </w:p>
    <w:p w14:paraId="786E39ED">
      <w:pPr>
        <w:adjustRightInd w:val="0"/>
        <w:snapToGrid w:val="0"/>
        <w:spacing w:before="192" w:beforeLines="80"/>
        <w:jc w:val="center"/>
        <w:rPr>
          <w:rFonts w:eastAsia="楷体_GB2312"/>
          <w:bCs/>
          <w:color w:val="auto"/>
          <w:sz w:val="48"/>
          <w:szCs w:val="48"/>
          <w:highlight w:val="none"/>
        </w:rPr>
      </w:pPr>
      <w:r>
        <w:rPr>
          <w:rFonts w:eastAsia="楷体_GB2312"/>
          <w:bCs/>
          <w:color w:val="auto"/>
          <w:sz w:val="48"/>
          <w:szCs w:val="48"/>
          <w:highlight w:val="none"/>
        </w:rPr>
        <w:t>（</w:t>
      </w:r>
      <w:r>
        <w:rPr>
          <w:rFonts w:hint="eastAsia" w:eastAsia="楷体_GB2312"/>
          <w:bCs/>
          <w:color w:val="auto"/>
          <w:sz w:val="48"/>
          <w:szCs w:val="48"/>
          <w:highlight w:val="none"/>
          <w:lang w:val="en-US" w:eastAsia="zh-CN"/>
        </w:rPr>
        <w:t>生态</w:t>
      </w:r>
      <w:r>
        <w:rPr>
          <w:rFonts w:eastAsia="楷体_GB2312"/>
          <w:bCs/>
          <w:color w:val="auto"/>
          <w:sz w:val="48"/>
          <w:szCs w:val="48"/>
          <w:highlight w:val="none"/>
        </w:rPr>
        <w:t>影响类）</w:t>
      </w:r>
    </w:p>
    <w:p w14:paraId="70A8A6E1">
      <w:pPr>
        <w:pStyle w:val="7"/>
        <w:rPr>
          <w:rFonts w:hint="default" w:hAnsi="宋体" w:cs="宋体"/>
          <w:color w:val="auto"/>
          <w:sz w:val="36"/>
          <w:szCs w:val="36"/>
          <w:lang w:val="en-US" w:eastAsia="zh-CN"/>
        </w:rPr>
      </w:pPr>
    </w:p>
    <w:p w14:paraId="7BE2BC21">
      <w:pPr>
        <w:pStyle w:val="7"/>
        <w:rPr>
          <w:color w:val="auto"/>
          <w:highlight w:val="none"/>
        </w:rPr>
      </w:pPr>
    </w:p>
    <w:p w14:paraId="2E3737AE">
      <w:pPr>
        <w:pStyle w:val="7"/>
        <w:rPr>
          <w:color w:val="auto"/>
          <w:highlight w:val="none"/>
        </w:rPr>
      </w:pPr>
    </w:p>
    <w:p w14:paraId="6D5218B0">
      <w:pPr>
        <w:pStyle w:val="7"/>
        <w:rPr>
          <w:color w:val="auto"/>
          <w:highlight w:val="none"/>
        </w:rPr>
      </w:pPr>
    </w:p>
    <w:p w14:paraId="18182960">
      <w:pPr>
        <w:pStyle w:val="7"/>
        <w:rPr>
          <w:color w:val="auto"/>
          <w:highlight w:val="none"/>
        </w:rPr>
      </w:pPr>
    </w:p>
    <w:p w14:paraId="3EE00759">
      <w:pPr>
        <w:pStyle w:val="7"/>
        <w:rPr>
          <w:color w:val="auto"/>
          <w:highlight w:val="none"/>
        </w:rPr>
      </w:pPr>
    </w:p>
    <w:p w14:paraId="4A287ACA">
      <w:pPr>
        <w:ind w:firstLine="1040"/>
        <w:rPr>
          <w:rFonts w:eastAsia="仿宋"/>
          <w:color w:val="auto"/>
          <w:sz w:val="44"/>
          <w:szCs w:val="44"/>
          <w:highlight w:val="none"/>
        </w:rPr>
      </w:pPr>
    </w:p>
    <w:p w14:paraId="75966E56">
      <w:pPr>
        <w:pStyle w:val="12"/>
        <w:rPr>
          <w:rFonts w:eastAsia="仿宋"/>
          <w:color w:val="auto"/>
          <w:sz w:val="44"/>
          <w:szCs w:val="44"/>
          <w:highlight w:val="none"/>
        </w:rPr>
      </w:pPr>
    </w:p>
    <w:p w14:paraId="76151881">
      <w:pPr>
        <w:rPr>
          <w:rFonts w:eastAsia="仿宋"/>
          <w:b w:val="0"/>
          <w:bCs w:val="0"/>
          <w:color w:val="auto"/>
          <w:sz w:val="44"/>
          <w:szCs w:val="44"/>
          <w:highlight w:val="none"/>
        </w:rPr>
      </w:pPr>
    </w:p>
    <w:p w14:paraId="62F35CFB">
      <w:pPr>
        <w:keepNext w:val="0"/>
        <w:keepLines w:val="0"/>
        <w:pageBreakBefore w:val="0"/>
        <w:widowControl w:val="0"/>
        <w:kinsoku/>
        <w:wordWrap/>
        <w:overflowPunct/>
        <w:topLinePunct w:val="0"/>
        <w:autoSpaceDE/>
        <w:autoSpaceDN/>
        <w:bidi w:val="0"/>
        <w:adjustRightInd w:val="0"/>
        <w:snapToGrid w:val="0"/>
        <w:spacing w:line="360" w:lineRule="auto"/>
        <w:ind w:left="1920" w:hanging="1920" w:hangingChars="600"/>
        <w:jc w:val="both"/>
        <w:textAlignment w:val="auto"/>
        <w:rPr>
          <w:rFonts w:hint="default" w:eastAsia="仿宋_GB2312" w:cs="Times New Roman"/>
          <w:b w:val="0"/>
          <w:bCs w:val="0"/>
          <w:color w:val="auto"/>
          <w:sz w:val="32"/>
          <w:szCs w:val="32"/>
          <w:highlight w:val="none"/>
          <w:u w:val="singl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项目名称</w:t>
      </w:r>
      <w:r>
        <w:rPr>
          <w:rFonts w:hint="eastAsia" w:ascii="Times New Roman" w:hAnsi="Times New Roman" w:eastAsia="仿宋_GB2312" w:cs="Times New Roman"/>
          <w:b w:val="0"/>
          <w:bCs w:val="0"/>
          <w:color w:val="auto"/>
          <w:sz w:val="32"/>
          <w:szCs w:val="32"/>
          <w:highlight w:val="none"/>
          <w:u w:val="none"/>
          <w:lang w:val="en-US" w:eastAsia="zh-CN"/>
        </w:rPr>
        <w:t>：</w:t>
      </w:r>
      <w:r>
        <w:rPr>
          <w:rFonts w:hint="eastAsia" w:ascii="Times New Roman" w:hAnsi="Times New Roman" w:eastAsia="仿宋_GB2312" w:cs="Times New Roman"/>
          <w:b w:val="0"/>
          <w:bCs w:val="0"/>
          <w:color w:val="auto"/>
          <w:sz w:val="32"/>
          <w:szCs w:val="32"/>
          <w:highlight w:val="none"/>
          <w:u w:val="single"/>
          <w:lang w:val="en-US" w:eastAsia="zh-CN"/>
        </w:rPr>
        <w:t xml:space="preserve">  </w:t>
      </w:r>
      <w:bookmarkStart w:id="40" w:name="_GoBack"/>
      <w:r>
        <w:rPr>
          <w:rFonts w:hint="eastAsia" w:eastAsia="仿宋_GB2312" w:cs="Times New Roman"/>
          <w:b w:val="0"/>
          <w:bCs w:val="0"/>
          <w:color w:val="auto"/>
          <w:sz w:val="32"/>
          <w:szCs w:val="32"/>
          <w:highlight w:val="none"/>
          <w:u w:val="single"/>
          <w:lang w:val="en-US" w:eastAsia="zh-CN"/>
        </w:rPr>
        <w:t xml:space="preserve">宝鸡市太白县咀头镇历史遗留铅锌金矿废渣   </w:t>
      </w:r>
    </w:p>
    <w:p w14:paraId="3A64E08A">
      <w:pPr>
        <w:keepNext w:val="0"/>
        <w:keepLines w:val="0"/>
        <w:pageBreakBefore w:val="0"/>
        <w:widowControl w:val="0"/>
        <w:kinsoku/>
        <w:wordWrap/>
        <w:overflowPunct/>
        <w:topLinePunct w:val="0"/>
        <w:autoSpaceDE/>
        <w:autoSpaceDN/>
        <w:bidi w:val="0"/>
        <w:adjustRightInd w:val="0"/>
        <w:snapToGrid w:val="0"/>
        <w:spacing w:line="360" w:lineRule="auto"/>
        <w:ind w:firstLine="1600" w:firstLineChars="500"/>
        <w:jc w:val="both"/>
        <w:textAlignment w:val="auto"/>
        <w:rPr>
          <w:rFonts w:hint="default" w:ascii="Times New Roman" w:hAnsi="Times New Roman" w:eastAsia="仿宋_GB2312" w:cs="Times New Roman"/>
          <w:b w:val="0"/>
          <w:bCs w:val="0"/>
          <w:color w:val="auto"/>
          <w:sz w:val="32"/>
          <w:szCs w:val="32"/>
          <w:highlight w:val="none"/>
          <w:u w:val="single"/>
          <w:lang w:val="en-US" w:eastAsia="zh-CN"/>
        </w:rPr>
      </w:pPr>
      <w:r>
        <w:rPr>
          <w:rFonts w:hint="eastAsia" w:eastAsia="仿宋_GB2312" w:cs="Times New Roman"/>
          <w:b w:val="0"/>
          <w:bCs w:val="0"/>
          <w:color w:val="auto"/>
          <w:sz w:val="32"/>
          <w:szCs w:val="32"/>
          <w:highlight w:val="none"/>
          <w:u w:val="single"/>
          <w:lang w:val="en-US" w:eastAsia="zh-CN"/>
        </w:rPr>
        <w:t xml:space="preserve">             综合治理工程</w:t>
      </w:r>
      <w:bookmarkEnd w:id="40"/>
      <w:r>
        <w:rPr>
          <w:rFonts w:hint="default" w:ascii="Times New Roman" w:hAnsi="Times New Roman" w:eastAsia="仿宋_GB2312" w:cs="Times New Roman"/>
          <w:b w:val="0"/>
          <w:bCs w:val="0"/>
          <w:color w:val="auto"/>
          <w:sz w:val="32"/>
          <w:szCs w:val="32"/>
          <w:highlight w:val="none"/>
          <w:u w:val="single"/>
          <w:lang w:val="en-US" w:eastAsia="zh-CN"/>
        </w:rPr>
        <w:t xml:space="preserve"> </w:t>
      </w:r>
      <w:r>
        <w:rPr>
          <w:rFonts w:hint="eastAsia" w:ascii="Times New Roman" w:hAnsi="Times New Roman" w:eastAsia="仿宋_GB2312" w:cs="Times New Roman"/>
          <w:b w:val="0"/>
          <w:bCs w:val="0"/>
          <w:color w:val="auto"/>
          <w:sz w:val="32"/>
          <w:szCs w:val="32"/>
          <w:highlight w:val="none"/>
          <w:u w:val="single"/>
          <w:lang w:val="en-US" w:eastAsia="zh-CN"/>
        </w:rPr>
        <w:t xml:space="preserve"> </w:t>
      </w:r>
      <w:r>
        <w:rPr>
          <w:rFonts w:hint="eastAsia" w:eastAsia="仿宋_GB2312" w:cs="Times New Roman"/>
          <w:b w:val="0"/>
          <w:bCs w:val="0"/>
          <w:color w:val="auto"/>
          <w:sz w:val="32"/>
          <w:szCs w:val="32"/>
          <w:highlight w:val="none"/>
          <w:u w:val="single"/>
          <w:lang w:val="en-US" w:eastAsia="zh-CN"/>
        </w:rPr>
        <w:t xml:space="preserve">            </w:t>
      </w:r>
      <w:r>
        <w:rPr>
          <w:rFonts w:hint="default" w:ascii="Times New Roman" w:hAnsi="Times New Roman" w:eastAsia="仿宋_GB2312" w:cs="Times New Roman"/>
          <w:b w:val="0"/>
          <w:bCs w:val="0"/>
          <w:color w:val="auto"/>
          <w:sz w:val="32"/>
          <w:szCs w:val="32"/>
          <w:highlight w:val="none"/>
          <w:u w:val="single"/>
          <w:lang w:val="en-US" w:eastAsia="zh-CN"/>
        </w:rPr>
        <w:t xml:space="preserve">    </w:t>
      </w:r>
    </w:p>
    <w:p w14:paraId="7224A1E6">
      <w:pPr>
        <w:adjustRightInd w:val="0"/>
        <w:snapToGrid w:val="0"/>
        <w:spacing w:line="360" w:lineRule="auto"/>
        <w:ind w:left="3253" w:hanging="2880" w:hangingChars="900"/>
        <w:jc w:val="both"/>
        <w:rPr>
          <w:rFonts w:hint="default" w:ascii="Times New Roman" w:hAnsi="Times New Roman" w:eastAsia="仿宋_GB2312" w:cs="Times New Roman"/>
          <w:b w:val="0"/>
          <w:bCs w:val="0"/>
          <w:color w:val="auto"/>
          <w:sz w:val="32"/>
          <w:szCs w:val="32"/>
          <w:highlight w:val="none"/>
          <w:u w:val="single"/>
          <w:lang w:val="en-US" w:eastAsia="zh-CN"/>
        </w:rPr>
      </w:pPr>
      <w:r>
        <w:rPr>
          <w:rFonts w:ascii="Times New Roman" w:hAnsi="Times New Roman" w:eastAsia="仿宋_GB2312" w:cs="Times New Roman"/>
          <w:b w:val="0"/>
          <w:bCs w:val="0"/>
          <w:color w:val="auto"/>
          <w:sz w:val="32"/>
          <w:szCs w:val="32"/>
          <w:highlight w:val="none"/>
          <w:u w:val="none"/>
        </w:rPr>
        <w:t>建设单位（盖章）</w:t>
      </w:r>
      <w:r>
        <w:rPr>
          <w:rFonts w:hint="default" w:ascii="Times New Roman" w:hAnsi="Times New Roman" w:eastAsia="仿宋_GB2312" w:cs="Times New Roman"/>
          <w:b w:val="0"/>
          <w:bCs w:val="0"/>
          <w:color w:val="auto"/>
          <w:sz w:val="32"/>
          <w:szCs w:val="32"/>
          <w:highlight w:val="none"/>
          <w:u w:val="none"/>
          <w:lang w:val="en-US" w:eastAsia="zh-CN"/>
        </w:rPr>
        <w:t>：</w:t>
      </w:r>
      <w:r>
        <w:rPr>
          <w:rFonts w:hint="eastAsia" w:ascii="Times New Roman" w:hAnsi="Times New Roman" w:eastAsia="仿宋_GB2312" w:cs="Times New Roman"/>
          <w:b w:val="0"/>
          <w:bCs w:val="0"/>
          <w:color w:val="auto"/>
          <w:sz w:val="32"/>
          <w:szCs w:val="32"/>
          <w:highlight w:val="none"/>
          <w:u w:val="single"/>
          <w:lang w:val="en-US" w:eastAsia="zh-CN"/>
        </w:rPr>
        <w:t xml:space="preserve">      宝鸡市生态环境局太白分局     </w:t>
      </w:r>
    </w:p>
    <w:p w14:paraId="755C29A0">
      <w:pPr>
        <w:adjustRightInd w:val="0"/>
        <w:snapToGrid w:val="0"/>
        <w:spacing w:line="360" w:lineRule="auto"/>
        <w:ind w:left="3253" w:hanging="2880" w:hangingChars="900"/>
        <w:jc w:val="both"/>
        <w:rPr>
          <w:rFonts w:hint="default" w:ascii="Times New Roman" w:hAnsi="Times New Roman" w:eastAsia="仿宋_GB2312" w:cs="Times New Roman"/>
          <w:b w:val="0"/>
          <w:bCs w:val="0"/>
          <w:color w:val="auto"/>
          <w:sz w:val="32"/>
          <w:szCs w:val="32"/>
          <w:highlight w:val="none"/>
          <w:u w:val="none"/>
          <w:lang w:val="en-US" w:eastAsia="zh-CN"/>
        </w:rPr>
      </w:pPr>
      <w:r>
        <w:rPr>
          <w:rFonts w:ascii="Times New Roman" w:hAnsi="Times New Roman" w:eastAsia="仿宋_GB2312" w:cs="Times New Roman"/>
          <w:b w:val="0"/>
          <w:bCs w:val="0"/>
          <w:color w:val="auto"/>
          <w:sz w:val="32"/>
          <w:szCs w:val="32"/>
          <w:highlight w:val="none"/>
          <w:u w:val="none"/>
        </w:rPr>
        <w:t>编制日期：</w:t>
      </w:r>
      <w:r>
        <w:rPr>
          <w:rFonts w:hint="default" w:eastAsia="仿宋_GB2312" w:cs="Times New Roman"/>
          <w:b w:val="0"/>
          <w:bCs w:val="0"/>
          <w:color w:val="auto"/>
          <w:sz w:val="32"/>
          <w:szCs w:val="32"/>
          <w:highlight w:val="none"/>
          <w:u w:val="single"/>
          <w:lang w:val="en-US" w:eastAsia="zh-CN"/>
        </w:rPr>
        <w:t xml:space="preserve">          </w:t>
      </w:r>
      <w:r>
        <w:rPr>
          <w:rFonts w:hint="eastAsia" w:eastAsia="仿宋_GB2312" w:cs="Times New Roman"/>
          <w:b w:val="0"/>
          <w:bCs w:val="0"/>
          <w:color w:val="auto"/>
          <w:sz w:val="32"/>
          <w:szCs w:val="32"/>
          <w:highlight w:val="none"/>
          <w:u w:val="single"/>
          <w:lang w:val="en-US" w:eastAsia="zh-CN"/>
        </w:rPr>
        <w:t xml:space="preserve">  </w:t>
      </w:r>
      <w:r>
        <w:rPr>
          <w:rFonts w:hint="default" w:eastAsia="仿宋_GB2312" w:cs="Times New Roman"/>
          <w:b w:val="0"/>
          <w:bCs w:val="0"/>
          <w:color w:val="auto"/>
          <w:sz w:val="32"/>
          <w:szCs w:val="32"/>
          <w:highlight w:val="none"/>
          <w:u w:val="single"/>
          <w:lang w:val="en-US" w:eastAsia="zh-CN"/>
        </w:rPr>
        <w:t xml:space="preserve">   </w:t>
      </w:r>
      <w:r>
        <w:rPr>
          <w:rFonts w:hint="eastAsia" w:eastAsia="仿宋_GB2312" w:cs="Times New Roman"/>
          <w:b w:val="0"/>
          <w:bCs w:val="0"/>
          <w:color w:val="auto"/>
          <w:sz w:val="32"/>
          <w:szCs w:val="32"/>
          <w:highlight w:val="none"/>
          <w:u w:val="single"/>
          <w:lang w:val="en-US" w:eastAsia="zh-CN"/>
        </w:rPr>
        <w:t>2026</w:t>
      </w:r>
      <w:r>
        <w:rPr>
          <w:rFonts w:hint="default" w:ascii="Times New Roman" w:hAnsi="Times New Roman" w:eastAsia="仿宋_GB2312" w:cs="Times New Roman"/>
          <w:b w:val="0"/>
          <w:bCs w:val="0"/>
          <w:color w:val="auto"/>
          <w:sz w:val="32"/>
          <w:szCs w:val="32"/>
          <w:highlight w:val="none"/>
          <w:u w:val="single"/>
          <w:lang w:val="en-US" w:eastAsia="zh-CN"/>
        </w:rPr>
        <w:t>年</w:t>
      </w:r>
      <w:r>
        <w:rPr>
          <w:rFonts w:hint="eastAsia" w:eastAsia="仿宋_GB2312" w:cs="Times New Roman"/>
          <w:b w:val="0"/>
          <w:bCs w:val="0"/>
          <w:color w:val="auto"/>
          <w:sz w:val="32"/>
          <w:szCs w:val="32"/>
          <w:highlight w:val="none"/>
          <w:u w:val="single"/>
          <w:lang w:val="en-US" w:eastAsia="zh-CN"/>
        </w:rPr>
        <w:t>7</w:t>
      </w:r>
      <w:r>
        <w:rPr>
          <w:rFonts w:hint="default" w:ascii="Times New Roman" w:hAnsi="Times New Roman" w:eastAsia="仿宋_GB2312" w:cs="Times New Roman"/>
          <w:b w:val="0"/>
          <w:bCs w:val="0"/>
          <w:color w:val="auto"/>
          <w:sz w:val="32"/>
          <w:szCs w:val="32"/>
          <w:highlight w:val="none"/>
          <w:u w:val="single"/>
          <w:lang w:val="en-US" w:eastAsia="zh-CN"/>
        </w:rPr>
        <w:t>月</w:t>
      </w:r>
      <w:r>
        <w:rPr>
          <w:rFonts w:hint="default" w:eastAsia="仿宋_GB2312" w:cs="Times New Roman"/>
          <w:b w:val="0"/>
          <w:bCs w:val="0"/>
          <w:color w:val="auto"/>
          <w:sz w:val="32"/>
          <w:szCs w:val="32"/>
          <w:highlight w:val="none"/>
          <w:u w:val="single"/>
          <w:lang w:val="en-US" w:eastAsia="zh-CN"/>
        </w:rPr>
        <w:t xml:space="preserve">        </w:t>
      </w:r>
      <w:r>
        <w:rPr>
          <w:rFonts w:hint="eastAsia" w:eastAsia="仿宋_GB2312" w:cs="Times New Roman"/>
          <w:b w:val="0"/>
          <w:bCs w:val="0"/>
          <w:color w:val="auto"/>
          <w:sz w:val="32"/>
          <w:szCs w:val="32"/>
          <w:highlight w:val="none"/>
          <w:u w:val="single"/>
          <w:lang w:val="en-US" w:eastAsia="zh-CN"/>
        </w:rPr>
        <w:t xml:space="preserve"> </w:t>
      </w:r>
      <w:r>
        <w:rPr>
          <w:rFonts w:hint="default" w:eastAsia="仿宋_GB2312" w:cs="Times New Roman"/>
          <w:b w:val="0"/>
          <w:bCs w:val="0"/>
          <w:color w:val="auto"/>
          <w:sz w:val="32"/>
          <w:szCs w:val="32"/>
          <w:highlight w:val="none"/>
          <w:u w:val="single"/>
          <w:lang w:val="en-US" w:eastAsia="zh-CN"/>
        </w:rPr>
        <w:t xml:space="preserve">        </w:t>
      </w:r>
    </w:p>
    <w:p w14:paraId="76B8F0DD">
      <w:pPr>
        <w:pStyle w:val="7"/>
        <w:rPr>
          <w:rFonts w:hint="eastAsia" w:eastAsia="仿宋_GB2312"/>
          <w:b/>
          <w:bCs/>
          <w:color w:val="auto"/>
          <w:sz w:val="32"/>
          <w:szCs w:val="32"/>
          <w:highlight w:val="none"/>
          <w:u w:val="single"/>
          <w:lang w:val="en-US" w:eastAsia="zh-CN"/>
        </w:rPr>
      </w:pPr>
    </w:p>
    <w:p w14:paraId="257FDF63">
      <w:pPr>
        <w:pStyle w:val="7"/>
        <w:ind w:left="0" w:leftChars="0" w:firstLine="0"/>
        <w:jc w:val="center"/>
        <w:rPr>
          <w:rFonts w:hint="eastAsia" w:eastAsia="仿宋_GB2312"/>
          <w:b/>
          <w:bCs/>
          <w:color w:val="auto"/>
          <w:sz w:val="32"/>
          <w:szCs w:val="32"/>
          <w:highlight w:val="none"/>
          <w:u w:val="single"/>
          <w:lang w:val="en-US" w:eastAsia="zh-CN"/>
        </w:rPr>
      </w:pPr>
      <w:r>
        <w:rPr>
          <w:rFonts w:hint="eastAsia" w:ascii="楷体_GB2312" w:eastAsia="楷体_GB2312"/>
          <w:color w:val="auto"/>
          <w:sz w:val="36"/>
          <w:szCs w:val="36"/>
          <w:highlight w:val="none"/>
        </w:rPr>
        <w:t>中华人民共和国生态环境部制</w:t>
      </w:r>
    </w:p>
    <w:p w14:paraId="1D50163B">
      <w:pPr>
        <w:pStyle w:val="7"/>
        <w:rPr>
          <w:rFonts w:hint="eastAsia" w:eastAsia="仿宋_GB2312"/>
          <w:b/>
          <w:bCs/>
          <w:color w:val="auto"/>
          <w:sz w:val="32"/>
          <w:szCs w:val="32"/>
          <w:highlight w:val="none"/>
          <w:u w:val="single"/>
          <w:lang w:val="en-US" w:eastAsia="zh-CN"/>
        </w:rPr>
      </w:pPr>
    </w:p>
    <w:p w14:paraId="5A9B5D16">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rPr>
        <w:sectPr>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20180925">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目录</w:t>
      </w:r>
    </w:p>
    <w:p w14:paraId="40556958">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TOC \o "1-1" \h \u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_Toc9228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一、建设项目基本情况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_Toc9228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38EEB391">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_Toc3213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二、建设内容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_Toc3213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169A1F95">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_Toc30910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三、生态环境现状、保护目标及评价标准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_Toc30910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19944B9F">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_Toc21522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四、生态环境影响分析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_Toc21522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59F499A3">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_Toc27612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五、主要生态环境保护措施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_Toc27612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415EB0B6">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_Toc13298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六、生态环境保护措施监督检查清单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_Toc13298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34A85B03">
      <w:pPr>
        <w:pStyle w:val="11"/>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firstLine="0" w:firstLineChars="0"/>
        <w:textAlignment w:val="auto"/>
        <w:rPr>
          <w:color w:val="auto"/>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\l _Toc31393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七、结论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_Toc31393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highlight w:val="none"/>
        </w:rPr>
        <w:fldChar w:fldCharType="end"/>
      </w:r>
    </w:p>
    <w:p w14:paraId="7F25B030">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楷体_GB2312" w:cs="Times New Roman"/>
          <w:color w:val="auto"/>
          <w:sz w:val="36"/>
          <w:szCs w:val="36"/>
          <w:highlight w:val="none"/>
        </w:rPr>
      </w:pPr>
      <w:r>
        <w:rPr>
          <w:rFonts w:hint="default" w:ascii="Times New Roman" w:hAnsi="Times New Roman" w:eastAsia="宋体" w:cs="Times New Roman"/>
          <w:color w:val="auto"/>
          <w:szCs w:val="24"/>
          <w:highlight w:val="none"/>
        </w:rPr>
        <w:fldChar w:fldCharType="end"/>
      </w:r>
    </w:p>
    <w:p w14:paraId="39593ECC">
      <w:pPr>
        <w:pStyle w:val="13"/>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03EF9D8C">
      <w:pPr>
        <w:pStyle w:val="13"/>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2" w:name="_Toc9228"/>
      <w:r>
        <w:rPr>
          <w:rFonts w:hint="default" w:ascii="Times New Roman" w:hAnsi="Times New Roman" w:eastAsia="黑体" w:cs="Times New Roman"/>
          <w:snapToGrid w:val="0"/>
          <w:color w:val="auto"/>
          <w:sz w:val="30"/>
          <w:szCs w:val="30"/>
          <w:highlight w:val="none"/>
        </w:rPr>
        <w:t>一、建设项目基本情况</w:t>
      </w:r>
      <w:bookmarkEnd w:id="2"/>
    </w:p>
    <w:tbl>
      <w:tblPr>
        <w:tblStyle w:val="14"/>
        <w:tblW w:w="9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554"/>
        <w:gridCol w:w="2452"/>
        <w:gridCol w:w="1801"/>
        <w:gridCol w:w="419"/>
        <w:gridCol w:w="3029"/>
      </w:tblGrid>
      <w:tr w14:paraId="3D877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554" w:type="dxa"/>
            <w:tcBorders>
              <w:tl2br w:val="nil"/>
              <w:tr2bl w:val="nil"/>
            </w:tcBorders>
            <w:noWrap w:val="0"/>
            <w:tcMar>
              <w:top w:w="16" w:type="dxa"/>
              <w:left w:w="16" w:type="dxa"/>
              <w:right w:w="16" w:type="dxa"/>
            </w:tcMar>
            <w:vAlign w:val="center"/>
          </w:tcPr>
          <w:p w14:paraId="655CBCC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7701" w:type="dxa"/>
            <w:gridSpan w:val="4"/>
            <w:tcBorders>
              <w:tl2br w:val="nil"/>
              <w:tr2bl w:val="nil"/>
            </w:tcBorders>
            <w:noWrap w:val="0"/>
            <w:vAlign w:val="center"/>
          </w:tcPr>
          <w:p w14:paraId="36DDE099">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宝鸡市太白县咀头镇历史遗留铅锌金矿废渣综合治理工程</w:t>
            </w:r>
          </w:p>
        </w:tc>
      </w:tr>
      <w:tr w14:paraId="31F5E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554" w:type="dxa"/>
            <w:tcBorders>
              <w:tl2br w:val="nil"/>
              <w:tr2bl w:val="nil"/>
            </w:tcBorders>
            <w:noWrap w:val="0"/>
            <w:tcMar>
              <w:top w:w="16" w:type="dxa"/>
              <w:left w:w="16" w:type="dxa"/>
              <w:right w:w="16" w:type="dxa"/>
            </w:tcMar>
            <w:vAlign w:val="center"/>
          </w:tcPr>
          <w:p w14:paraId="7602F2CE">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7701" w:type="dxa"/>
            <w:gridSpan w:val="4"/>
            <w:tcBorders>
              <w:tl2br w:val="nil"/>
              <w:tr2bl w:val="nil"/>
            </w:tcBorders>
            <w:noWrap w:val="0"/>
            <w:vAlign w:val="center"/>
          </w:tcPr>
          <w:p w14:paraId="148C039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2602-610331-04-01-683678</w:t>
            </w:r>
          </w:p>
        </w:tc>
      </w:tr>
      <w:tr w14:paraId="74A004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554" w:type="dxa"/>
            <w:tcBorders>
              <w:tl2br w:val="nil"/>
              <w:tr2bl w:val="nil"/>
            </w:tcBorders>
            <w:noWrap w:val="0"/>
            <w:tcMar>
              <w:top w:w="16" w:type="dxa"/>
              <w:left w:w="16" w:type="dxa"/>
              <w:right w:w="16" w:type="dxa"/>
            </w:tcMar>
            <w:vAlign w:val="center"/>
          </w:tcPr>
          <w:p w14:paraId="00B8971E">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2452" w:type="dxa"/>
            <w:tcBorders>
              <w:tl2br w:val="nil"/>
              <w:tr2bl w:val="nil"/>
            </w:tcBorders>
            <w:noWrap w:val="0"/>
            <w:vAlign w:val="center"/>
          </w:tcPr>
          <w:p w14:paraId="7132D384">
            <w:pPr>
              <w:adjustRightInd w:val="0"/>
              <w:snapToGrid w:val="0"/>
              <w:jc w:val="center"/>
              <w:rPr>
                <w:rFonts w:hint="default" w:ascii="Times New Roman" w:hAnsi="Times New Roman" w:eastAsia="宋体" w:cs="Times New Roman"/>
                <w:color w:val="auto"/>
                <w:sz w:val="24"/>
                <w:szCs w:val="24"/>
                <w:highlight w:val="none"/>
                <w:lang w:val="en-US" w:eastAsia="zh-CN"/>
              </w:rPr>
            </w:pPr>
          </w:p>
        </w:tc>
        <w:tc>
          <w:tcPr>
            <w:tcW w:w="1801" w:type="dxa"/>
            <w:tcBorders>
              <w:tl2br w:val="nil"/>
              <w:tr2bl w:val="nil"/>
            </w:tcBorders>
            <w:noWrap w:val="0"/>
            <w:vAlign w:val="center"/>
          </w:tcPr>
          <w:p w14:paraId="30D62264">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3448" w:type="dxa"/>
            <w:gridSpan w:val="2"/>
            <w:tcBorders>
              <w:tl2br w:val="nil"/>
              <w:tr2bl w:val="nil"/>
            </w:tcBorders>
            <w:noWrap w:val="0"/>
            <w:vAlign w:val="center"/>
          </w:tcPr>
          <w:p w14:paraId="675B2897">
            <w:pPr>
              <w:adjustRightInd w:val="0"/>
              <w:snapToGrid w:val="0"/>
              <w:jc w:val="center"/>
              <w:rPr>
                <w:rFonts w:hint="default" w:ascii="Times New Roman" w:hAnsi="Times New Roman" w:eastAsia="宋体" w:cs="Times New Roman"/>
                <w:color w:val="auto"/>
                <w:sz w:val="24"/>
                <w:szCs w:val="24"/>
                <w:highlight w:val="none"/>
                <w:lang w:val="en-US" w:eastAsia="zh-CN"/>
              </w:rPr>
            </w:pPr>
          </w:p>
        </w:tc>
      </w:tr>
      <w:tr w14:paraId="031DC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554" w:type="dxa"/>
            <w:tcBorders>
              <w:tl2br w:val="nil"/>
              <w:tr2bl w:val="nil"/>
            </w:tcBorders>
            <w:noWrap w:val="0"/>
            <w:tcMar>
              <w:top w:w="16" w:type="dxa"/>
              <w:left w:w="16" w:type="dxa"/>
              <w:right w:w="16" w:type="dxa"/>
            </w:tcMar>
            <w:vAlign w:val="center"/>
          </w:tcPr>
          <w:p w14:paraId="4BBD6F9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7701" w:type="dxa"/>
            <w:gridSpan w:val="4"/>
            <w:tcBorders>
              <w:tl2br w:val="nil"/>
              <w:tr2bl w:val="nil"/>
            </w:tcBorders>
            <w:noWrap w:val="0"/>
            <w:vAlign w:val="center"/>
          </w:tcPr>
          <w:p w14:paraId="0922325C">
            <w:pPr>
              <w:adjustRightInd w:val="0"/>
              <w:snapToGrid w:val="0"/>
              <w:jc w:val="center"/>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rPr>
              <w:t>太白县咀头镇白云村</w:t>
            </w:r>
          </w:p>
        </w:tc>
      </w:tr>
      <w:tr w14:paraId="370C0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554" w:type="dxa"/>
            <w:tcBorders>
              <w:tl2br w:val="nil"/>
              <w:tr2bl w:val="nil"/>
            </w:tcBorders>
            <w:noWrap w:val="0"/>
            <w:tcMar>
              <w:top w:w="16" w:type="dxa"/>
              <w:left w:w="16" w:type="dxa"/>
              <w:right w:w="16" w:type="dxa"/>
            </w:tcMar>
            <w:vAlign w:val="center"/>
          </w:tcPr>
          <w:p w14:paraId="340BEFEF">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7701" w:type="dxa"/>
            <w:gridSpan w:val="4"/>
            <w:tcBorders>
              <w:tl2br w:val="nil"/>
              <w:tr2bl w:val="nil"/>
            </w:tcBorders>
            <w:noWrap w:val="0"/>
            <w:vAlign w:val="center"/>
          </w:tcPr>
          <w:p w14:paraId="715A54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BJ-TB25</w:t>
            </w:r>
            <w:r>
              <w:rPr>
                <w:rFonts w:hint="eastAsia"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E107.189032</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N33.930199</w:t>
            </w:r>
            <w:r>
              <w:rPr>
                <w:rFonts w:hint="eastAsia" w:cs="Times New Roman"/>
                <w:color w:val="auto"/>
                <w:sz w:val="24"/>
                <w:szCs w:val="24"/>
                <w:highlight w:val="none"/>
                <w:lang w:val="en-US" w:eastAsia="zh-CN"/>
              </w:rPr>
              <w:t>；</w:t>
            </w:r>
          </w:p>
          <w:p w14:paraId="354185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BJ-TB26</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E107.197781</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N33.930166</w:t>
            </w:r>
            <w:r>
              <w:rPr>
                <w:rFonts w:hint="eastAsia" w:cs="Times New Roman"/>
                <w:color w:val="auto"/>
                <w:sz w:val="24"/>
                <w:szCs w:val="24"/>
                <w:highlight w:val="none"/>
                <w:lang w:val="en-US" w:eastAsia="zh-CN"/>
              </w:rPr>
              <w:t>；</w:t>
            </w:r>
          </w:p>
          <w:p w14:paraId="51DFB22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BJ-TB27</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E107.188607</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N33.928943</w:t>
            </w:r>
            <w:r>
              <w:rPr>
                <w:rFonts w:hint="eastAsia" w:cs="Times New Roman"/>
                <w:color w:val="auto"/>
                <w:sz w:val="24"/>
                <w:szCs w:val="24"/>
                <w:highlight w:val="none"/>
                <w:lang w:val="en-US" w:eastAsia="zh-CN"/>
              </w:rPr>
              <w:t>；</w:t>
            </w:r>
          </w:p>
          <w:p w14:paraId="22E0B6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BJ-TB28</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E107.188233</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N33.928414</w:t>
            </w:r>
            <w:r>
              <w:rPr>
                <w:rFonts w:hint="eastAsia" w:cs="Times New Roman"/>
                <w:color w:val="auto"/>
                <w:sz w:val="24"/>
                <w:szCs w:val="24"/>
                <w:highlight w:val="none"/>
                <w:lang w:val="en-US" w:eastAsia="zh-CN"/>
              </w:rPr>
              <w:t>.</w:t>
            </w:r>
          </w:p>
        </w:tc>
      </w:tr>
      <w:tr w14:paraId="389C5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554" w:type="dxa"/>
            <w:tcBorders>
              <w:tl2br w:val="nil"/>
              <w:tr2bl w:val="nil"/>
            </w:tcBorders>
            <w:noWrap w:val="0"/>
            <w:tcMar>
              <w:top w:w="16" w:type="dxa"/>
              <w:left w:w="16" w:type="dxa"/>
              <w:right w:w="16" w:type="dxa"/>
            </w:tcMar>
            <w:vAlign w:val="center"/>
          </w:tcPr>
          <w:p w14:paraId="32BCFFD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2D40E8A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2452" w:type="dxa"/>
            <w:tcBorders>
              <w:tl2br w:val="nil"/>
              <w:tr2bl w:val="nil"/>
            </w:tcBorders>
            <w:noWrap w:val="0"/>
            <w:vAlign w:val="center"/>
          </w:tcPr>
          <w:p w14:paraId="562F9E3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七、有色金属矿采选业09</w:t>
            </w:r>
            <w:r>
              <w:rPr>
                <w:rFonts w:hint="eastAsia" w:cs="Times New Roman"/>
                <w:color w:val="auto"/>
                <w:sz w:val="24"/>
                <w:szCs w:val="24"/>
                <w:highlight w:val="none"/>
                <w:lang w:val="en-US" w:eastAsia="zh-CN"/>
              </w:rPr>
              <w:t>-常用有色金属矿采选091；—贵金属矿采选092；—稀有稀土金属矿采选093-矿区修复治理工程</w:t>
            </w:r>
          </w:p>
        </w:tc>
        <w:tc>
          <w:tcPr>
            <w:tcW w:w="2220" w:type="dxa"/>
            <w:gridSpan w:val="2"/>
            <w:tcBorders>
              <w:tl2br w:val="nil"/>
              <w:tr2bl w:val="nil"/>
            </w:tcBorders>
            <w:noWrap w:val="0"/>
            <w:vAlign w:val="center"/>
          </w:tcPr>
          <w:p w14:paraId="4AD9A22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用地（用海）面积（m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）/长度（</w:t>
            </w:r>
            <w:r>
              <w:rPr>
                <w:rFonts w:hint="eastAsia" w:cs="Times New Roman"/>
                <w:color w:val="auto"/>
                <w:sz w:val="24"/>
                <w:szCs w:val="24"/>
                <w:highlight w:val="none"/>
                <w:lang w:val="en-US" w:eastAsia="zh-CN"/>
              </w:rPr>
              <w:t>k</w:t>
            </w:r>
            <w:r>
              <w:rPr>
                <w:rFonts w:hint="default" w:ascii="Times New Roman" w:hAnsi="Times New Roman" w:eastAsia="宋体" w:cs="Times New Roman"/>
                <w:color w:val="auto"/>
                <w:sz w:val="24"/>
                <w:szCs w:val="24"/>
                <w:highlight w:val="none"/>
              </w:rPr>
              <w:t>m）</w:t>
            </w:r>
          </w:p>
        </w:tc>
        <w:tc>
          <w:tcPr>
            <w:tcW w:w="3029" w:type="dxa"/>
            <w:tcBorders>
              <w:tl2br w:val="nil"/>
              <w:tr2bl w:val="nil"/>
            </w:tcBorders>
            <w:noWrap w:val="0"/>
            <w:vAlign w:val="center"/>
          </w:tcPr>
          <w:p w14:paraId="4E7944F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处历史铅锌金矿废渣堆，堆存总面积</w:t>
            </w:r>
            <w:r>
              <w:rPr>
                <w:rFonts w:hint="eastAsia" w:cs="Times New Roman"/>
                <w:color w:val="auto"/>
                <w:sz w:val="24"/>
                <w:szCs w:val="24"/>
                <w:highlight w:val="none"/>
                <w:lang w:val="en-US" w:eastAsia="zh-CN"/>
              </w:rPr>
              <w:t>7207.51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p>
        </w:tc>
      </w:tr>
      <w:tr w14:paraId="240C5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4" w:hRule="atLeast"/>
          <w:jc w:val="center"/>
        </w:trPr>
        <w:tc>
          <w:tcPr>
            <w:tcW w:w="1554" w:type="dxa"/>
            <w:tcBorders>
              <w:tl2br w:val="nil"/>
              <w:tr2bl w:val="nil"/>
            </w:tcBorders>
            <w:noWrap w:val="0"/>
            <w:tcMar>
              <w:top w:w="16" w:type="dxa"/>
              <w:left w:w="16" w:type="dxa"/>
              <w:right w:w="16" w:type="dxa"/>
            </w:tcMar>
            <w:vAlign w:val="center"/>
          </w:tcPr>
          <w:p w14:paraId="4F8A4701">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2452" w:type="dxa"/>
            <w:tcBorders>
              <w:tl2br w:val="nil"/>
              <w:tr2bl w:val="nil"/>
            </w:tcBorders>
            <w:noWrap w:val="0"/>
            <w:vAlign w:val="center"/>
          </w:tcPr>
          <w:p w14:paraId="7AFCF700">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394E4D4E">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r>
              <w:rPr>
                <w:rFonts w:hint="eastAsia" w:cs="Times New Roman"/>
                <w:color w:val="auto"/>
                <w:sz w:val="24"/>
                <w:szCs w:val="24"/>
                <w:highlight w:val="none"/>
                <w:lang w:eastAsia="zh-CN"/>
              </w:rPr>
              <w:t>）</w:t>
            </w:r>
          </w:p>
          <w:p w14:paraId="11135C13">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2220" w:type="dxa"/>
            <w:gridSpan w:val="2"/>
            <w:tcBorders>
              <w:tl2br w:val="nil"/>
              <w:tr2bl w:val="nil"/>
            </w:tcBorders>
            <w:noWrap w:val="0"/>
            <w:vAlign w:val="center"/>
          </w:tcPr>
          <w:p w14:paraId="4D9DB479">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29C3196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3029" w:type="dxa"/>
            <w:tcBorders>
              <w:tl2br w:val="nil"/>
              <w:tr2bl w:val="nil"/>
            </w:tcBorders>
            <w:noWrap w:val="0"/>
            <w:vAlign w:val="center"/>
          </w:tcPr>
          <w:p w14:paraId="47501E15">
            <w:pPr>
              <w:adjustRightInd w:val="0"/>
              <w:snapToGrid w:val="0"/>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14:paraId="5F904FD9">
            <w:pPr>
              <w:adjustRightInd w:val="0"/>
              <w:snapToGrid w:val="0"/>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14:paraId="641FA795">
            <w:pPr>
              <w:adjustRightInd w:val="0"/>
              <w:snapToGrid w:val="0"/>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14:paraId="67C297B1">
            <w:pPr>
              <w:adjustRightInd w:val="0"/>
              <w:snapToGrid w:val="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重大变动重新报批项目</w:t>
            </w:r>
          </w:p>
        </w:tc>
      </w:tr>
      <w:tr w14:paraId="629A70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1554" w:type="dxa"/>
            <w:tcBorders>
              <w:tl2br w:val="nil"/>
              <w:tr2bl w:val="nil"/>
            </w:tcBorders>
            <w:noWrap w:val="0"/>
            <w:tcMar>
              <w:top w:w="16" w:type="dxa"/>
              <w:left w:w="16" w:type="dxa"/>
              <w:right w:w="16" w:type="dxa"/>
            </w:tcMar>
            <w:vAlign w:val="center"/>
          </w:tcPr>
          <w:p w14:paraId="59062BD1">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项目审批（核准/备案）部门（选填）</w:t>
            </w:r>
          </w:p>
        </w:tc>
        <w:tc>
          <w:tcPr>
            <w:tcW w:w="2452" w:type="dxa"/>
            <w:tcBorders>
              <w:tl2br w:val="nil"/>
              <w:tr2bl w:val="nil"/>
            </w:tcBorders>
            <w:noWrap w:val="0"/>
            <w:vAlign w:val="center"/>
          </w:tcPr>
          <w:p w14:paraId="11B6BD16">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太白县行政审批服务局</w:t>
            </w:r>
          </w:p>
        </w:tc>
        <w:tc>
          <w:tcPr>
            <w:tcW w:w="2220" w:type="dxa"/>
            <w:gridSpan w:val="2"/>
            <w:tcBorders>
              <w:tl2br w:val="nil"/>
              <w:tr2bl w:val="nil"/>
            </w:tcBorders>
            <w:noWrap w:val="0"/>
            <w:vAlign w:val="center"/>
          </w:tcPr>
          <w:p w14:paraId="107A2DB5">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2D4772C3">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3029" w:type="dxa"/>
            <w:tcBorders>
              <w:tl2br w:val="nil"/>
              <w:tr2bl w:val="nil"/>
            </w:tcBorders>
            <w:noWrap w:val="0"/>
            <w:vAlign w:val="center"/>
          </w:tcPr>
          <w:p w14:paraId="781443D1">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太审批项目发</w:t>
            </w:r>
            <w:r>
              <w:rPr>
                <w:rFonts w:hint="eastAsia" w:cs="Times New Roman"/>
                <w:color w:val="auto"/>
                <w:sz w:val="24"/>
                <w:szCs w:val="24"/>
                <w:highlight w:val="none"/>
                <w:lang w:val="en-US" w:eastAsia="zh-CN"/>
              </w:rPr>
              <w:t>〔2026〕27号</w:t>
            </w:r>
          </w:p>
        </w:tc>
      </w:tr>
      <w:tr w14:paraId="10433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554" w:type="dxa"/>
            <w:tcBorders>
              <w:tl2br w:val="nil"/>
              <w:tr2bl w:val="nil"/>
            </w:tcBorders>
            <w:noWrap w:val="0"/>
            <w:tcMar>
              <w:top w:w="16" w:type="dxa"/>
              <w:left w:w="16" w:type="dxa"/>
              <w:right w:w="16" w:type="dxa"/>
            </w:tcMar>
            <w:vAlign w:val="center"/>
          </w:tcPr>
          <w:p w14:paraId="03144DD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2452" w:type="dxa"/>
            <w:tcBorders>
              <w:tl2br w:val="nil"/>
              <w:tr2bl w:val="nil"/>
            </w:tcBorders>
            <w:noWrap w:val="0"/>
            <w:vAlign w:val="center"/>
          </w:tcPr>
          <w:p w14:paraId="20A89F61">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1356.9</w:t>
            </w:r>
          </w:p>
        </w:tc>
        <w:tc>
          <w:tcPr>
            <w:tcW w:w="2220" w:type="dxa"/>
            <w:gridSpan w:val="2"/>
            <w:tcBorders>
              <w:tl2br w:val="nil"/>
              <w:tr2bl w:val="nil"/>
            </w:tcBorders>
            <w:noWrap w:val="0"/>
            <w:tcMar>
              <w:top w:w="16" w:type="dxa"/>
              <w:left w:w="16" w:type="dxa"/>
              <w:right w:w="16" w:type="dxa"/>
            </w:tcMar>
            <w:vAlign w:val="center"/>
          </w:tcPr>
          <w:p w14:paraId="430D0AB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3029" w:type="dxa"/>
            <w:tcBorders>
              <w:tl2br w:val="nil"/>
              <w:tr2bl w:val="nil"/>
            </w:tcBorders>
            <w:noWrap w:val="0"/>
            <w:vAlign w:val="center"/>
          </w:tcPr>
          <w:p w14:paraId="1E9777A8">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96</w:t>
            </w:r>
          </w:p>
        </w:tc>
      </w:tr>
      <w:tr w14:paraId="5FEDC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4" w:hRule="atLeast"/>
          <w:jc w:val="center"/>
        </w:trPr>
        <w:tc>
          <w:tcPr>
            <w:tcW w:w="1554" w:type="dxa"/>
            <w:tcBorders>
              <w:tl2br w:val="nil"/>
              <w:tr2bl w:val="nil"/>
            </w:tcBorders>
            <w:noWrap w:val="0"/>
            <w:tcMar>
              <w:top w:w="16" w:type="dxa"/>
              <w:left w:w="16" w:type="dxa"/>
              <w:right w:w="16" w:type="dxa"/>
            </w:tcMar>
            <w:vAlign w:val="center"/>
          </w:tcPr>
          <w:p w14:paraId="28836B54">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2452" w:type="dxa"/>
            <w:tcBorders>
              <w:tl2br w:val="nil"/>
              <w:tr2bl w:val="nil"/>
            </w:tcBorders>
            <w:noWrap w:val="0"/>
            <w:vAlign w:val="center"/>
          </w:tcPr>
          <w:p w14:paraId="0F4A4AFD">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7.15</w:t>
            </w:r>
          </w:p>
        </w:tc>
        <w:tc>
          <w:tcPr>
            <w:tcW w:w="2220" w:type="dxa"/>
            <w:gridSpan w:val="2"/>
            <w:tcBorders>
              <w:tl2br w:val="nil"/>
              <w:tr2bl w:val="nil"/>
            </w:tcBorders>
            <w:noWrap w:val="0"/>
            <w:tcMar>
              <w:top w:w="16" w:type="dxa"/>
              <w:left w:w="16" w:type="dxa"/>
              <w:right w:w="16" w:type="dxa"/>
            </w:tcMar>
            <w:vAlign w:val="center"/>
          </w:tcPr>
          <w:p w14:paraId="087ABCCB">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3029" w:type="dxa"/>
            <w:tcBorders>
              <w:tl2br w:val="nil"/>
              <w:tr2bl w:val="nil"/>
            </w:tcBorders>
            <w:noWrap w:val="0"/>
            <w:vAlign w:val="center"/>
          </w:tcPr>
          <w:p w14:paraId="1876AF1E">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个月</w:t>
            </w:r>
          </w:p>
        </w:tc>
      </w:tr>
      <w:tr w14:paraId="33E972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54" w:type="dxa"/>
            <w:tcBorders>
              <w:tl2br w:val="nil"/>
              <w:tr2bl w:val="nil"/>
            </w:tcBorders>
            <w:noWrap w:val="0"/>
            <w:tcMar>
              <w:top w:w="16" w:type="dxa"/>
              <w:left w:w="16" w:type="dxa"/>
              <w:right w:w="16" w:type="dxa"/>
            </w:tcMar>
            <w:vAlign w:val="center"/>
          </w:tcPr>
          <w:p w14:paraId="2D6C3820">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7701" w:type="dxa"/>
            <w:gridSpan w:val="4"/>
            <w:tcBorders>
              <w:tl2br w:val="nil"/>
              <w:tr2bl w:val="nil"/>
            </w:tcBorders>
            <w:noWrap w:val="0"/>
            <w:vAlign w:val="center"/>
          </w:tcPr>
          <w:p w14:paraId="3EE930B3">
            <w:pPr>
              <w:adjustRightInd w:val="0"/>
              <w:snapToGrid w:val="0"/>
              <w:ind w:firstLine="105"/>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否</w:t>
            </w:r>
          </w:p>
          <w:p w14:paraId="2A4384EC">
            <w:pPr>
              <w:adjustRightInd w:val="0"/>
              <w:snapToGrid w:val="0"/>
              <w:ind w:firstLine="92"/>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p>
        </w:tc>
      </w:tr>
      <w:tr w14:paraId="03154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554" w:type="dxa"/>
            <w:tcBorders>
              <w:tl2br w:val="nil"/>
              <w:tr2bl w:val="nil"/>
            </w:tcBorders>
            <w:noWrap w:val="0"/>
            <w:tcMar>
              <w:top w:w="16" w:type="dxa"/>
              <w:left w:w="16" w:type="dxa"/>
              <w:right w:w="16" w:type="dxa"/>
            </w:tcMar>
            <w:vAlign w:val="center"/>
          </w:tcPr>
          <w:p w14:paraId="72ED8636">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7701" w:type="dxa"/>
            <w:gridSpan w:val="4"/>
            <w:tcBorders>
              <w:tl2br w:val="nil"/>
              <w:tr2bl w:val="nil"/>
            </w:tcBorders>
            <w:noWrap w:val="0"/>
            <w:tcMar>
              <w:top w:w="16" w:type="dxa"/>
              <w:left w:w="16" w:type="dxa"/>
              <w:right w:w="16" w:type="dxa"/>
            </w:tcMar>
            <w:vAlign w:val="center"/>
          </w:tcPr>
          <w:p w14:paraId="688F63B1">
            <w:pPr>
              <w:keepNext w:val="0"/>
              <w:keepLines w:val="0"/>
              <w:pageBreakBefore w:val="0"/>
              <w:widowControl w:val="0"/>
              <w:kinsoku/>
              <w:wordWrap/>
              <w:overflowPunct/>
              <w:topLinePunct w:val="0"/>
              <w:autoSpaceDE w:val="0"/>
              <w:autoSpaceDN w:val="0"/>
              <w:bidi w:val="0"/>
              <w:adjustRightInd w:val="0"/>
              <w:snapToGrid w:val="0"/>
              <w:ind w:firstLine="480" w:firstLineChars="200"/>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38D72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54" w:type="dxa"/>
            <w:tcBorders>
              <w:tl2br w:val="nil"/>
              <w:tr2bl w:val="nil"/>
            </w:tcBorders>
            <w:noWrap w:val="0"/>
            <w:tcMar>
              <w:top w:w="16" w:type="dxa"/>
              <w:left w:w="16" w:type="dxa"/>
              <w:right w:w="16" w:type="dxa"/>
            </w:tcMar>
            <w:vAlign w:val="center"/>
          </w:tcPr>
          <w:p w14:paraId="37AF869E">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7701" w:type="dxa"/>
            <w:gridSpan w:val="4"/>
            <w:tcBorders>
              <w:tl2br w:val="nil"/>
              <w:tr2bl w:val="nil"/>
            </w:tcBorders>
            <w:noWrap w:val="0"/>
            <w:tcMar>
              <w:top w:w="16" w:type="dxa"/>
              <w:left w:w="16" w:type="dxa"/>
              <w:right w:w="16" w:type="dxa"/>
            </w:tcMar>
            <w:vAlign w:val="center"/>
          </w:tcPr>
          <w:p w14:paraId="22E4946C">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eastAsia"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规划名称</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《陕西省汉江丹江流域涉金属矿产开发生态环境综合整治规划</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2021-2030年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w:t>
            </w:r>
          </w:p>
          <w:p w14:paraId="4905F5F6">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审批机关</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陕西省人民政府</w:t>
            </w:r>
            <w:r>
              <w:rPr>
                <w:rFonts w:hint="eastAsia" w:cs="Times New Roman"/>
                <w:color w:val="auto"/>
                <w:kern w:val="0"/>
                <w:sz w:val="24"/>
                <w:szCs w:val="24"/>
                <w:highlight w:val="none"/>
                <w:lang w:val="en-US" w:eastAsia="zh-CN"/>
              </w:rPr>
              <w:t>；</w:t>
            </w:r>
          </w:p>
          <w:p w14:paraId="08C6D436">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审批文件名称</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陕西省生态环境厅关于印发《陕西省汉江丹江流域涉金属矿产开发生态环境综合整治规划</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2021-2030年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》的通知</w:t>
            </w:r>
            <w:r>
              <w:rPr>
                <w:rFonts w:hint="eastAsia" w:cs="Times New Roman"/>
                <w:color w:val="auto"/>
                <w:kern w:val="0"/>
                <w:sz w:val="24"/>
                <w:szCs w:val="24"/>
                <w:highlight w:val="none"/>
                <w:lang w:val="en-US" w:eastAsia="zh-CN"/>
              </w:rPr>
              <w:t>；</w:t>
            </w:r>
          </w:p>
          <w:p w14:paraId="45FD897C">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文号</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陕环发</w:t>
            </w:r>
            <w:r>
              <w:rPr>
                <w:rFonts w:hint="eastAsia" w:cs="Times New Roman"/>
                <w:color w:val="auto"/>
                <w:kern w:val="0"/>
                <w:sz w:val="24"/>
                <w:szCs w:val="24"/>
                <w:highlight w:val="none"/>
                <w:lang w:val="en-US" w:eastAsia="zh-CN"/>
              </w:rPr>
              <w:t>〔2022〕44号</w:t>
            </w:r>
          </w:p>
        </w:tc>
      </w:tr>
      <w:tr w14:paraId="29D6E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554" w:type="dxa"/>
            <w:tcBorders>
              <w:tl2br w:val="nil"/>
              <w:tr2bl w:val="nil"/>
            </w:tcBorders>
            <w:noWrap w:val="0"/>
            <w:tcMar>
              <w:top w:w="16" w:type="dxa"/>
              <w:left w:w="16" w:type="dxa"/>
              <w:right w:w="16" w:type="dxa"/>
            </w:tcMar>
            <w:vAlign w:val="center"/>
          </w:tcPr>
          <w:p w14:paraId="3970F473">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规划环境影响评价情况</w:t>
            </w:r>
          </w:p>
        </w:tc>
        <w:tc>
          <w:tcPr>
            <w:tcW w:w="7701" w:type="dxa"/>
            <w:gridSpan w:val="4"/>
            <w:tcBorders>
              <w:tl2br w:val="nil"/>
              <w:tr2bl w:val="nil"/>
            </w:tcBorders>
            <w:noWrap w:val="0"/>
            <w:tcMar>
              <w:top w:w="16" w:type="dxa"/>
              <w:left w:w="16" w:type="dxa"/>
              <w:right w:w="16" w:type="dxa"/>
            </w:tcMar>
            <w:vAlign w:val="center"/>
          </w:tcPr>
          <w:p w14:paraId="400B98A1">
            <w:pPr>
              <w:keepNext w:val="0"/>
              <w:keepLines w:val="0"/>
              <w:pageBreakBefore w:val="0"/>
              <w:widowControl w:val="0"/>
              <w:kinsoku/>
              <w:wordWrap/>
              <w:overflowPunct/>
              <w:topLinePunct w:val="0"/>
              <w:bidi w:val="0"/>
              <w:adjustRightInd w:val="0"/>
              <w:snapToGrid w:val="0"/>
              <w:ind w:firstLine="480" w:firstLineChars="20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无</w:t>
            </w:r>
          </w:p>
        </w:tc>
      </w:tr>
      <w:tr w14:paraId="2DAA0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1554" w:type="dxa"/>
            <w:tcBorders>
              <w:tl2br w:val="nil"/>
              <w:tr2bl w:val="nil"/>
            </w:tcBorders>
            <w:noWrap w:val="0"/>
            <w:tcMar>
              <w:top w:w="16" w:type="dxa"/>
              <w:left w:w="16" w:type="dxa"/>
              <w:right w:w="16" w:type="dxa"/>
            </w:tcMar>
            <w:vAlign w:val="center"/>
          </w:tcPr>
          <w:p w14:paraId="3453077B">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w:t>
            </w:r>
            <w:r>
              <w:rPr>
                <w:rFonts w:hint="default" w:ascii="Times New Roman" w:hAnsi="Times New Roman" w:cs="Times New Roman"/>
                <w:color w:val="auto"/>
                <w:sz w:val="24"/>
                <w:szCs w:val="24"/>
                <w:highlight w:val="none"/>
              </w:rPr>
              <w:t>规划环境影响评价</w:t>
            </w:r>
            <w:r>
              <w:rPr>
                <w:rFonts w:hint="default" w:ascii="Times New Roman" w:hAnsi="Times New Roman" w:cs="Times New Roman"/>
                <w:color w:val="auto"/>
                <w:kern w:val="0"/>
                <w:sz w:val="24"/>
                <w:szCs w:val="24"/>
                <w:highlight w:val="none"/>
              </w:rPr>
              <w:t>符合性分析</w:t>
            </w:r>
          </w:p>
        </w:tc>
        <w:tc>
          <w:tcPr>
            <w:tcW w:w="7701" w:type="dxa"/>
            <w:gridSpan w:val="4"/>
            <w:tcBorders>
              <w:tl2br w:val="nil"/>
              <w:tr2bl w:val="nil"/>
            </w:tcBorders>
            <w:noWrap w:val="0"/>
            <w:tcMar>
              <w:top w:w="16" w:type="dxa"/>
              <w:left w:w="16" w:type="dxa"/>
              <w:right w:w="16" w:type="dxa"/>
            </w:tcMar>
            <w:vAlign w:val="center"/>
          </w:tcPr>
          <w:p w14:paraId="55821089">
            <w:pPr>
              <w:keepNext w:val="0"/>
              <w:keepLines w:val="0"/>
              <w:pageBreakBefore w:val="0"/>
              <w:widowControl w:val="0"/>
              <w:kinsoku/>
              <w:wordWrap/>
              <w:overflowPunct/>
              <w:topLinePunct w:val="0"/>
              <w:autoSpaceDE w:val="0"/>
              <w:autoSpaceDN w:val="0"/>
              <w:bidi w:val="0"/>
              <w:adjustRightInd w:val="0"/>
              <w:snapToGrid w:val="0"/>
              <w:ind w:firstLine="420" w:firstLineChars="200"/>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lang w:val="en-US" w:eastAsia="zh-CN"/>
              </w:rPr>
              <w:t>表1-1  本项目与相关规划的符合性分析</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769"/>
              <w:gridCol w:w="2563"/>
              <w:gridCol w:w="524"/>
            </w:tblGrid>
            <w:tr w14:paraId="2049B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41" w:type="dxa"/>
                  <w:tcBorders>
                    <w:tl2br w:val="nil"/>
                    <w:tr2bl w:val="nil"/>
                  </w:tcBorders>
                  <w:vAlign w:val="center"/>
                </w:tcPr>
                <w:p w14:paraId="524EB503">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文件</w:t>
                  </w:r>
                </w:p>
              </w:tc>
              <w:tc>
                <w:tcPr>
                  <w:tcW w:w="3769" w:type="dxa"/>
                  <w:tcBorders>
                    <w:tl2br w:val="nil"/>
                    <w:tr2bl w:val="nil"/>
                  </w:tcBorders>
                  <w:vAlign w:val="center"/>
                </w:tcPr>
                <w:p w14:paraId="2C2C175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要求</w:t>
                  </w:r>
                </w:p>
              </w:tc>
              <w:tc>
                <w:tcPr>
                  <w:tcW w:w="2563" w:type="dxa"/>
                  <w:tcBorders>
                    <w:tl2br w:val="nil"/>
                    <w:tr2bl w:val="nil"/>
                  </w:tcBorders>
                  <w:vAlign w:val="center"/>
                </w:tcPr>
                <w:p w14:paraId="686A6F76">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本项目情况</w:t>
                  </w:r>
                </w:p>
              </w:tc>
              <w:tc>
                <w:tcPr>
                  <w:tcW w:w="524" w:type="dxa"/>
                  <w:tcBorders>
                    <w:tl2br w:val="nil"/>
                    <w:tr2bl w:val="nil"/>
                  </w:tcBorders>
                  <w:vAlign w:val="center"/>
                </w:tcPr>
                <w:p w14:paraId="0B552A59">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结论</w:t>
                  </w:r>
                </w:p>
              </w:tc>
            </w:tr>
            <w:tr w14:paraId="7FDEE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41" w:type="dxa"/>
                  <w:vMerge w:val="restart"/>
                  <w:tcBorders>
                    <w:tl2br w:val="nil"/>
                    <w:tr2bl w:val="nil"/>
                  </w:tcBorders>
                  <w:vAlign w:val="center"/>
                </w:tcPr>
                <w:p w14:paraId="479E7AA4">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《陕西省汉江丹江流域涉金属矿产开发生态环境综合整治规划（2021-2030年）》</w:t>
                  </w:r>
                </w:p>
              </w:tc>
              <w:tc>
                <w:tcPr>
                  <w:tcW w:w="3769" w:type="dxa"/>
                  <w:tcBorders>
                    <w:tl2br w:val="nil"/>
                    <w:tr2bl w:val="nil"/>
                  </w:tcBorders>
                  <w:vAlign w:val="center"/>
                </w:tcPr>
                <w:p w14:paraId="1934D5EC">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西河片区为流域优先整治片区，零散矿渣优先采用原位阻隔封存+边坡防护+生态复绿工艺，配套挡渣、截排水工程阻断重金属淋滤扩散</w:t>
                  </w:r>
                </w:p>
              </w:tc>
              <w:tc>
                <w:tcPr>
                  <w:tcW w:w="2563" w:type="dxa"/>
                  <w:tcBorders>
                    <w:tl2br w:val="nil"/>
                    <w:tr2bl w:val="nil"/>
                  </w:tcBorders>
                  <w:vAlign w:val="center"/>
                </w:tcPr>
                <w:p w14:paraId="4175ECF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1.治理工艺采用规划推荐的原位封存阻隔+生态恢复技术；2.工程配套拦渣挡墙总长158m、环形+坡脚截排水渠总长</w:t>
                  </w:r>
                  <w:r>
                    <w:rPr>
                      <w:rFonts w:hint="eastAsia" w:cs="Times New Roman"/>
                      <w:color w:val="auto"/>
                      <w:kern w:val="0"/>
                      <w:sz w:val="21"/>
                      <w:szCs w:val="21"/>
                      <w:highlight w:val="none"/>
                      <w:vertAlign w:val="baseline"/>
                      <w:lang w:val="en-US" w:eastAsia="zh-CN"/>
                    </w:rPr>
                    <w:t>145.53</w:t>
                  </w:r>
                  <w:r>
                    <w:rPr>
                      <w:rFonts w:hint="default" w:ascii="Times New Roman" w:hAnsi="Times New Roman" w:eastAsia="宋体" w:cs="Times New Roman"/>
                      <w:color w:val="auto"/>
                      <w:kern w:val="0"/>
                      <w:sz w:val="21"/>
                      <w:szCs w:val="21"/>
                      <w:highlight w:val="none"/>
                      <w:vertAlign w:val="baseline"/>
                      <w:lang w:val="en-US" w:eastAsia="zh-CN"/>
                    </w:rPr>
                    <w:t>m，铺设1.5mmHDPE防渗膜</w:t>
                  </w:r>
                  <w:r>
                    <w:rPr>
                      <w:rFonts w:hint="eastAsia" w:cs="Times New Roman"/>
                      <w:color w:val="auto"/>
                      <w:kern w:val="0"/>
                      <w:sz w:val="21"/>
                      <w:szCs w:val="21"/>
                      <w:highlight w:val="none"/>
                      <w:vertAlign w:val="baseline"/>
                      <w:lang w:val="en-US" w:eastAsia="zh-CN"/>
                    </w:rPr>
                    <w:t>86849m</w:t>
                  </w:r>
                  <w:r>
                    <w:rPr>
                      <w:rFonts w:hint="eastAsia" w:cs="Times New Roman"/>
                      <w:color w:val="auto"/>
                      <w:kern w:val="0"/>
                      <w:sz w:val="21"/>
                      <w:szCs w:val="21"/>
                      <w:highlight w:val="none"/>
                      <w:vertAlign w:val="superscript"/>
                      <w:lang w:val="en-US" w:eastAsia="zh-CN"/>
                    </w:rPr>
                    <w:t>2</w:t>
                  </w:r>
                  <w:r>
                    <w:rPr>
                      <w:rFonts w:hint="default" w:ascii="Times New Roman" w:hAnsi="Times New Roman" w:eastAsia="宋体" w:cs="Times New Roman"/>
                      <w:color w:val="auto"/>
                      <w:kern w:val="0"/>
                      <w:sz w:val="21"/>
                      <w:szCs w:val="21"/>
                      <w:highlight w:val="none"/>
                      <w:vertAlign w:val="baseline"/>
                      <w:lang w:val="en-US" w:eastAsia="zh-CN"/>
                    </w:rPr>
                    <w:t>阻隔渗滤液；3.治理完成后复绿面积7207.51</w:t>
                  </w: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2</w:t>
                  </w:r>
                  <w:r>
                    <w:rPr>
                      <w:rFonts w:hint="default" w:ascii="Times New Roman" w:hAnsi="Times New Roman" w:eastAsia="宋体" w:cs="Times New Roman"/>
                      <w:color w:val="auto"/>
                      <w:kern w:val="0"/>
                      <w:sz w:val="21"/>
                      <w:szCs w:val="21"/>
                      <w:highlight w:val="none"/>
                      <w:vertAlign w:val="baseline"/>
                      <w:lang w:val="en-US" w:eastAsia="zh-CN"/>
                    </w:rPr>
                    <w:t>，同步消除滑坡、水石流地质灾害隐患</w:t>
                  </w:r>
                </w:p>
              </w:tc>
              <w:tc>
                <w:tcPr>
                  <w:tcW w:w="524" w:type="dxa"/>
                  <w:tcBorders>
                    <w:tl2br w:val="nil"/>
                    <w:tr2bl w:val="nil"/>
                  </w:tcBorders>
                  <w:vAlign w:val="center"/>
                </w:tcPr>
                <w:p w14:paraId="02612CBA">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0D4BB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641" w:type="dxa"/>
                  <w:vMerge w:val="continue"/>
                  <w:tcBorders>
                    <w:tl2br w:val="nil"/>
                    <w:tr2bl w:val="nil"/>
                  </w:tcBorders>
                  <w:vAlign w:val="center"/>
                </w:tcPr>
                <w:p w14:paraId="3A41A663">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p>
              </w:tc>
              <w:tc>
                <w:tcPr>
                  <w:tcW w:w="3769" w:type="dxa"/>
                  <w:tcBorders>
                    <w:tl2br w:val="nil"/>
                    <w:tr2bl w:val="nil"/>
                  </w:tcBorders>
                  <w:vAlign w:val="center"/>
                </w:tcPr>
                <w:p w14:paraId="113C9AA2">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秦岭水源涵养区治理工程严控水土流失，消除废渣砷、铅、锌等重金属向红岩河（汉江二级支流）迁移风险，地表水稳定满足GB3838-2002Ⅱ类标准</w:t>
                  </w:r>
                </w:p>
              </w:tc>
              <w:tc>
                <w:tcPr>
                  <w:tcW w:w="2563" w:type="dxa"/>
                  <w:tcBorders>
                    <w:tl2br w:val="nil"/>
                    <w:tr2bl w:val="nil"/>
                  </w:tcBorders>
                  <w:vAlign w:val="center"/>
                </w:tcPr>
                <w:p w14:paraId="6D8DBE1B">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1.渣堆削坡整形、分层夯实，布设三维植被网、分级平台防控水土流失；2.水平防渗层阻断雨水淋滤，杜绝重金属渗滤液直排红岩河；3.运营期每年开展地表水、土壤重金属监测，确保流域水质达标</w:t>
                  </w:r>
                </w:p>
              </w:tc>
              <w:tc>
                <w:tcPr>
                  <w:tcW w:w="524" w:type="dxa"/>
                  <w:vMerge w:val="restart"/>
                  <w:tcBorders>
                    <w:tl2br w:val="nil"/>
                    <w:tr2bl w:val="nil"/>
                  </w:tcBorders>
                  <w:vAlign w:val="center"/>
                </w:tcPr>
                <w:p w14:paraId="0044B98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58C69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90" w:hRule="atLeast"/>
                <w:jc w:val="center"/>
              </w:trPr>
              <w:tc>
                <w:tcPr>
                  <w:tcW w:w="641" w:type="dxa"/>
                  <w:vMerge w:val="continue"/>
                  <w:tcBorders>
                    <w:tl2br w:val="nil"/>
                    <w:tr2bl w:val="nil"/>
                  </w:tcBorders>
                  <w:vAlign w:val="center"/>
                </w:tcPr>
                <w:p w14:paraId="41ACB139">
                  <w:pPr>
                    <w:keepNext w:val="0"/>
                    <w:keepLines w:val="0"/>
                    <w:pageBreakBefore w:val="0"/>
                    <w:widowControl w:val="0"/>
                    <w:kinsoku/>
                    <w:wordWrap/>
                    <w:overflowPunct/>
                    <w:topLinePunct w:val="0"/>
                    <w:autoSpaceDE w:val="0"/>
                    <w:autoSpaceDN w:val="0"/>
                    <w:bidi w:val="0"/>
                    <w:adjustRightInd w:val="0"/>
                    <w:snapToGrid w:val="0"/>
                    <w:jc w:val="center"/>
                    <w:textAlignment w:val="auto"/>
                    <w:rPr>
                      <w:color w:val="auto"/>
                    </w:rPr>
                  </w:pPr>
                </w:p>
              </w:tc>
              <w:tc>
                <w:tcPr>
                  <w:tcW w:w="3769" w:type="dxa"/>
                  <w:tcBorders>
                    <w:tl2br w:val="nil"/>
                    <w:tr2bl w:val="nil"/>
                  </w:tcBorders>
                  <w:vAlign w:val="center"/>
                </w:tcPr>
                <w:p w14:paraId="3CB742B5">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针对</w:t>
                  </w:r>
                  <w:r>
                    <w:rPr>
                      <w:rFonts w:hint="eastAsia" w:cs="Times New Roman"/>
                      <w:color w:val="auto"/>
                      <w:kern w:val="0"/>
                      <w:sz w:val="21"/>
                      <w:szCs w:val="21"/>
                      <w:highlight w:val="none"/>
                      <w:vertAlign w:val="baseline"/>
                      <w:lang w:val="en-US" w:eastAsia="zh-CN"/>
                    </w:rPr>
                    <w:t>中央生态环境保护督察</w:t>
                  </w:r>
                  <w:r>
                    <w:rPr>
                      <w:rFonts w:hint="default" w:ascii="Times New Roman" w:hAnsi="Times New Roman" w:eastAsia="宋体" w:cs="Times New Roman"/>
                      <w:color w:val="auto"/>
                      <w:kern w:val="0"/>
                      <w:sz w:val="21"/>
                      <w:szCs w:val="21"/>
                      <w:highlight w:val="none"/>
                      <w:vertAlign w:val="baseline"/>
                      <w:lang w:val="en-US" w:eastAsia="zh-CN"/>
                    </w:rPr>
                    <w:t>反馈汉丹江流域无主废弃矿渣污染问题，属地政府承担无主盗采矿渣堆治理主体责任，纳入县级重点整治清单，2028年前完成销号清零</w:t>
                  </w:r>
                </w:p>
              </w:tc>
              <w:tc>
                <w:tcPr>
                  <w:tcW w:w="2563" w:type="dxa"/>
                  <w:tcBorders>
                    <w:tl2br w:val="nil"/>
                    <w:tr2bl w:val="nil"/>
                  </w:tcBorders>
                  <w:vAlign w:val="center"/>
                </w:tcPr>
                <w:p w14:paraId="0D14A56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本项目治理对象为太白县咀头镇古迹街村4处历史盗采无主铅锌金矿废渣堆，已纳入《太白县汉丹江流域涉金属矿产开发生态环境综合整治方案（2023-2030年）》重点治理清单；2.建设单位为宝鸡市生态环境局太白分局</w:t>
                  </w:r>
                  <w:r>
                    <w:rPr>
                      <w:rFonts w:hint="eastAsia" w:cs="Times New Roman"/>
                      <w:color w:val="auto"/>
                      <w:kern w:val="0"/>
                      <w:sz w:val="21"/>
                      <w:szCs w:val="21"/>
                      <w:highlight w:val="none"/>
                      <w:vertAlign w:val="baseline"/>
                      <w:lang w:val="en-US" w:eastAsia="zh-CN"/>
                    </w:rPr>
                    <w:t>，由</w:t>
                  </w:r>
                  <w:r>
                    <w:rPr>
                      <w:rFonts w:hint="default" w:ascii="Times New Roman" w:hAnsi="Times New Roman" w:eastAsia="宋体" w:cs="Times New Roman"/>
                      <w:color w:val="auto"/>
                      <w:kern w:val="0"/>
                      <w:sz w:val="21"/>
                      <w:szCs w:val="21"/>
                      <w:highlight w:val="none"/>
                      <w:vertAlign w:val="baseline"/>
                      <w:lang w:val="en-US" w:eastAsia="zh-CN"/>
                    </w:rPr>
                    <w:t>属地政府统筹实施；3.工程计划</w:t>
                  </w:r>
                  <w:r>
                    <w:rPr>
                      <w:rFonts w:hint="eastAsia" w:cs="Times New Roman"/>
                      <w:color w:val="auto"/>
                      <w:kern w:val="0"/>
                      <w:sz w:val="21"/>
                      <w:szCs w:val="21"/>
                      <w:highlight w:val="none"/>
                      <w:vertAlign w:val="baseline"/>
                      <w:lang w:val="en-US" w:eastAsia="zh-CN"/>
                    </w:rPr>
                    <w:t>7</w:t>
                  </w:r>
                  <w:r>
                    <w:rPr>
                      <w:rFonts w:hint="default" w:ascii="Times New Roman" w:hAnsi="Times New Roman" w:eastAsia="宋体" w:cs="Times New Roman"/>
                      <w:color w:val="auto"/>
                      <w:kern w:val="0"/>
                      <w:sz w:val="21"/>
                      <w:szCs w:val="21"/>
                      <w:highlight w:val="none"/>
                      <w:vertAlign w:val="baseline"/>
                      <w:lang w:val="en-US" w:eastAsia="zh-CN"/>
                    </w:rPr>
                    <w:t>个月完工，早于规划2028年12月底销号时限要求</w:t>
                  </w:r>
                </w:p>
              </w:tc>
              <w:tc>
                <w:tcPr>
                  <w:tcW w:w="524" w:type="dxa"/>
                  <w:vMerge w:val="continue"/>
                  <w:tcBorders>
                    <w:tl2br w:val="nil"/>
                    <w:tr2bl w:val="nil"/>
                  </w:tcBorders>
                  <w:vAlign w:val="center"/>
                </w:tcPr>
                <w:p w14:paraId="38E8622E">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p>
              </w:tc>
            </w:tr>
            <w:tr w14:paraId="1A21E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41" w:type="dxa"/>
                  <w:vMerge w:val="continue"/>
                  <w:tcBorders>
                    <w:tl2br w:val="nil"/>
                    <w:tr2bl w:val="nil"/>
                  </w:tcBorders>
                  <w:vAlign w:val="center"/>
                </w:tcPr>
                <w:p w14:paraId="46D409A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p>
              </w:tc>
              <w:tc>
                <w:tcPr>
                  <w:tcW w:w="3769" w:type="dxa"/>
                  <w:tcBorders>
                    <w:tl2br w:val="nil"/>
                    <w:tr2bl w:val="nil"/>
                  </w:tcBorders>
                  <w:vAlign w:val="center"/>
                </w:tcPr>
                <w:p w14:paraId="5A479440">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建立废渣治理台账，完工后开展专项验收，验收合格完成污染点位销号管理</w:t>
                  </w:r>
                </w:p>
              </w:tc>
              <w:tc>
                <w:tcPr>
                  <w:tcW w:w="2563" w:type="dxa"/>
                  <w:tcBorders>
                    <w:tl2br w:val="nil"/>
                    <w:tr2bl w:val="nil"/>
                  </w:tcBorders>
                  <w:vAlign w:val="center"/>
                </w:tcPr>
                <w:p w14:paraId="1901EAC5">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1.项目全过程留存勘查、施工、影像、监测资料，建立4处渣堆专项治理档案；2.工程竣工后</w:t>
                  </w:r>
                  <w:r>
                    <w:rPr>
                      <w:rFonts w:hint="eastAsia" w:cs="Times New Roman"/>
                      <w:color w:val="auto"/>
                      <w:kern w:val="0"/>
                      <w:sz w:val="21"/>
                      <w:szCs w:val="21"/>
                      <w:highlight w:val="none"/>
                      <w:vertAlign w:val="baseline"/>
                      <w:lang w:val="en-US" w:eastAsia="zh-CN"/>
                    </w:rPr>
                    <w:t>开展</w:t>
                  </w:r>
                  <w:r>
                    <w:rPr>
                      <w:rFonts w:hint="default" w:ascii="Times New Roman" w:hAnsi="Times New Roman" w:eastAsia="宋体" w:cs="Times New Roman"/>
                      <w:color w:val="auto"/>
                      <w:kern w:val="0"/>
                      <w:sz w:val="21"/>
                      <w:szCs w:val="21"/>
                      <w:highlight w:val="none"/>
                      <w:vertAlign w:val="baseline"/>
                      <w:lang w:val="en-US" w:eastAsia="zh-CN"/>
                    </w:rPr>
                    <w:t>验收，达标后向太白县政府申请点位销号</w:t>
                  </w:r>
                </w:p>
              </w:tc>
              <w:tc>
                <w:tcPr>
                  <w:tcW w:w="524" w:type="dxa"/>
                  <w:tcBorders>
                    <w:tl2br w:val="nil"/>
                    <w:tr2bl w:val="nil"/>
                  </w:tcBorders>
                  <w:vAlign w:val="center"/>
                </w:tcPr>
                <w:p w14:paraId="2BC4A82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bl>
          <w:p w14:paraId="16AA86E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b w:val="0"/>
                <w:bCs w:val="0"/>
                <w:color w:val="auto"/>
                <w:kern w:val="0"/>
                <w:sz w:val="24"/>
                <w:szCs w:val="24"/>
                <w:highlight w:val="none"/>
                <w:lang w:val="en-US" w:eastAsia="zh-CN"/>
              </w:rPr>
              <w:t>本项目完全对应《陕西省汉江丹江流域涉金属矿产开发生态环境综合整治规划（2021-2030年）》（陕环发〔2022〕44号）及宝鸡市配套整治方案明确的太白县西河片区无主矿渣治理任务。项目治理点位、废渣处置规模、治理技术路线、完工销号时限均与规划管控要求一一匹配，工程实施可彻底消除4处历史遗留废渣堆重金属污染及地质灾害隐患，筑牢汉江上游红岩河水源地生态安全屏障，满足流域涉金属矿山历史遗留问题综合整治全部管控要求，规划符合性良好。</w:t>
            </w:r>
          </w:p>
        </w:tc>
      </w:tr>
      <w:tr w14:paraId="33304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064" w:hRule="atLeast"/>
          <w:jc w:val="center"/>
        </w:trPr>
        <w:tc>
          <w:tcPr>
            <w:tcW w:w="1554" w:type="dxa"/>
            <w:tcBorders>
              <w:tl2br w:val="nil"/>
              <w:tr2bl w:val="nil"/>
            </w:tcBorders>
            <w:noWrap w:val="0"/>
            <w:tcMar>
              <w:top w:w="16" w:type="dxa"/>
              <w:left w:w="16" w:type="dxa"/>
              <w:right w:w="16" w:type="dxa"/>
            </w:tcMar>
            <w:vAlign w:val="center"/>
          </w:tcPr>
          <w:p w14:paraId="75BC76AB">
            <w:pPr>
              <w:autoSpaceDE w:val="0"/>
              <w:autoSpaceDN w:val="0"/>
              <w:adjustRightInd w:val="0"/>
              <w:snapToGrid w:val="0"/>
              <w:jc w:val="center"/>
              <w:rPr>
                <w:rFonts w:hint="default" w:ascii="Times New Roman" w:hAnsi="Times New Roman" w:cs="Times New Roman"/>
                <w:color w:val="auto"/>
                <w:kern w:val="0"/>
                <w:szCs w:val="21"/>
                <w:highlight w:val="none"/>
              </w:rPr>
            </w:pPr>
            <w:bookmarkStart w:id="3" w:name="_Hlk56690880"/>
            <w:r>
              <w:rPr>
                <w:rFonts w:hint="default" w:ascii="Times New Roman" w:hAnsi="Times New Roman" w:cs="Times New Roman"/>
                <w:color w:val="auto"/>
                <w:kern w:val="0"/>
                <w:sz w:val="24"/>
                <w:szCs w:val="24"/>
                <w:highlight w:val="none"/>
              </w:rPr>
              <w:t>其他符合性分析</w:t>
            </w:r>
            <w:bookmarkEnd w:id="3"/>
          </w:p>
        </w:tc>
        <w:tc>
          <w:tcPr>
            <w:tcW w:w="7701" w:type="dxa"/>
            <w:gridSpan w:val="4"/>
            <w:tcBorders>
              <w:tl2br w:val="nil"/>
              <w:tr2bl w:val="nil"/>
            </w:tcBorders>
            <w:noWrap w:val="0"/>
            <w:tcMar>
              <w:top w:w="16" w:type="dxa"/>
              <w:left w:w="16" w:type="dxa"/>
              <w:right w:w="16" w:type="dxa"/>
            </w:tcMar>
            <w:vAlign w:val="center"/>
          </w:tcPr>
          <w:p w14:paraId="7D4EC6E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b/>
                <w:bCs/>
                <w:color w:val="auto"/>
                <w:sz w:val="24"/>
                <w:szCs w:val="32"/>
                <w:highlight w:val="none"/>
                <w:lang w:val="en-US" w:eastAsia="zh-CN"/>
              </w:rPr>
            </w:pPr>
            <w:r>
              <w:rPr>
                <w:rFonts w:hint="eastAsia" w:cs="Times New Roman"/>
                <w:b/>
                <w:bCs/>
                <w:color w:val="auto"/>
                <w:sz w:val="24"/>
                <w:szCs w:val="32"/>
                <w:highlight w:val="none"/>
                <w:lang w:val="en-US" w:eastAsia="zh-CN"/>
              </w:rPr>
              <w:t>1.</w:t>
            </w:r>
            <w:r>
              <w:rPr>
                <w:rFonts w:hint="default" w:ascii="Times New Roman" w:hAnsi="Times New Roman" w:eastAsia="宋体" w:cs="Times New Roman"/>
                <w:b/>
                <w:bCs/>
                <w:color w:val="auto"/>
                <w:sz w:val="24"/>
                <w:szCs w:val="32"/>
                <w:highlight w:val="none"/>
                <w:lang w:val="en-US" w:eastAsia="zh-CN"/>
              </w:rPr>
              <w:t>与“三线一单”符合性分析</w:t>
            </w:r>
          </w:p>
          <w:p w14:paraId="32148F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32"/>
                <w:highlight w:val="none"/>
                <w:lang w:val="en-US" w:eastAsia="zh-CN"/>
              </w:rPr>
            </w:pPr>
            <w:r>
              <w:rPr>
                <w:rFonts w:hint="default" w:ascii="Times New Roman" w:hAnsi="Times New Roman" w:cs="Times New Roman"/>
                <w:color w:val="auto"/>
                <w:sz w:val="24"/>
                <w:szCs w:val="32"/>
                <w:highlight w:val="none"/>
                <w:lang w:val="en-US" w:eastAsia="zh-CN"/>
              </w:rPr>
              <w:t>根据《陕西省人民政府关于加快实施“三线一单”生态环境分区管控的意见》（陕政发</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2020</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11号）、《宝鸡市“三线一单”生态环境分区管控实施方案》（宝政发</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2021</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19号）、《陕西省“三线一单”生态环境分区管控应用技术指南-环境影响评价（试行）》（陕环办发</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2022</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6号）的通知，项目与环境管控单元比对，项目位于</w:t>
            </w:r>
            <w:r>
              <w:rPr>
                <w:rFonts w:hint="eastAsia" w:cs="Times New Roman"/>
                <w:color w:val="auto"/>
                <w:sz w:val="24"/>
                <w:szCs w:val="32"/>
                <w:highlight w:val="none"/>
                <w:lang w:val="en-US" w:eastAsia="zh-CN"/>
              </w:rPr>
              <w:t>优先保护单元。</w:t>
            </w:r>
          </w:p>
          <w:p w14:paraId="515AD19B">
            <w:pPr>
              <w:pStyle w:val="12"/>
              <w:keepNext w:val="0"/>
              <w:keepLines w:val="0"/>
              <w:pageBreakBefore w:val="0"/>
              <w:widowControl w:val="0"/>
              <w:numPr>
                <w:ilvl w:val="0"/>
                <w:numId w:val="1"/>
              </w:numPr>
              <w:kinsoku/>
              <w:wordWrap/>
              <w:overflowPunct/>
              <w:topLinePunct w:val="0"/>
              <w:autoSpaceDE/>
              <w:autoSpaceDN/>
              <w:bidi w:val="0"/>
              <w:adjustRightInd/>
              <w:snapToGrid w:val="0"/>
              <w:spacing w:line="240" w:lineRule="auto"/>
              <w:ind w:left="0" w:leftChars="0" w:firstLine="480" w:firstLineChars="200"/>
              <w:textAlignment w:val="auto"/>
              <w:rPr>
                <w:rFonts w:hint="eastAsia" w:cs="Times New Roman"/>
                <w:b/>
                <w:bCs/>
                <w:color w:val="auto"/>
                <w:sz w:val="24"/>
                <w:szCs w:val="24"/>
                <w:highlight w:val="none"/>
                <w:lang w:eastAsia="zh-CN"/>
              </w:rPr>
            </w:pPr>
            <w:r>
              <w:rPr>
                <w:rFonts w:hint="eastAsia" w:cs="Times New Roman"/>
                <w:b/>
                <w:bCs/>
                <w:color w:val="auto"/>
                <w:sz w:val="24"/>
                <w:szCs w:val="24"/>
                <w:highlight w:val="none"/>
                <w:lang w:eastAsia="zh-CN"/>
              </w:rPr>
              <w:t>项目与环境管控单元对照分析示意图</w:t>
            </w:r>
          </w:p>
          <w:p w14:paraId="59F5860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b/>
                <w:bCs/>
                <w:color w:val="auto"/>
                <w:sz w:val="24"/>
                <w:szCs w:val="32"/>
                <w:highlight w:val="none"/>
              </w:rPr>
            </w:pPr>
            <w:r>
              <w:rPr>
                <w:b/>
                <w:bCs/>
                <w:color w:val="auto"/>
              </w:rPr>
              <w:drawing>
                <wp:inline distT="0" distB="0" distL="114300" distR="114300">
                  <wp:extent cx="3821430" cy="4481830"/>
                  <wp:effectExtent l="0" t="0" r="762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3821430" cy="4481830"/>
                          </a:xfrm>
                          <a:prstGeom prst="rect">
                            <a:avLst/>
                          </a:prstGeom>
                          <a:noFill/>
                          <a:ln>
                            <a:noFill/>
                          </a:ln>
                        </pic:spPr>
                      </pic:pic>
                    </a:graphicData>
                  </a:graphic>
                </wp:inline>
              </w:drawing>
            </w:r>
          </w:p>
          <w:p w14:paraId="4E44B12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4"/>
                <w:szCs w:val="24"/>
                <w:highlight w:val="none"/>
                <w:lang w:eastAsia="zh-CN"/>
              </w:rPr>
            </w:pPr>
            <w:r>
              <w:rPr>
                <w:rFonts w:hint="eastAsia"/>
                <w:b/>
                <w:bCs/>
                <w:vanish w:val="0"/>
                <w:color w:val="auto"/>
                <w:sz w:val="21"/>
                <w:szCs w:val="20"/>
                <w:lang w:val="en-US" w:eastAsia="zh-CN"/>
              </w:rPr>
              <w:t xml:space="preserve">图1-1 </w:t>
            </w:r>
            <w:r>
              <w:rPr>
                <w:rFonts w:hint="eastAsia" w:ascii="Times New Roman" w:hAnsi="Times New Roman" w:eastAsia="宋体" w:cs="宋体"/>
                <w:b/>
                <w:bCs/>
                <w:vanish w:val="0"/>
                <w:color w:val="auto"/>
                <w:sz w:val="21"/>
                <w:szCs w:val="20"/>
                <w:lang w:val="en-US" w:eastAsia="zh-CN"/>
              </w:rPr>
              <w:t>项目</w:t>
            </w:r>
            <w:r>
              <w:rPr>
                <w:rFonts w:hint="eastAsia" w:cs="宋体"/>
                <w:b/>
                <w:bCs/>
                <w:vanish w:val="0"/>
                <w:color w:val="auto"/>
                <w:sz w:val="21"/>
                <w:szCs w:val="20"/>
                <w:lang w:val="en-US" w:eastAsia="zh-CN"/>
              </w:rPr>
              <w:t>在</w:t>
            </w:r>
            <w:r>
              <w:rPr>
                <w:rFonts w:hint="eastAsia" w:eastAsia="宋体" w:cs="宋体"/>
                <w:b/>
                <w:bCs/>
                <w:vanish w:val="0"/>
                <w:color w:val="auto"/>
                <w:sz w:val="21"/>
                <w:szCs w:val="20"/>
                <w:lang w:val="en-US" w:eastAsia="zh-CN"/>
              </w:rPr>
              <w:t>陕西省</w:t>
            </w:r>
            <w:r>
              <w:rPr>
                <w:rFonts w:hint="default" w:ascii="Times New Roman" w:hAnsi="Times New Roman" w:eastAsia="宋体" w:cs="宋体"/>
                <w:b/>
                <w:bCs/>
                <w:vanish w:val="0"/>
                <w:color w:val="auto"/>
                <w:sz w:val="21"/>
                <w:szCs w:val="20"/>
                <w:lang w:val="en-US" w:eastAsia="zh-CN"/>
              </w:rPr>
              <w:t>生态环境分区管控方案</w:t>
            </w:r>
            <w:r>
              <w:rPr>
                <w:rFonts w:hint="eastAsia" w:cs="宋体"/>
                <w:b/>
                <w:bCs/>
                <w:vanish w:val="0"/>
                <w:color w:val="auto"/>
                <w:sz w:val="21"/>
                <w:szCs w:val="20"/>
                <w:lang w:val="en-US" w:eastAsia="zh-CN"/>
              </w:rPr>
              <w:t>中的</w:t>
            </w:r>
            <w:r>
              <w:rPr>
                <w:rFonts w:hint="eastAsia" w:ascii="Times New Roman" w:hAnsi="Times New Roman" w:eastAsia="宋体" w:cs="宋体"/>
                <w:b/>
                <w:bCs/>
                <w:vanish w:val="0"/>
                <w:color w:val="auto"/>
                <w:sz w:val="21"/>
                <w:szCs w:val="20"/>
                <w:lang w:val="en-US" w:eastAsia="zh-CN"/>
              </w:rPr>
              <w:t>位置</w:t>
            </w:r>
          </w:p>
          <w:p w14:paraId="10A14F6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“一表”，项目涉及的生态环境管控单元准入清单</w:t>
            </w:r>
          </w:p>
          <w:p w14:paraId="53A313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highlight w:val="none"/>
              </w:rPr>
            </w:pPr>
            <w:r>
              <w:rPr>
                <w:rFonts w:hint="default" w:ascii="Times New Roman" w:hAnsi="Times New Roman" w:cs="Times New Roman"/>
                <w:b w:val="0"/>
                <w:bCs w:val="0"/>
                <w:color w:val="auto"/>
                <w:sz w:val="24"/>
                <w:szCs w:val="24"/>
                <w:highlight w:val="none"/>
                <w:lang w:val="en-US" w:eastAsia="zh-CN"/>
              </w:rPr>
              <w:t>根据陕西省“三线一单”数据应用管理平台数据分析，项目涉及环境管控单元管控要求如下</w:t>
            </w:r>
            <w:r>
              <w:rPr>
                <w:rFonts w:hint="eastAsia" w:cs="Times New Roman"/>
                <w:b w:val="0"/>
                <w:bCs w:val="0"/>
                <w:color w:val="auto"/>
                <w:sz w:val="24"/>
                <w:szCs w:val="24"/>
                <w:highlight w:val="none"/>
                <w:lang w:val="en-US" w:eastAsia="zh-CN"/>
              </w:rPr>
              <w:t>表所示</w:t>
            </w:r>
            <w:r>
              <w:rPr>
                <w:rFonts w:hint="default" w:ascii="Times New Roman" w:hAnsi="Times New Roman" w:eastAsia="宋体" w:cs="Times New Roman"/>
                <w:color w:val="auto"/>
                <w:sz w:val="24"/>
                <w:szCs w:val="32"/>
                <w:highlight w:val="none"/>
              </w:rPr>
              <w:t>。</w:t>
            </w:r>
          </w:p>
          <w:p w14:paraId="40064B9E">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表1-2 环境管控单元涉及情况</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90"/>
              <w:gridCol w:w="3090"/>
            </w:tblGrid>
            <w:tr w14:paraId="2E144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090" w:type="dxa"/>
                  <w:tcBorders>
                    <w:tl2br w:val="nil"/>
                    <w:tr2bl w:val="nil"/>
                  </w:tcBorders>
                  <w:vAlign w:val="center"/>
                </w:tcPr>
                <w:p w14:paraId="6D8A57B7">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环境管控单元分类</w:t>
                  </w:r>
                </w:p>
              </w:tc>
              <w:tc>
                <w:tcPr>
                  <w:tcW w:w="3090" w:type="dxa"/>
                  <w:tcBorders>
                    <w:tl2br w:val="nil"/>
                    <w:tr2bl w:val="nil"/>
                  </w:tcBorders>
                  <w:vAlign w:val="center"/>
                </w:tcPr>
                <w:p w14:paraId="2D80CD1A">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面积</w:t>
                  </w:r>
                </w:p>
              </w:tc>
            </w:tr>
            <w:tr w14:paraId="3DA5A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3090" w:type="dxa"/>
                  <w:tcBorders>
                    <w:tl2br w:val="nil"/>
                    <w:tr2bl w:val="nil"/>
                  </w:tcBorders>
                  <w:vAlign w:val="center"/>
                </w:tcPr>
                <w:p w14:paraId="3EB20B37">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优先保护单元</w:t>
                  </w:r>
                </w:p>
              </w:tc>
              <w:tc>
                <w:tcPr>
                  <w:tcW w:w="3090" w:type="dxa"/>
                  <w:tcBorders>
                    <w:tl2br w:val="nil"/>
                    <w:tr2bl w:val="nil"/>
                  </w:tcBorders>
                  <w:vAlign w:val="center"/>
                </w:tcPr>
                <w:p w14:paraId="02E42BE8">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7207.51平方米</w:t>
                  </w:r>
                </w:p>
              </w:tc>
            </w:tr>
            <w:tr w14:paraId="7B759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3090" w:type="dxa"/>
                  <w:tcBorders>
                    <w:tl2br w:val="nil"/>
                    <w:tr2bl w:val="nil"/>
                  </w:tcBorders>
                  <w:vAlign w:val="center"/>
                </w:tcPr>
                <w:p w14:paraId="117C4721">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重点管控单元</w:t>
                  </w:r>
                </w:p>
              </w:tc>
              <w:tc>
                <w:tcPr>
                  <w:tcW w:w="3090" w:type="dxa"/>
                  <w:tcBorders>
                    <w:tl2br w:val="nil"/>
                    <w:tr2bl w:val="nil"/>
                  </w:tcBorders>
                  <w:vAlign w:val="center"/>
                </w:tcPr>
                <w:p w14:paraId="57EC5D03">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0</w:t>
                  </w:r>
                </w:p>
              </w:tc>
            </w:tr>
            <w:tr w14:paraId="6CCDC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3090" w:type="dxa"/>
                  <w:tcBorders>
                    <w:tl2br w:val="nil"/>
                    <w:tr2bl w:val="nil"/>
                  </w:tcBorders>
                  <w:vAlign w:val="center"/>
                </w:tcPr>
                <w:p w14:paraId="2691B34E">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一般管控单元</w:t>
                  </w:r>
                </w:p>
              </w:tc>
              <w:tc>
                <w:tcPr>
                  <w:tcW w:w="3090" w:type="dxa"/>
                  <w:tcBorders>
                    <w:tl2br w:val="nil"/>
                    <w:tr2bl w:val="nil"/>
                  </w:tcBorders>
                  <w:vAlign w:val="center"/>
                </w:tcPr>
                <w:p w14:paraId="1F760652">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0</w:t>
                  </w:r>
                </w:p>
              </w:tc>
            </w:tr>
          </w:tbl>
          <w:p w14:paraId="0D007A0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highlight w:val="none"/>
                <w:lang w:val="en-US" w:eastAsia="zh-CN"/>
              </w:rPr>
            </w:pPr>
          </w:p>
        </w:tc>
      </w:tr>
    </w:tbl>
    <w:p w14:paraId="18B066B5">
      <w:pPr>
        <w:rPr>
          <w:color w:val="auto"/>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14"/>
        <w:tblW w:w="153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27"/>
        <w:gridCol w:w="14892"/>
      </w:tblGrid>
      <w:tr w14:paraId="0790B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23" w:hRule="atLeast"/>
          <w:jc w:val="center"/>
        </w:trPr>
        <w:tc>
          <w:tcPr>
            <w:tcW w:w="427" w:type="dxa"/>
            <w:tcBorders>
              <w:tl2br w:val="nil"/>
              <w:tr2bl w:val="nil"/>
            </w:tcBorders>
            <w:noWrap w:val="0"/>
            <w:tcMar>
              <w:top w:w="16" w:type="dxa"/>
              <w:left w:w="16" w:type="dxa"/>
              <w:right w:w="16" w:type="dxa"/>
            </w:tcMar>
            <w:vAlign w:val="center"/>
          </w:tcPr>
          <w:p w14:paraId="4679A119">
            <w:pPr>
              <w:autoSpaceDE w:val="0"/>
              <w:autoSpaceDN w:val="0"/>
              <w:adjustRightInd w:val="0"/>
              <w:snapToGrid w:val="0"/>
              <w:jc w:val="center"/>
              <w:rPr>
                <w:rFonts w:hint="default" w:ascii="Times New Roman" w:hAnsi="Times New Roman" w:cs="Times New Roman"/>
                <w:color w:val="auto"/>
                <w:kern w:val="0"/>
                <w:sz w:val="24"/>
                <w:szCs w:val="24"/>
                <w:highlight w:val="none"/>
              </w:rPr>
            </w:pPr>
          </w:p>
        </w:tc>
        <w:tc>
          <w:tcPr>
            <w:tcW w:w="14892" w:type="dxa"/>
            <w:tcBorders>
              <w:tl2br w:val="nil"/>
              <w:tr2bl w:val="nil"/>
            </w:tcBorders>
            <w:noWrap w:val="0"/>
            <w:tcMar>
              <w:top w:w="16" w:type="dxa"/>
              <w:left w:w="16" w:type="dxa"/>
              <w:right w:w="16" w:type="dxa"/>
            </w:tcMar>
            <w:vAlign w:val="center"/>
          </w:tcPr>
          <w:p w14:paraId="06043E1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b/>
                <w:bCs/>
                <w:color w:val="auto"/>
                <w:kern w:val="0"/>
                <w:sz w:val="21"/>
                <w:szCs w:val="21"/>
                <w:highlight w:val="none"/>
                <w:lang w:val="en-US" w:eastAsia="zh-CN" w:bidi="ar"/>
              </w:rPr>
              <w:t>表1</w:t>
            </w:r>
            <w:r>
              <w:rPr>
                <w:rFonts w:hint="default" w:ascii="Times New Roman" w:hAnsi="Times New Roman" w:cs="Times New Roman"/>
                <w:b/>
                <w:bCs/>
                <w:color w:val="auto"/>
                <w:kern w:val="0"/>
                <w:sz w:val="21"/>
                <w:szCs w:val="21"/>
                <w:highlight w:val="none"/>
                <w:lang w:val="en-US" w:eastAsia="zh-CN" w:bidi="ar"/>
              </w:rPr>
              <w:t>-</w:t>
            </w:r>
            <w:r>
              <w:rPr>
                <w:rFonts w:hint="eastAsia" w:cs="Times New Roman"/>
                <w:b/>
                <w:bCs/>
                <w:color w:val="auto"/>
                <w:kern w:val="0"/>
                <w:sz w:val="21"/>
                <w:szCs w:val="21"/>
                <w:highlight w:val="none"/>
                <w:lang w:val="en-US" w:eastAsia="zh-CN" w:bidi="ar"/>
              </w:rPr>
              <w:t xml:space="preserve">3 </w:t>
            </w:r>
            <w:r>
              <w:rPr>
                <w:rFonts w:hint="default" w:ascii="Times New Roman" w:hAnsi="Times New Roman" w:eastAsia="宋体" w:cs="Times New Roman"/>
                <w:b/>
                <w:bCs/>
                <w:color w:val="auto"/>
                <w:kern w:val="0"/>
                <w:sz w:val="21"/>
                <w:szCs w:val="21"/>
                <w:highlight w:val="none"/>
                <w:lang w:val="en-US" w:eastAsia="zh-CN" w:bidi="ar"/>
              </w:rPr>
              <w:t>项目与</w:t>
            </w:r>
            <w:r>
              <w:rPr>
                <w:rFonts w:hint="eastAsia" w:cs="Times New Roman"/>
                <w:b/>
                <w:bCs/>
                <w:color w:val="auto"/>
                <w:kern w:val="0"/>
                <w:sz w:val="21"/>
                <w:szCs w:val="21"/>
                <w:highlight w:val="none"/>
                <w:lang w:val="en-US" w:eastAsia="zh-CN" w:bidi="ar"/>
              </w:rPr>
              <w:t>“三线一单”</w:t>
            </w:r>
            <w:r>
              <w:rPr>
                <w:rFonts w:hint="default" w:ascii="Times New Roman" w:hAnsi="Times New Roman" w:cs="Times New Roman"/>
                <w:b/>
                <w:bCs/>
                <w:color w:val="auto"/>
                <w:kern w:val="0"/>
                <w:sz w:val="21"/>
                <w:szCs w:val="21"/>
                <w:highlight w:val="none"/>
                <w:lang w:val="en-US" w:eastAsia="zh-CN" w:bidi="ar"/>
              </w:rPr>
              <w:t>符合性分析</w:t>
            </w:r>
          </w:p>
          <w:tbl>
            <w:tblPr>
              <w:tblStyle w:val="15"/>
              <w:tblW w:w="147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7"/>
              <w:gridCol w:w="941"/>
              <w:gridCol w:w="313"/>
              <w:gridCol w:w="709"/>
              <w:gridCol w:w="784"/>
              <w:gridCol w:w="723"/>
              <w:gridCol w:w="8277"/>
              <w:gridCol w:w="2086"/>
              <w:gridCol w:w="614"/>
            </w:tblGrid>
            <w:tr w14:paraId="653A8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07" w:type="dxa"/>
                  <w:tcBorders>
                    <w:tl2br w:val="nil"/>
                    <w:tr2bl w:val="nil"/>
                  </w:tcBorders>
                  <w:noWrap w:val="0"/>
                  <w:vAlign w:val="center"/>
                </w:tcPr>
                <w:p w14:paraId="02E53F14">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序号</w:t>
                  </w:r>
                </w:p>
              </w:tc>
              <w:tc>
                <w:tcPr>
                  <w:tcW w:w="941" w:type="dxa"/>
                  <w:tcBorders>
                    <w:tl2br w:val="nil"/>
                    <w:tr2bl w:val="nil"/>
                  </w:tcBorders>
                  <w:noWrap w:val="0"/>
                  <w:vAlign w:val="center"/>
                </w:tcPr>
                <w:p w14:paraId="77D0B3A8">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环境管控单元名称</w:t>
                  </w:r>
                </w:p>
              </w:tc>
              <w:tc>
                <w:tcPr>
                  <w:tcW w:w="313" w:type="dxa"/>
                  <w:tcBorders>
                    <w:tl2br w:val="nil"/>
                    <w:tr2bl w:val="nil"/>
                  </w:tcBorders>
                  <w:noWrap w:val="0"/>
                  <w:vAlign w:val="center"/>
                </w:tcPr>
                <w:p w14:paraId="1D090A2B">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区县</w:t>
                  </w:r>
                </w:p>
              </w:tc>
              <w:tc>
                <w:tcPr>
                  <w:tcW w:w="709" w:type="dxa"/>
                  <w:tcBorders>
                    <w:tl2br w:val="nil"/>
                    <w:tr2bl w:val="nil"/>
                  </w:tcBorders>
                  <w:noWrap w:val="0"/>
                  <w:vAlign w:val="center"/>
                </w:tcPr>
                <w:p w14:paraId="3040A273">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市（区）</w:t>
                  </w:r>
                </w:p>
              </w:tc>
              <w:tc>
                <w:tcPr>
                  <w:tcW w:w="784" w:type="dxa"/>
                  <w:tcBorders>
                    <w:tl2br w:val="nil"/>
                    <w:tr2bl w:val="nil"/>
                  </w:tcBorders>
                  <w:noWrap w:val="0"/>
                  <w:vAlign w:val="center"/>
                </w:tcPr>
                <w:p w14:paraId="3C15563B">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单元要素属性</w:t>
                  </w:r>
                </w:p>
              </w:tc>
              <w:tc>
                <w:tcPr>
                  <w:tcW w:w="723" w:type="dxa"/>
                  <w:tcBorders>
                    <w:tl2br w:val="nil"/>
                    <w:tr2bl w:val="nil"/>
                  </w:tcBorders>
                  <w:noWrap w:val="0"/>
                  <w:vAlign w:val="center"/>
                </w:tcPr>
                <w:p w14:paraId="72683297">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管控要求分类</w:t>
                  </w:r>
                </w:p>
              </w:tc>
              <w:tc>
                <w:tcPr>
                  <w:tcW w:w="8277" w:type="dxa"/>
                  <w:tcBorders>
                    <w:tl2br w:val="nil"/>
                    <w:tr2bl w:val="nil"/>
                  </w:tcBorders>
                  <w:noWrap w:val="0"/>
                  <w:vAlign w:val="center"/>
                </w:tcPr>
                <w:p w14:paraId="6561F8DC">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管控要求</w:t>
                  </w:r>
                </w:p>
              </w:tc>
              <w:tc>
                <w:tcPr>
                  <w:tcW w:w="2086" w:type="dxa"/>
                  <w:tcBorders>
                    <w:tl2br w:val="nil"/>
                    <w:tr2bl w:val="nil"/>
                  </w:tcBorders>
                  <w:noWrap w:val="0"/>
                  <w:vAlign w:val="center"/>
                </w:tcPr>
                <w:p w14:paraId="1365BD49">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项目情况</w:t>
                  </w:r>
                </w:p>
              </w:tc>
              <w:tc>
                <w:tcPr>
                  <w:tcW w:w="614" w:type="dxa"/>
                  <w:tcBorders>
                    <w:tl2br w:val="nil"/>
                    <w:tr2bl w:val="nil"/>
                  </w:tcBorders>
                  <w:noWrap w:val="0"/>
                  <w:vAlign w:val="center"/>
                </w:tcPr>
                <w:p w14:paraId="666F2A73">
                  <w:pPr>
                    <w:pStyle w:val="19"/>
                    <w:jc w:val="center"/>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相符性</w:t>
                  </w:r>
                </w:p>
              </w:tc>
            </w:tr>
            <w:tr w14:paraId="67D39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7" w:type="dxa"/>
                  <w:tcBorders>
                    <w:tl2br w:val="nil"/>
                    <w:tr2bl w:val="nil"/>
                  </w:tcBorders>
                  <w:noWrap w:val="0"/>
                  <w:vAlign w:val="center"/>
                </w:tcPr>
                <w:p w14:paraId="7C72837E">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941" w:type="dxa"/>
                  <w:tcBorders>
                    <w:tl2br w:val="nil"/>
                    <w:tr2bl w:val="nil"/>
                  </w:tcBorders>
                  <w:noWrap w:val="0"/>
                  <w:vAlign w:val="center"/>
                </w:tcPr>
                <w:p w14:paraId="69D0E2EE">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陕西省太白县优先保护单元2</w:t>
                  </w:r>
                </w:p>
              </w:tc>
              <w:tc>
                <w:tcPr>
                  <w:tcW w:w="313" w:type="dxa"/>
                  <w:tcBorders>
                    <w:tl2br w:val="nil"/>
                    <w:tr2bl w:val="nil"/>
                  </w:tcBorders>
                  <w:noWrap w:val="0"/>
                  <w:vAlign w:val="center"/>
                </w:tcPr>
                <w:p w14:paraId="7ADC0D28">
                  <w:pPr>
                    <w:pStyle w:val="19"/>
                    <w:jc w:val="center"/>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宝鸡市</w:t>
                  </w:r>
                </w:p>
              </w:tc>
              <w:tc>
                <w:tcPr>
                  <w:tcW w:w="709" w:type="dxa"/>
                  <w:tcBorders>
                    <w:tl2br w:val="nil"/>
                    <w:tr2bl w:val="nil"/>
                  </w:tcBorders>
                  <w:noWrap w:val="0"/>
                  <w:vAlign w:val="center"/>
                </w:tcPr>
                <w:p w14:paraId="40F3C146">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太白县</w:t>
                  </w:r>
                </w:p>
              </w:tc>
              <w:tc>
                <w:tcPr>
                  <w:tcW w:w="784" w:type="dxa"/>
                  <w:tcBorders>
                    <w:tl2br w:val="nil"/>
                    <w:tr2bl w:val="nil"/>
                  </w:tcBorders>
                  <w:noWrap w:val="0"/>
                  <w:vAlign w:val="center"/>
                </w:tcPr>
                <w:p w14:paraId="0F3EB492">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水环境优先保护区、一般生态空间、秦岭</w:t>
                  </w:r>
                  <w:r>
                    <w:rPr>
                      <w:rFonts w:hint="eastAsia" w:cs="Times New Roman"/>
                      <w:b w:val="0"/>
                      <w:bCs w:val="0"/>
                      <w:color w:val="auto"/>
                      <w:sz w:val="21"/>
                      <w:szCs w:val="21"/>
                      <w:highlight w:val="none"/>
                      <w:vertAlign w:val="baseline"/>
                      <w:lang w:val="en-US" w:eastAsia="zh-CN"/>
                    </w:rPr>
                    <w:t>重点保护区、一般生态空间-国家二级公益林</w:t>
                  </w:r>
                </w:p>
              </w:tc>
              <w:tc>
                <w:tcPr>
                  <w:tcW w:w="723" w:type="dxa"/>
                  <w:tcBorders>
                    <w:tl2br w:val="nil"/>
                    <w:tr2bl w:val="nil"/>
                  </w:tcBorders>
                  <w:noWrap w:val="0"/>
                  <w:vAlign w:val="center"/>
                </w:tcPr>
                <w:p w14:paraId="359053B3">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空间布局约束</w:t>
                  </w:r>
                </w:p>
              </w:tc>
              <w:tc>
                <w:tcPr>
                  <w:tcW w:w="8277" w:type="dxa"/>
                  <w:tcBorders>
                    <w:tl2br w:val="nil"/>
                    <w:tr2bl w:val="nil"/>
                  </w:tcBorders>
                  <w:noWrap w:val="0"/>
                  <w:vAlign w:val="center"/>
                </w:tcPr>
                <w:p w14:paraId="69F106DF">
                  <w:pPr>
                    <w:pStyle w:val="19"/>
                    <w:numPr>
                      <w:ilvl w:val="0"/>
                      <w:numId w:val="0"/>
                    </w:numPr>
                    <w:jc w:val="both"/>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水环境优先保护区</w:t>
                  </w:r>
                  <w:r>
                    <w:rPr>
                      <w:rFonts w:hint="eastAsia" w:cs="Times New Roman"/>
                      <w:b/>
                      <w:bCs/>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1.强化江河源头和饮用水水源地保护。加强主要江河源头、重要水源涵养地的水环境保护，划定禁止开发范围。依法划定和保护饮用水水源保护区，加强水土流失和面源污染防治，严格管控入河排污口，严格河道采砂管理，维系江河湖库健康生命。</w:t>
                  </w:r>
                </w:p>
                <w:p w14:paraId="4BFFE700">
                  <w:pPr>
                    <w:pStyle w:val="19"/>
                    <w:numPr>
                      <w:ilvl w:val="0"/>
                      <w:numId w:val="0"/>
                    </w:numPr>
                    <w:jc w:val="both"/>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一般生态空间</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原则上按照限制开发区进行管理。功能属性单一、管控要求明确的一般生态空间，按照生态功能属性的既有规定实施管理</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具有多重功能属性</w:t>
                  </w:r>
                  <w:r>
                    <w:rPr>
                      <w:rFonts w:hint="eastAsia" w:cs="Times New Roman"/>
                      <w:b w:val="0"/>
                      <w:bCs w:val="0"/>
                      <w:color w:val="auto"/>
                      <w:sz w:val="21"/>
                      <w:szCs w:val="21"/>
                      <w:highlight w:val="none"/>
                      <w:vertAlign w:val="baseline"/>
                      <w:lang w:val="en-US" w:eastAsia="zh-CN"/>
                    </w:rPr>
                    <w:t>且</w:t>
                  </w:r>
                  <w:r>
                    <w:rPr>
                      <w:rFonts w:hint="default" w:ascii="Times New Roman" w:hAnsi="Times New Roman" w:cs="Times New Roman"/>
                      <w:b w:val="0"/>
                      <w:bCs w:val="0"/>
                      <w:color w:val="auto"/>
                      <w:sz w:val="21"/>
                      <w:szCs w:val="21"/>
                      <w:highlight w:val="none"/>
                      <w:vertAlign w:val="baseline"/>
                      <w:lang w:val="en-US" w:eastAsia="zh-CN"/>
                    </w:rPr>
                    <w:t>均有既有管理要求的一般生态空间，按照管控要求的严格程度，从严管理</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尚未明确管理要求的一般生态空间，以保护为主，限制有损主导生态服务功能的开发建设活动。</w:t>
                  </w:r>
                </w:p>
                <w:p w14:paraId="6E30569F">
                  <w:pPr>
                    <w:pStyle w:val="19"/>
                    <w:numPr>
                      <w:ilvl w:val="0"/>
                      <w:numId w:val="0"/>
                    </w:numPr>
                    <w:jc w:val="both"/>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秦岭重点保护区</w:t>
                  </w:r>
                  <w:r>
                    <w:rPr>
                      <w:rFonts w:hint="eastAsia" w:cs="Times New Roman"/>
                      <w:b/>
                      <w:bCs/>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按照《陕西省秦岭生态环境保护条例》《陕西省秦岭生态环境保护总体规划》《陕西省秦岭重点保护区一般保护区产业准入清单》《宝鸡市秦岭生态环境保护规划》等相关要求进行管理。1.除《陕西省秦岭生态环境保护条例》另有规定外，不得进行与其保护功能不相符的开发建设活动</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实施能源、交通、水利、国防等重大基础设施建设和战略性矿产资源勘查项目，应当依法进行环境影响评价，报省人民政府审定。在秦岭范围内的生产、生活和建设活动应当符合秦岭生态环境保护规划，依法采取相应生态环境保护措施，保证秦岭生态功能不降低。2.淘汰高污染、高耗能、高排放落后产能，鼓励发展绿色循环经济。3.不得新建水电站，已建成或者在建的水电站，由省水行政主管部门会同省级有关行政主管部门制定评估整治标准及处置方案，由县级以上人民政府依法组织限期整治或者退出、拆除，恢复生态。禁止房地产开发。不得新建、扩建、异地重建宗教活动场所。4.禁止勘探、开发矿产资源和开山采石，禁止在秦岭主梁以北的秦岭范围内开山采石。已取得矿业权的企业和现有采石企业，由县级以上人民政府依法组织限期退出。5.重点保护区施行《陕西省秦岭重点保护区一般保护区产业准入清单》的“允许目录”，禁止允许目录之外产业、项目进入。6.秦岭范围内国家公园、自然保护区、自然公园、生态保护红线、饮用水水源保护区、天然林、不可移动文物等特定地理区域、空间的管控措施，依照相关</w:t>
                  </w:r>
                  <w:r>
                    <w:rPr>
                      <w:rFonts w:hint="eastAsia" w:cs="Times New Roman"/>
                      <w:b w:val="0"/>
                      <w:bCs w:val="0"/>
                      <w:color w:val="auto"/>
                      <w:sz w:val="21"/>
                      <w:szCs w:val="21"/>
                      <w:highlight w:val="none"/>
                      <w:vertAlign w:val="baseline"/>
                      <w:lang w:val="en-US" w:eastAsia="zh-CN"/>
                    </w:rPr>
                    <w:t>法律法规</w:t>
                  </w:r>
                  <w:r>
                    <w:rPr>
                      <w:rFonts w:hint="default" w:ascii="Times New Roman" w:hAnsi="Times New Roman" w:cs="Times New Roman"/>
                      <w:b w:val="0"/>
                      <w:bCs w:val="0"/>
                      <w:color w:val="auto"/>
                      <w:sz w:val="21"/>
                      <w:szCs w:val="21"/>
                      <w:highlight w:val="none"/>
                      <w:vertAlign w:val="baseline"/>
                      <w:lang w:val="en-US" w:eastAsia="zh-CN"/>
                    </w:rPr>
                    <w:t>和规定、规划执行。7.法律、行政法规对重点保护区的产业、项目有相关规定的，从其相关规定。县级以上人民政府对</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产业准入清单</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中的产业、项目，有更严格准入规定的，从其规定。</w:t>
                  </w:r>
                </w:p>
                <w:p w14:paraId="675EEC2D">
                  <w:pPr>
                    <w:pStyle w:val="19"/>
                    <w:numPr>
                      <w:ilvl w:val="0"/>
                      <w:numId w:val="0"/>
                    </w:numPr>
                    <w:jc w:val="both"/>
                    <w:rPr>
                      <w:rFonts w:hint="default"/>
                      <w:b w:val="0"/>
                      <w:bCs w:val="0"/>
                      <w:color w:val="auto"/>
                      <w:lang w:val="en-US" w:eastAsia="zh-CN"/>
                    </w:rPr>
                  </w:pPr>
                  <w:r>
                    <w:rPr>
                      <w:rFonts w:hint="default" w:ascii="Times New Roman" w:hAnsi="Times New Roman" w:cs="Times New Roman"/>
                      <w:b/>
                      <w:bCs/>
                      <w:color w:val="auto"/>
                      <w:sz w:val="21"/>
                      <w:szCs w:val="21"/>
                      <w:highlight w:val="none"/>
                      <w:vertAlign w:val="baseline"/>
                      <w:lang w:val="en-US" w:eastAsia="zh-CN"/>
                    </w:rPr>
                    <w:t>一般生态空间-国家二级公益林</w:t>
                  </w:r>
                  <w:r>
                    <w:rPr>
                      <w:rFonts w:hint="eastAsia" w:cs="Times New Roman"/>
                      <w:b/>
                      <w:bCs/>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按照《国家级公益林管理办法</w:t>
                  </w:r>
                  <w:r>
                    <w:rPr>
                      <w:rFonts w:hint="eastAsia" w:cs="Times New Roman"/>
                      <w:b w:val="0"/>
                      <w:bCs w:val="0"/>
                      <w:color w:val="auto"/>
                      <w:sz w:val="21"/>
                      <w:szCs w:val="21"/>
                      <w:highlight w:val="none"/>
                      <w:vertAlign w:val="baseline"/>
                      <w:lang w:val="en-US" w:eastAsia="zh-CN"/>
                    </w:rPr>
                    <w:t>》等</w:t>
                  </w:r>
                  <w:r>
                    <w:rPr>
                      <w:rFonts w:hint="default" w:ascii="Times New Roman" w:hAnsi="Times New Roman" w:cs="Times New Roman"/>
                      <w:b w:val="0"/>
                      <w:bCs w:val="0"/>
                      <w:color w:val="auto"/>
                      <w:sz w:val="21"/>
                      <w:szCs w:val="21"/>
                      <w:highlight w:val="none"/>
                      <w:vertAlign w:val="baseline"/>
                      <w:lang w:val="en-US" w:eastAsia="zh-CN"/>
                    </w:rPr>
                    <w:t>相关规定进行管控。1.二级国家级公益林在不影响整体森林生态系统功能发挥的前提下，可以按规定开展抚育和更新性质的采伐。在不破坏森林植被的前提下，可以合理利用其林地资源，适度开展林下种植养殖和森林游憩等非木质资源开发与利用，科学发展林下经济。2.国家级公益林的调出，以不影响整体生态功能、保持集中连片为原则，一经调出，不得再次申请补进。</w:t>
                  </w:r>
                </w:p>
              </w:tc>
              <w:tc>
                <w:tcPr>
                  <w:tcW w:w="2086" w:type="dxa"/>
                  <w:tcBorders>
                    <w:tl2br w:val="nil"/>
                    <w:tr2bl w:val="nil"/>
                  </w:tcBorders>
                  <w:noWrap w:val="0"/>
                  <w:vAlign w:val="center"/>
                </w:tcPr>
                <w:p w14:paraId="159C71FE">
                  <w:pPr>
                    <w:pStyle w:val="19"/>
                    <w:jc w:val="both"/>
                    <w:rPr>
                      <w:rFonts w:hint="eastAsia" w:cs="Times New Roman" w:eastAsiaTheme="minorEastAsia"/>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本项目为矿区修复治理工程，选址海拔1500m以下，不涉及秦岭重点保护区范围，不触发秦岭重点保护区各类管控禁止条款。项目属于《陕西省秦岭重点保护区一般保护区产业准入清单》允许目录，符合秦岭区域产业准入正面清单管理要求。同时，本项目兼具水环境治理、国家级公益林修复、受损生态空间整治恢复等多重生态效益，与水环境优先保护区、一般生态空间的生态保护管控导向高度契合，项目建设符合各项管控文件要求。</w:t>
                  </w:r>
                </w:p>
              </w:tc>
              <w:tc>
                <w:tcPr>
                  <w:tcW w:w="614" w:type="dxa"/>
                  <w:tcBorders>
                    <w:tl2br w:val="nil"/>
                    <w:tr2bl w:val="nil"/>
                  </w:tcBorders>
                  <w:noWrap w:val="0"/>
                  <w:vAlign w:val="center"/>
                </w:tcPr>
                <w:p w14:paraId="185FBFA6">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符合</w:t>
                  </w:r>
                </w:p>
              </w:tc>
            </w:tr>
            <w:tr w14:paraId="3E1C4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7" w:type="dxa"/>
                  <w:tcBorders>
                    <w:tl2br w:val="nil"/>
                    <w:tr2bl w:val="nil"/>
                  </w:tcBorders>
                  <w:noWrap w:val="0"/>
                  <w:vAlign w:val="center"/>
                </w:tcPr>
                <w:p w14:paraId="26903A62">
                  <w:pPr>
                    <w:pStyle w:val="19"/>
                    <w:jc w:val="center"/>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w:t>
                  </w:r>
                </w:p>
              </w:tc>
              <w:tc>
                <w:tcPr>
                  <w:tcW w:w="941" w:type="dxa"/>
                  <w:tcBorders>
                    <w:tl2br w:val="nil"/>
                    <w:tr2bl w:val="nil"/>
                  </w:tcBorders>
                  <w:noWrap w:val="0"/>
                  <w:vAlign w:val="center"/>
                </w:tcPr>
                <w:p w14:paraId="1589767F">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陕西省宝鸡市太白县优先保护单元3</w:t>
                  </w:r>
                </w:p>
              </w:tc>
              <w:tc>
                <w:tcPr>
                  <w:tcW w:w="313" w:type="dxa"/>
                  <w:tcBorders>
                    <w:tl2br w:val="nil"/>
                    <w:tr2bl w:val="nil"/>
                  </w:tcBorders>
                  <w:noWrap w:val="0"/>
                  <w:vAlign w:val="center"/>
                </w:tcPr>
                <w:p w14:paraId="48D956B1">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宝鸡市</w:t>
                  </w:r>
                </w:p>
              </w:tc>
              <w:tc>
                <w:tcPr>
                  <w:tcW w:w="709" w:type="dxa"/>
                  <w:tcBorders>
                    <w:tl2br w:val="nil"/>
                    <w:tr2bl w:val="nil"/>
                  </w:tcBorders>
                  <w:noWrap w:val="0"/>
                  <w:vAlign w:val="center"/>
                </w:tcPr>
                <w:p w14:paraId="5C8F403A">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太白县</w:t>
                  </w:r>
                </w:p>
              </w:tc>
              <w:tc>
                <w:tcPr>
                  <w:tcW w:w="784" w:type="dxa"/>
                  <w:tcBorders>
                    <w:tl2br w:val="nil"/>
                    <w:tr2bl w:val="nil"/>
                  </w:tcBorders>
                  <w:noWrap w:val="0"/>
                  <w:vAlign w:val="center"/>
                </w:tcPr>
                <w:p w14:paraId="543A9F64">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水环境优先保护区</w:t>
                  </w:r>
                </w:p>
              </w:tc>
              <w:tc>
                <w:tcPr>
                  <w:tcW w:w="723" w:type="dxa"/>
                  <w:tcBorders>
                    <w:tl2br w:val="nil"/>
                    <w:tr2bl w:val="nil"/>
                  </w:tcBorders>
                  <w:noWrap w:val="0"/>
                  <w:vAlign w:val="center"/>
                </w:tcPr>
                <w:p w14:paraId="2B9C9E50">
                  <w:pPr>
                    <w:pStyle w:val="19"/>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空间布局约束</w:t>
                  </w:r>
                </w:p>
              </w:tc>
              <w:tc>
                <w:tcPr>
                  <w:tcW w:w="8277" w:type="dxa"/>
                  <w:tcBorders>
                    <w:tl2br w:val="nil"/>
                    <w:tr2bl w:val="nil"/>
                  </w:tcBorders>
                  <w:noWrap w:val="0"/>
                  <w:vAlign w:val="center"/>
                </w:tcPr>
                <w:p w14:paraId="3889A66D">
                  <w:pPr>
                    <w:pStyle w:val="19"/>
                    <w:numPr>
                      <w:ilvl w:val="0"/>
                      <w:numId w:val="0"/>
                    </w:numPr>
                    <w:jc w:val="both"/>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水环境优先保护区：1.强化江河源头和饮用水水源地保护。加强主要江河源头、重要水源涵养地的水环境保护，划定禁止开发范围。依法划定和保护饮用水水源保护区，加强水土流失和面源污染防治，严格管控入河排污口，严格河道采砂管理，维系江河湖库健康生命</w:t>
                  </w:r>
                </w:p>
              </w:tc>
              <w:tc>
                <w:tcPr>
                  <w:tcW w:w="2086" w:type="dxa"/>
                  <w:tcBorders>
                    <w:tl2br w:val="nil"/>
                    <w:tr2bl w:val="nil"/>
                  </w:tcBorders>
                  <w:noWrap w:val="0"/>
                  <w:vAlign w:val="center"/>
                </w:tcPr>
                <w:p w14:paraId="1C8B08E1">
                  <w:pPr>
                    <w:pStyle w:val="19"/>
                    <w:jc w:val="both"/>
                    <w:rPr>
                      <w:rFonts w:hint="default" w:cs="Times New Roman" w:eastAsiaTheme="minorEastAsia"/>
                      <w:b w:val="0"/>
                      <w:bCs w:val="0"/>
                      <w:color w:val="auto"/>
                      <w:sz w:val="21"/>
                      <w:szCs w:val="21"/>
                      <w:highlight w:val="none"/>
                      <w:vertAlign w:val="baseline"/>
                      <w:lang w:val="en-US" w:eastAsia="zh-CN"/>
                    </w:rPr>
                  </w:pPr>
                  <w:r>
                    <w:rPr>
                      <w:rFonts w:hint="eastAsia" w:cs="Times New Roman" w:eastAsiaTheme="minorEastAsia"/>
                      <w:b w:val="0"/>
                      <w:bCs w:val="0"/>
                      <w:color w:val="auto"/>
                      <w:sz w:val="21"/>
                      <w:szCs w:val="21"/>
                      <w:highlight w:val="none"/>
                      <w:vertAlign w:val="baseline"/>
                      <w:lang w:val="en-US" w:eastAsia="zh-CN"/>
                    </w:rPr>
                    <w:t>项目选址不占用江河源头、重要水源涵养地及饮用水水源保护区禁止开发区域，施工及运营过程中不新设入河排污口、不开展河道采砂等破坏水生态的活动。同时项目以生态治理为核心，可有效治理历史矿区遗留的水土流失隐患，削减矿区面源污染，持续改善区域水土环境，维护江河湖库生态健康。</w:t>
                  </w:r>
                </w:p>
              </w:tc>
              <w:tc>
                <w:tcPr>
                  <w:tcW w:w="614" w:type="dxa"/>
                  <w:tcBorders>
                    <w:tl2br w:val="nil"/>
                    <w:tr2bl w:val="nil"/>
                  </w:tcBorders>
                  <w:noWrap w:val="0"/>
                  <w:vAlign w:val="center"/>
                </w:tcPr>
                <w:p w14:paraId="743D287B">
                  <w:pPr>
                    <w:pStyle w:val="19"/>
                    <w:jc w:val="center"/>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符合</w:t>
                  </w:r>
                </w:p>
              </w:tc>
            </w:tr>
          </w:tbl>
          <w:p w14:paraId="5C91D7DF">
            <w:pPr>
              <w:pStyle w:val="12"/>
              <w:spacing w:line="360" w:lineRule="auto"/>
              <w:ind w:left="902" w:hanging="482"/>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（3）“一说明”，项目与“三线一单</w:t>
            </w:r>
            <w:r>
              <w:rPr>
                <w:rFonts w:hint="eastAsia" w:cs="Times New Roman"/>
                <w:b/>
                <w:bCs/>
                <w:color w:val="auto"/>
                <w:sz w:val="24"/>
                <w:highlight w:val="none"/>
                <w:lang w:val="en-US" w:eastAsia="zh-CN"/>
              </w:rPr>
              <w:t>”</w:t>
            </w:r>
            <w:r>
              <w:rPr>
                <w:rFonts w:hint="default" w:ascii="Times New Roman" w:hAnsi="Times New Roman" w:cs="Times New Roman"/>
                <w:b/>
                <w:bCs/>
                <w:color w:val="auto"/>
                <w:sz w:val="24"/>
                <w:highlight w:val="none"/>
                <w:lang w:val="en-US" w:eastAsia="zh-CN"/>
              </w:rPr>
              <w:t>符合性说明</w:t>
            </w:r>
          </w:p>
          <w:p w14:paraId="146945D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highlight w:val="none"/>
                <w:lang w:val="en-US" w:eastAsia="zh-CN"/>
              </w:rPr>
            </w:pPr>
            <w:r>
              <w:rPr>
                <w:rFonts w:ascii="宋体" w:hAnsi="宋体" w:eastAsia="宋体" w:cs="宋体"/>
                <w:color w:val="auto"/>
                <w:sz w:val="24"/>
                <w:szCs w:val="24"/>
              </w:rPr>
              <w:t>经前文 “一图、一表” 核查，项目未占用生态保护红线、永久基本农田、国家级公益林、自然保护区等禁建区域。项目位于太白县优先保护单元，该单元仅限制大规模工业开发，政策明确允许在功能受损区域实施生态修复工程；本项目为历史遗留矿渣污染治理修复项目，契合优先保护单元生态修复管控导向，项目产污量低且配套完备环保治理措施，整体符合陕西省 “三线一单”管控要求</w:t>
            </w:r>
            <w:r>
              <w:rPr>
                <w:rFonts w:hint="eastAsia" w:ascii="宋体" w:hAnsi="宋体" w:eastAsia="宋体" w:cs="宋体"/>
                <w:color w:val="auto"/>
                <w:sz w:val="24"/>
                <w:szCs w:val="24"/>
                <w:lang w:eastAsia="zh-CN"/>
              </w:rPr>
              <w:t>。</w:t>
            </w:r>
          </w:p>
        </w:tc>
      </w:tr>
    </w:tbl>
    <w:p w14:paraId="17DEDF32">
      <w:pPr>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4"/>
        <w:tblW w:w="9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554"/>
        <w:gridCol w:w="7701"/>
      </w:tblGrid>
      <w:tr w14:paraId="0118F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306" w:hRule="atLeast"/>
          <w:jc w:val="center"/>
        </w:trPr>
        <w:tc>
          <w:tcPr>
            <w:tcW w:w="1554" w:type="dxa"/>
            <w:tcBorders>
              <w:tl2br w:val="nil"/>
              <w:tr2bl w:val="nil"/>
            </w:tcBorders>
            <w:noWrap w:val="0"/>
            <w:tcMar>
              <w:top w:w="16" w:type="dxa"/>
              <w:left w:w="16" w:type="dxa"/>
              <w:right w:w="16" w:type="dxa"/>
            </w:tcMar>
            <w:vAlign w:val="center"/>
          </w:tcPr>
          <w:p w14:paraId="686F5C9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szCs w:val="24"/>
                <w:highlight w:val="none"/>
              </w:rPr>
              <w:t>其他符合性分析</w:t>
            </w:r>
          </w:p>
        </w:tc>
        <w:tc>
          <w:tcPr>
            <w:tcW w:w="7701" w:type="dxa"/>
            <w:tcBorders>
              <w:tl2br w:val="nil"/>
              <w:tr2bl w:val="nil"/>
            </w:tcBorders>
            <w:noWrap w:val="0"/>
            <w:tcMar>
              <w:top w:w="16" w:type="dxa"/>
              <w:left w:w="16" w:type="dxa"/>
              <w:right w:w="16" w:type="dxa"/>
            </w:tcMar>
            <w:vAlign w:val="center"/>
          </w:tcPr>
          <w:p w14:paraId="50EE56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2.项目与</w:t>
            </w:r>
            <w:r>
              <w:rPr>
                <w:rFonts w:hint="default" w:ascii="Times New Roman" w:hAnsi="Times New Roman" w:cs="Times New Roman"/>
                <w:b/>
                <w:bCs/>
                <w:color w:val="auto"/>
                <w:sz w:val="24"/>
                <w:szCs w:val="24"/>
                <w:highlight w:val="none"/>
                <w:lang w:val="en-US" w:eastAsia="zh-CN"/>
              </w:rPr>
              <w:t>生态环境保护规划的符合性</w:t>
            </w:r>
          </w:p>
          <w:p w14:paraId="1C9EC3BF">
            <w:pPr>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lang w:val="en-US" w:eastAsia="zh-CN"/>
              </w:rPr>
              <w:t>表1-</w:t>
            </w:r>
            <w:r>
              <w:rPr>
                <w:rFonts w:hint="eastAsia" w:cs="Times New Roman"/>
                <w:b/>
                <w:color w:val="auto"/>
                <w:szCs w:val="21"/>
                <w:highlight w:val="none"/>
                <w:lang w:val="en-US" w:eastAsia="zh-CN"/>
              </w:rPr>
              <w:t>4</w:t>
            </w:r>
            <w:r>
              <w:rPr>
                <w:rFonts w:hint="default" w:ascii="Times New Roman" w:hAnsi="Times New Roman" w:cs="Times New Roman"/>
                <w:b/>
                <w:color w:val="auto"/>
                <w:szCs w:val="21"/>
                <w:highlight w:val="none"/>
                <w:lang w:val="en-US" w:eastAsia="zh-CN"/>
              </w:rPr>
              <w:t xml:space="preserve">   项目与生态环境保护规划的符合性</w:t>
            </w:r>
          </w:p>
          <w:tbl>
            <w:tblPr>
              <w:tblStyle w:val="14"/>
              <w:tblW w:w="753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3635"/>
              <w:gridCol w:w="2290"/>
              <w:gridCol w:w="592"/>
            </w:tblGrid>
            <w:tr w14:paraId="0EB81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13" w:type="dxa"/>
                  <w:tcBorders>
                    <w:tl2br w:val="nil"/>
                    <w:tr2bl w:val="nil"/>
                  </w:tcBorders>
                  <w:noWrap w:val="0"/>
                  <w:vAlign w:val="center"/>
                </w:tcPr>
                <w:p w14:paraId="5C2F4E8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3635" w:type="dxa"/>
                  <w:tcBorders>
                    <w:tl2br w:val="nil"/>
                    <w:tr2bl w:val="nil"/>
                  </w:tcBorders>
                  <w:noWrap w:val="0"/>
                  <w:vAlign w:val="center"/>
                </w:tcPr>
                <w:p w14:paraId="433EB1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规划内容</w:t>
                  </w:r>
                </w:p>
              </w:tc>
              <w:tc>
                <w:tcPr>
                  <w:tcW w:w="2290" w:type="dxa"/>
                  <w:tcBorders>
                    <w:tl2br w:val="nil"/>
                    <w:tr2bl w:val="nil"/>
                  </w:tcBorders>
                  <w:noWrap w:val="0"/>
                  <w:vAlign w:val="center"/>
                </w:tcPr>
                <w:p w14:paraId="2220800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本项目</w:t>
                  </w:r>
                  <w:r>
                    <w:rPr>
                      <w:rFonts w:hint="eastAsia" w:cs="Times New Roman"/>
                      <w:b/>
                      <w:bCs/>
                      <w:color w:val="auto"/>
                      <w:sz w:val="21"/>
                      <w:szCs w:val="21"/>
                      <w:highlight w:val="none"/>
                      <w:lang w:val="en-US" w:eastAsia="zh-CN"/>
                    </w:rPr>
                    <w:t>情况</w:t>
                  </w:r>
                </w:p>
              </w:tc>
              <w:tc>
                <w:tcPr>
                  <w:tcW w:w="592" w:type="dxa"/>
                  <w:tcBorders>
                    <w:tl2br w:val="nil"/>
                    <w:tr2bl w:val="nil"/>
                  </w:tcBorders>
                  <w:noWrap w:val="0"/>
                  <w:vAlign w:val="center"/>
                </w:tcPr>
                <w:p w14:paraId="0901C05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vertAlign w:val="baseline"/>
                      <w:lang w:val="en-US" w:eastAsia="zh-CN"/>
                    </w:rPr>
                    <w:t>相符性</w:t>
                  </w:r>
                </w:p>
              </w:tc>
            </w:tr>
            <w:tr w14:paraId="42D41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1013" w:type="dxa"/>
                  <w:tcBorders>
                    <w:tl2br w:val="nil"/>
                    <w:tr2bl w:val="nil"/>
                  </w:tcBorders>
                  <w:noWrap w:val="0"/>
                  <w:vAlign w:val="center"/>
                </w:tcPr>
                <w:p w14:paraId="36696242">
                  <w:pPr>
                    <w:keepNext w:val="0"/>
                    <w:keepLines w:val="0"/>
                    <w:widowControl/>
                    <w:suppressLineNumbers w:val="0"/>
                    <w:jc w:val="center"/>
                    <w:rPr>
                      <w:rFonts w:hint="default" w:ascii="Times New Roman" w:hAnsi="Times New Roman" w:eastAsia="宋体" w:cs="Times New Roman"/>
                      <w:b w:val="0"/>
                      <w:bCs w:val="0"/>
                      <w:vanish w:val="0"/>
                      <w:color w:val="auto"/>
                      <w:kern w:val="0"/>
                      <w:sz w:val="21"/>
                      <w:szCs w:val="21"/>
                      <w:lang w:val="en-US" w:eastAsia="zh-CN" w:bidi="ar"/>
                    </w:rPr>
                  </w:pPr>
                  <w:r>
                    <w:rPr>
                      <w:rFonts w:hint="eastAsia" w:ascii="宋体" w:hAnsi="宋体" w:cs="宋体"/>
                      <w:color w:val="auto"/>
                      <w:kern w:val="0"/>
                      <w:sz w:val="21"/>
                      <w:szCs w:val="21"/>
                      <w:lang w:val="en-US" w:eastAsia="zh-CN" w:bidi="ar"/>
                    </w:rPr>
                    <w:t>《中华人民共和国水污染防治法》</w:t>
                  </w:r>
                </w:p>
              </w:tc>
              <w:tc>
                <w:tcPr>
                  <w:tcW w:w="3635" w:type="dxa"/>
                  <w:tcBorders>
                    <w:tl2br w:val="nil"/>
                    <w:tr2bl w:val="nil"/>
                  </w:tcBorders>
                  <w:noWrap w:val="0"/>
                  <w:vAlign w:val="center"/>
                </w:tcPr>
                <w:p w14:paraId="3CB104DF">
                  <w:pPr>
                    <w:keepNext w:val="0"/>
                    <w:keepLines w:val="0"/>
                    <w:widowControl/>
                    <w:suppressLineNumbers w:val="0"/>
                    <w:jc w:val="left"/>
                    <w:rPr>
                      <w:rFonts w:hint="eastAsia"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禁止在江河、湖泊、运河、渠道、水库最高水位线以下的滩地和岸坡堆放、存贮固体废弃物和其他污染物。</w:t>
                  </w:r>
                </w:p>
              </w:tc>
              <w:tc>
                <w:tcPr>
                  <w:tcW w:w="2290" w:type="dxa"/>
                  <w:tcBorders>
                    <w:tl2br w:val="nil"/>
                    <w:tr2bl w:val="nil"/>
                  </w:tcBorders>
                  <w:noWrap w:val="0"/>
                  <w:vAlign w:val="center"/>
                </w:tcPr>
                <w:p w14:paraId="1ECF950E">
                  <w:pPr>
                    <w:keepNext w:val="0"/>
                    <w:keepLines w:val="0"/>
                    <w:widowControl/>
                    <w:suppressLineNumbers w:val="0"/>
                    <w:jc w:val="left"/>
                    <w:rPr>
                      <w:rFonts w:hint="eastAsia" w:ascii="Times New Roman" w:hAnsi="Times New Roman" w:eastAsia="宋体" w:cs="Times New Roman"/>
                      <w:b w:val="0"/>
                      <w:bCs w:val="0"/>
                      <w:color w:val="auto"/>
                      <w:sz w:val="21"/>
                      <w:szCs w:val="21"/>
                      <w:highlight w:val="none"/>
                      <w:lang w:eastAsia="zh-CN"/>
                    </w:rPr>
                  </w:pPr>
                  <w:r>
                    <w:rPr>
                      <w:rFonts w:hint="eastAsia" w:ascii="宋体" w:hAnsi="宋体" w:eastAsia="宋体" w:cs="宋体"/>
                      <w:color w:val="auto"/>
                      <w:kern w:val="0"/>
                      <w:sz w:val="21"/>
                      <w:szCs w:val="21"/>
                      <w:lang w:val="en-US" w:eastAsia="zh-CN" w:bidi="ar"/>
                    </w:rPr>
                    <w:t>本项目不在河、湖泊、运河、渠道、水库最高水位线以下的滩地和岸坡堆放、存贮固体废弃物和其他污染物。</w:t>
                  </w:r>
                </w:p>
              </w:tc>
              <w:tc>
                <w:tcPr>
                  <w:tcW w:w="592" w:type="dxa"/>
                  <w:tcBorders>
                    <w:tl2br w:val="nil"/>
                    <w:tr2bl w:val="nil"/>
                  </w:tcBorders>
                  <w:noWrap w:val="0"/>
                  <w:vAlign w:val="center"/>
                </w:tcPr>
                <w:p w14:paraId="4EF541F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14982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1013" w:type="dxa"/>
                  <w:tcBorders>
                    <w:tl2br w:val="nil"/>
                    <w:tr2bl w:val="nil"/>
                  </w:tcBorders>
                  <w:noWrap w:val="0"/>
                  <w:vAlign w:val="center"/>
                </w:tcPr>
                <w:p w14:paraId="0E4ABB8B">
                  <w:pPr>
                    <w:keepNext w:val="0"/>
                    <w:keepLines w:val="0"/>
                    <w:widowControl/>
                    <w:suppressLineNumbers w:val="0"/>
                    <w:jc w:val="center"/>
                    <w:rPr>
                      <w:rFonts w:hint="eastAsia"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《中华人民共和国长江保护法》</w:t>
                  </w:r>
                </w:p>
              </w:tc>
              <w:tc>
                <w:tcPr>
                  <w:tcW w:w="3635" w:type="dxa"/>
                  <w:tcBorders>
                    <w:tl2br w:val="nil"/>
                    <w:tr2bl w:val="nil"/>
                  </w:tcBorders>
                  <w:noWrap w:val="0"/>
                  <w:vAlign w:val="center"/>
                </w:tcPr>
                <w:p w14:paraId="6BF04D3C">
                  <w:pPr>
                    <w:keepNext w:val="0"/>
                    <w:keepLines w:val="0"/>
                    <w:widowControl/>
                    <w:suppressLineNumbers w:val="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2290" w:type="dxa"/>
                  <w:tcBorders>
                    <w:tl2br w:val="nil"/>
                    <w:tr2bl w:val="nil"/>
                  </w:tcBorders>
                  <w:noWrap w:val="0"/>
                  <w:vAlign w:val="center"/>
                </w:tcPr>
                <w:p w14:paraId="11527DA5">
                  <w:pPr>
                    <w:keepNext w:val="0"/>
                    <w:keepLines w:val="0"/>
                    <w:widowControl/>
                    <w:suppressLineNumbers w:val="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本项目属于矿区修复治理工程，不进行尾矿库建设，不属于化工项目；项目不属于《陕西省国家重点生态功能区产业准入负面清单》中限制类及禁止类项目，不违反生态环境准入清单的规定。项目不在长江干支流岸线一公里、长江干流岸线三公里范围内和重要支流岸线一公里范围内。</w:t>
                  </w:r>
                </w:p>
              </w:tc>
              <w:tc>
                <w:tcPr>
                  <w:tcW w:w="592" w:type="dxa"/>
                  <w:tcBorders>
                    <w:tl2br w:val="nil"/>
                    <w:tr2bl w:val="nil"/>
                  </w:tcBorders>
                  <w:noWrap w:val="0"/>
                  <w:vAlign w:val="center"/>
                </w:tcPr>
                <w:p w14:paraId="28B3E82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09BFD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1013" w:type="dxa"/>
                  <w:vMerge w:val="restart"/>
                  <w:tcBorders>
                    <w:tl2br w:val="nil"/>
                    <w:tr2bl w:val="nil"/>
                  </w:tcBorders>
                  <w:noWrap w:val="0"/>
                  <w:vAlign w:val="center"/>
                </w:tcPr>
                <w:p w14:paraId="46D9D0F5">
                  <w:pPr>
                    <w:keepNext w:val="0"/>
                    <w:keepLines w:val="0"/>
                    <w:widowControl/>
                    <w:suppressLineNumbers w:val="0"/>
                    <w:jc w:val="center"/>
                    <w:rPr>
                      <w:rFonts w:hint="eastAsia"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陕西省汉江丹江流域水污染防治条例</w:t>
                  </w:r>
                  <w:r>
                    <w:rPr>
                      <w:rFonts w:hint="eastAsia" w:ascii="宋体" w:hAnsi="宋体" w:eastAsia="宋体" w:cs="宋体"/>
                      <w:color w:val="auto"/>
                      <w:kern w:val="0"/>
                      <w:sz w:val="21"/>
                      <w:szCs w:val="21"/>
                      <w:lang w:val="en-US" w:eastAsia="zh-CN" w:bidi="ar"/>
                    </w:rPr>
                    <w:t>》</w:t>
                  </w:r>
                </w:p>
              </w:tc>
              <w:tc>
                <w:tcPr>
                  <w:tcW w:w="3635" w:type="dxa"/>
                  <w:tcBorders>
                    <w:tl2br w:val="nil"/>
                    <w:tr2bl w:val="nil"/>
                  </w:tcBorders>
                  <w:noWrap w:val="0"/>
                  <w:vAlign w:val="center"/>
                </w:tcPr>
                <w:p w14:paraId="5013F40F">
                  <w:pPr>
                    <w:keepNext w:val="0"/>
                    <w:keepLines w:val="0"/>
                    <w:widowControl/>
                    <w:suppressLineNumbers w:val="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第十二条禁止将含有汞、镉、砷、铬、铅、氰化物、黄磷等的可溶性剧毒废渣向水体排放、倾倒或者直接埋入地下。禁止向水体排放、倾倒工业废渣、城镇垃圾和其他废弃物。</w:t>
                  </w:r>
                </w:p>
              </w:tc>
              <w:tc>
                <w:tcPr>
                  <w:tcW w:w="2290" w:type="dxa"/>
                  <w:vMerge w:val="restart"/>
                  <w:tcBorders>
                    <w:tl2br w:val="nil"/>
                    <w:tr2bl w:val="nil"/>
                  </w:tcBorders>
                  <w:noWrap w:val="0"/>
                  <w:vAlign w:val="center"/>
                </w:tcPr>
                <w:p w14:paraId="114C60AB">
                  <w:pPr>
                    <w:keepNext w:val="0"/>
                    <w:keepLines w:val="0"/>
                    <w:widowControl/>
                    <w:suppressLineNumbers w:val="0"/>
                    <w:jc w:val="left"/>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本项目属于矿区修复治理工程，矿硐治理采用简易封堵，无涌水</w:t>
                  </w:r>
                  <w:r>
                    <w:rPr>
                      <w:rFonts w:hint="eastAsia" w:ascii="宋体" w:hAnsi="宋体" w:cs="宋体"/>
                      <w:color w:val="auto"/>
                      <w:kern w:val="0"/>
                      <w:sz w:val="21"/>
                      <w:szCs w:val="21"/>
                      <w:lang w:val="en-US" w:eastAsia="zh-CN" w:bidi="ar"/>
                    </w:rPr>
                    <w:t>排出。</w:t>
                  </w:r>
                </w:p>
              </w:tc>
              <w:tc>
                <w:tcPr>
                  <w:tcW w:w="592" w:type="dxa"/>
                  <w:tcBorders>
                    <w:tl2br w:val="nil"/>
                    <w:tr2bl w:val="nil"/>
                  </w:tcBorders>
                  <w:noWrap w:val="0"/>
                  <w:vAlign w:val="center"/>
                </w:tcPr>
                <w:p w14:paraId="2336D9B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062DC6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2" w:hRule="atLeast"/>
                <w:jc w:val="center"/>
                <w:hidden/>
              </w:trPr>
              <w:tc>
                <w:tcPr>
                  <w:tcW w:w="1013" w:type="dxa"/>
                  <w:vMerge w:val="continue"/>
                  <w:tcBorders>
                    <w:tl2br w:val="nil"/>
                    <w:tr2bl w:val="nil"/>
                  </w:tcBorders>
                  <w:noWrap w:val="0"/>
                  <w:vAlign w:val="center"/>
                </w:tcPr>
                <w:p w14:paraId="56A4417F">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center"/>
                    <w:textAlignment w:val="auto"/>
                    <w:rPr>
                      <w:rFonts w:hint="default" w:ascii="Times New Roman" w:hAnsi="Times New Roman" w:eastAsia="宋体" w:cs="Times New Roman"/>
                      <w:b w:val="0"/>
                      <w:bCs w:val="0"/>
                      <w:vanish w:val="0"/>
                      <w:color w:val="auto"/>
                      <w:kern w:val="0"/>
                      <w:sz w:val="21"/>
                      <w:szCs w:val="21"/>
                      <w:lang w:val="en-US" w:eastAsia="zh-CN" w:bidi="ar"/>
                    </w:rPr>
                  </w:pPr>
                </w:p>
              </w:tc>
              <w:tc>
                <w:tcPr>
                  <w:tcW w:w="3635" w:type="dxa"/>
                  <w:tcBorders>
                    <w:tl2br w:val="nil"/>
                    <w:tr2bl w:val="nil"/>
                  </w:tcBorders>
                  <w:noWrap w:val="0"/>
                  <w:vAlign w:val="center"/>
                </w:tcPr>
                <w:p w14:paraId="0AFCE1AE">
                  <w:pPr>
                    <w:keepNext w:val="0"/>
                    <w:keepLines w:val="0"/>
                    <w:widowControl/>
                    <w:suppressLineNumbers w:val="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第十三条禁止利用裂隙、溶洞、渗坑、渗井，私设暗管，篡改、伪造监测数据，或者不正常运行水污染防治设施等逃避监管的方式排放水污染物。进行矿产资源勘探、开采、隧道、桥梁等对水体有污染的建设工程，应当采取水污染防治措施。</w:t>
                  </w:r>
                </w:p>
              </w:tc>
              <w:tc>
                <w:tcPr>
                  <w:tcW w:w="2290" w:type="dxa"/>
                  <w:vMerge w:val="continue"/>
                  <w:tcBorders>
                    <w:tl2br w:val="nil"/>
                    <w:tr2bl w:val="nil"/>
                  </w:tcBorders>
                  <w:noWrap w:val="0"/>
                  <w:vAlign w:val="center"/>
                </w:tcPr>
                <w:p w14:paraId="045A30EB">
                  <w:pPr>
                    <w:keepNext w:val="0"/>
                    <w:keepLines w:val="0"/>
                    <w:widowControl/>
                    <w:suppressLineNumbers w:val="0"/>
                    <w:jc w:val="left"/>
                    <w:rPr>
                      <w:rFonts w:hint="eastAsia" w:ascii="宋体" w:hAnsi="宋体" w:eastAsia="宋体" w:cs="宋体"/>
                      <w:color w:val="auto"/>
                      <w:kern w:val="0"/>
                      <w:sz w:val="21"/>
                      <w:szCs w:val="21"/>
                      <w:lang w:val="en-US" w:eastAsia="zh-CN" w:bidi="ar"/>
                    </w:rPr>
                  </w:pPr>
                </w:p>
              </w:tc>
              <w:tc>
                <w:tcPr>
                  <w:tcW w:w="592" w:type="dxa"/>
                  <w:tcBorders>
                    <w:tl2br w:val="nil"/>
                    <w:tr2bl w:val="nil"/>
                  </w:tcBorders>
                  <w:noWrap w:val="0"/>
                  <w:vAlign w:val="center"/>
                </w:tcPr>
                <w:p w14:paraId="67B9320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77FFD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2" w:hRule="atLeast"/>
                <w:jc w:val="center"/>
                <w:hidden/>
              </w:trPr>
              <w:tc>
                <w:tcPr>
                  <w:tcW w:w="1013" w:type="dxa"/>
                  <w:vMerge w:val="restart"/>
                  <w:tcBorders>
                    <w:tl2br w:val="nil"/>
                    <w:tr2bl w:val="nil"/>
                  </w:tcBorders>
                  <w:noWrap w:val="0"/>
                  <w:vAlign w:val="center"/>
                </w:tcPr>
                <w:p w14:paraId="7679F6F0">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vanish w:val="0"/>
                      <w:color w:val="auto"/>
                      <w:kern w:val="0"/>
                      <w:sz w:val="21"/>
                      <w:szCs w:val="21"/>
                      <w:lang w:val="en-US" w:eastAsia="zh-CN" w:bidi="ar"/>
                    </w:rPr>
                    <w:t>《陕西省秦岭生态环境保护条例》</w:t>
                  </w:r>
                </w:p>
              </w:tc>
              <w:tc>
                <w:tcPr>
                  <w:tcW w:w="3635" w:type="dxa"/>
                  <w:tcBorders>
                    <w:tl2br w:val="nil"/>
                    <w:tr2bl w:val="nil"/>
                  </w:tcBorders>
                  <w:noWrap w:val="0"/>
                  <w:vAlign w:val="center"/>
                </w:tcPr>
                <w:p w14:paraId="63CA4318">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vanish w:val="0"/>
                      <w:color w:val="auto"/>
                      <w:kern w:val="0"/>
                      <w:sz w:val="21"/>
                      <w:szCs w:val="21"/>
                      <w:lang w:val="en-US" w:eastAsia="zh-CN" w:bidi="ar"/>
                    </w:rPr>
                  </w:pPr>
                  <w:r>
                    <w:rPr>
                      <w:rFonts w:hint="default" w:ascii="Times New Roman" w:hAnsi="Times New Roman" w:eastAsia="宋体" w:cs="Times New Roman"/>
                      <w:b w:val="0"/>
                      <w:bCs w:val="0"/>
                      <w:vanish w:val="0"/>
                      <w:color w:val="auto"/>
                      <w:kern w:val="0"/>
                      <w:sz w:val="21"/>
                      <w:szCs w:val="21"/>
                      <w:lang w:val="en-US" w:eastAsia="zh-CN" w:bidi="ar"/>
                    </w:rPr>
                    <w:t>第十五条秦岭范围下列区域，除国土空间规划确定的城镇开发边界范围外，应当划为核心保护区</w:t>
                  </w:r>
                  <w:r>
                    <w:rPr>
                      <w:rFonts w:hint="eastAsia" w:eastAsia="宋体" w:cs="Times New Roman"/>
                      <w:b w:val="0"/>
                      <w:bCs w:val="0"/>
                      <w:vanish w:val="0"/>
                      <w:color w:val="auto"/>
                      <w:kern w:val="0"/>
                      <w:sz w:val="21"/>
                      <w:szCs w:val="21"/>
                      <w:lang w:val="en-US" w:eastAsia="zh-CN" w:bidi="ar"/>
                    </w:rPr>
                    <w:t>：</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一</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海拔2000米以上区域，秦岭山系主梁两侧各1000米以内、主要支脉两侧各500米以内的区域</w:t>
                  </w:r>
                  <w:r>
                    <w:rPr>
                      <w:rFonts w:hint="eastAsia" w:eastAsia="宋体" w:cs="Times New Roman"/>
                      <w:b w:val="0"/>
                      <w:bCs w:val="0"/>
                      <w:vanish w:val="0"/>
                      <w:color w:val="auto"/>
                      <w:kern w:val="0"/>
                      <w:sz w:val="21"/>
                      <w:szCs w:val="21"/>
                      <w:lang w:val="en-US" w:eastAsia="zh-CN" w:bidi="ar"/>
                    </w:rPr>
                    <w:t>：</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二</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国家公园、自然保护区的核心保护区、世界遗产</w:t>
                  </w:r>
                  <w:r>
                    <w:rPr>
                      <w:rFonts w:hint="eastAsia" w:eastAsia="宋体" w:cs="Times New Roman"/>
                      <w:b w:val="0"/>
                      <w:bCs w:val="0"/>
                      <w:vanish w:val="0"/>
                      <w:color w:val="auto"/>
                      <w:kern w:val="0"/>
                      <w:sz w:val="21"/>
                      <w:szCs w:val="21"/>
                      <w:lang w:val="en-US" w:eastAsia="zh-CN" w:bidi="ar"/>
                    </w:rPr>
                    <w:t>；</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三</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饮用水水源一级保护区</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四</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自然保护区一般控制区中珍稀濒危野生动物栖息地与其他重要生态功能区集中连片，需要整体性、系统性保护的区域。</w:t>
                  </w:r>
                </w:p>
                <w:p w14:paraId="358675D3">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vanish w:val="0"/>
                      <w:color w:val="auto"/>
                      <w:kern w:val="0"/>
                      <w:sz w:val="21"/>
                      <w:szCs w:val="21"/>
                      <w:lang w:val="en-US" w:eastAsia="zh-CN" w:bidi="ar"/>
                    </w:rPr>
                    <w:t>第十六条秦岭范围下列区域，除核心保护区、国土空间规划确定的城镇开发边界范围外，应当划为重点保护区</w:t>
                  </w:r>
                  <w:r>
                    <w:rPr>
                      <w:rFonts w:hint="eastAsia" w:eastAsia="宋体" w:cs="Times New Roman"/>
                      <w:b w:val="0"/>
                      <w:bCs w:val="0"/>
                      <w:vanish w:val="0"/>
                      <w:color w:val="auto"/>
                      <w:kern w:val="0"/>
                      <w:sz w:val="21"/>
                      <w:szCs w:val="21"/>
                      <w:lang w:val="en-US" w:eastAsia="zh-CN" w:bidi="ar"/>
                    </w:rPr>
                    <w:t>：</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一</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海拔1500米至2000米之间的区域</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二</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国家公园、自然保护区的一般控制区、饮用水水源二级保护区</w:t>
                  </w:r>
                  <w:r>
                    <w:rPr>
                      <w:rFonts w:hint="eastAsia" w:eastAsia="宋体" w:cs="Times New Roman"/>
                      <w:b w:val="0"/>
                      <w:bCs w:val="0"/>
                      <w:vanish w:val="0"/>
                      <w:color w:val="auto"/>
                      <w:kern w:val="0"/>
                      <w:sz w:val="21"/>
                      <w:szCs w:val="21"/>
                      <w:lang w:val="en-US" w:eastAsia="zh-CN" w:bidi="ar"/>
                    </w:rPr>
                    <w:t>：</w:t>
                  </w:r>
                  <w:r>
                    <w:rPr>
                      <w:rFonts w:hint="eastAsia" w:cs="Times New Roman"/>
                      <w:b w:val="0"/>
                      <w:bCs w:val="0"/>
                      <w:vanish w:val="0"/>
                      <w:color w:val="auto"/>
                      <w:kern w:val="0"/>
                      <w:sz w:val="21"/>
                      <w:szCs w:val="21"/>
                      <w:lang w:val="en-US" w:eastAsia="zh-CN" w:bidi="ar"/>
                    </w:rPr>
                    <w:t>国家</w:t>
                  </w:r>
                  <w:r>
                    <w:rPr>
                      <w:rFonts w:hint="default" w:ascii="Times New Roman" w:hAnsi="Times New Roman" w:eastAsia="宋体" w:cs="Times New Roman"/>
                      <w:b w:val="0"/>
                      <w:bCs w:val="0"/>
                      <w:vanish w:val="0"/>
                      <w:color w:val="auto"/>
                      <w:kern w:val="0"/>
                      <w:sz w:val="21"/>
                      <w:szCs w:val="21"/>
                      <w:lang w:val="en-US" w:eastAsia="zh-CN" w:bidi="ar"/>
                    </w:rPr>
                    <w:t>重点文物保护单位、省级文物保护单位。第十七条秦岭范围内除核心保护区、重点保护区以外的区域，为一般保护区。第十八条除本条例另有规定外，核心保护区不得进行与生态保护、科学研究无关的活动</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重点保护区不得进行与其保护功能不相符的开发建设活动。一般保护区生产、生活和建设活动，应当严格执行</w:t>
                  </w:r>
                  <w:r>
                    <w:rPr>
                      <w:rFonts w:hint="eastAsia" w:cs="Times New Roman"/>
                      <w:b w:val="0"/>
                      <w:bCs w:val="0"/>
                      <w:vanish w:val="0"/>
                      <w:color w:val="auto"/>
                      <w:kern w:val="0"/>
                      <w:sz w:val="21"/>
                      <w:szCs w:val="21"/>
                      <w:lang w:val="en-US" w:eastAsia="zh-CN" w:bidi="ar"/>
                    </w:rPr>
                    <w:t>法律法规</w:t>
                  </w:r>
                  <w:r>
                    <w:rPr>
                      <w:rFonts w:hint="default" w:ascii="Times New Roman" w:hAnsi="Times New Roman" w:eastAsia="宋体" w:cs="Times New Roman"/>
                      <w:b w:val="0"/>
                      <w:bCs w:val="0"/>
                      <w:vanish w:val="0"/>
                      <w:color w:val="auto"/>
                      <w:kern w:val="0"/>
                      <w:sz w:val="21"/>
                      <w:szCs w:val="21"/>
                      <w:lang w:val="en-US" w:eastAsia="zh-CN" w:bidi="ar"/>
                    </w:rPr>
                    <w:t>和本条例的规定。产业准入清单制度。</w:t>
                  </w:r>
                </w:p>
              </w:tc>
              <w:tc>
                <w:tcPr>
                  <w:tcW w:w="2290" w:type="dxa"/>
                  <w:tcBorders>
                    <w:tl2br w:val="nil"/>
                    <w:tr2bl w:val="nil"/>
                  </w:tcBorders>
                  <w:noWrap w:val="0"/>
                  <w:vAlign w:val="center"/>
                </w:tcPr>
                <w:p w14:paraId="6047B38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本项目位于</w:t>
                  </w:r>
                  <w:r>
                    <w:rPr>
                      <w:rFonts w:hint="default" w:ascii="Times New Roman" w:hAnsi="Times New Roman" w:eastAsia="宋体" w:cs="Times New Roman"/>
                      <w:b w:val="0"/>
                      <w:bCs w:val="0"/>
                      <w:color w:val="auto"/>
                      <w:sz w:val="21"/>
                      <w:szCs w:val="21"/>
                      <w:highlight w:val="none"/>
                      <w:lang w:val="en-US" w:eastAsia="zh-CN"/>
                    </w:rPr>
                    <w:t>太白县咀头镇白云村</w:t>
                  </w:r>
                  <w:r>
                    <w:rPr>
                      <w:rFonts w:hint="default" w:ascii="Times New Roman" w:hAnsi="Times New Roman" w:eastAsia="宋体" w:cs="Times New Roman"/>
                      <w:b w:val="0"/>
                      <w:bCs w:val="0"/>
                      <w:color w:val="auto"/>
                      <w:sz w:val="21"/>
                      <w:szCs w:val="21"/>
                      <w:highlight w:val="none"/>
                      <w:lang w:eastAsia="zh-CN"/>
                    </w:rPr>
                    <w:t>，为矿山综合治理工程，项目海拔低于</w:t>
                  </w:r>
                  <w:r>
                    <w:rPr>
                      <w:rFonts w:hint="eastAsia" w:eastAsia="宋体" w:cs="Times New Roman"/>
                      <w:b w:val="0"/>
                      <w:bCs w:val="0"/>
                      <w:color w:val="auto"/>
                      <w:sz w:val="21"/>
                      <w:szCs w:val="21"/>
                      <w:highlight w:val="none"/>
                      <w:lang w:val="en-US" w:eastAsia="zh-CN"/>
                    </w:rPr>
                    <w:t>1500</w:t>
                  </w:r>
                  <w:r>
                    <w:rPr>
                      <w:rFonts w:hint="default" w:ascii="Times New Roman" w:hAnsi="Times New Roman" w:eastAsia="宋体" w:cs="Times New Roman"/>
                      <w:b w:val="0"/>
                      <w:bCs w:val="0"/>
                      <w:color w:val="auto"/>
                      <w:sz w:val="21"/>
                      <w:szCs w:val="21"/>
                      <w:highlight w:val="none"/>
                      <w:lang w:eastAsia="zh-CN"/>
                    </w:rPr>
                    <w:t>m，属于一般保护区，属于《陕西省秦岭重点保护区一般保护区产业准入清单》中一般保护区允许产业</w:t>
                  </w:r>
                  <w:r>
                    <w:rPr>
                      <w:rFonts w:hint="eastAsia" w:eastAsia="宋体" w:cs="Times New Roman"/>
                      <w:b w:val="0"/>
                      <w:bCs w:val="0"/>
                      <w:color w:val="auto"/>
                      <w:sz w:val="21"/>
                      <w:szCs w:val="21"/>
                      <w:highlight w:val="none"/>
                      <w:lang w:eastAsia="zh-CN"/>
                    </w:rPr>
                    <w:t>。</w:t>
                  </w:r>
                </w:p>
              </w:tc>
              <w:tc>
                <w:tcPr>
                  <w:tcW w:w="592" w:type="dxa"/>
                  <w:tcBorders>
                    <w:tl2br w:val="nil"/>
                    <w:tr2bl w:val="nil"/>
                  </w:tcBorders>
                  <w:noWrap w:val="0"/>
                  <w:vAlign w:val="center"/>
                </w:tcPr>
                <w:p w14:paraId="0561F18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rPr>
                  </w:pPr>
                  <w:r>
                    <w:rPr>
                      <w:rFonts w:hint="eastAsia" w:cs="Times New Roman"/>
                      <w:color w:val="auto"/>
                      <w:kern w:val="0"/>
                      <w:sz w:val="21"/>
                      <w:szCs w:val="21"/>
                      <w:highlight w:val="none"/>
                      <w:vertAlign w:val="baseline"/>
                      <w:lang w:val="en-US" w:eastAsia="zh-CN"/>
                    </w:rPr>
                    <w:t>符合</w:t>
                  </w:r>
                </w:p>
              </w:tc>
            </w:tr>
            <w:tr w14:paraId="4F42A2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1013" w:type="dxa"/>
                  <w:vMerge w:val="continue"/>
                  <w:tcBorders>
                    <w:tl2br w:val="nil"/>
                    <w:tr2bl w:val="nil"/>
                  </w:tcBorders>
                  <w:noWrap w:val="0"/>
                  <w:vAlign w:val="center"/>
                </w:tcPr>
                <w:p w14:paraId="481A7E35">
                  <w:pPr>
                    <w:pStyle w:val="1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635" w:type="dxa"/>
                  <w:tcBorders>
                    <w:tl2br w:val="nil"/>
                    <w:tr2bl w:val="nil"/>
                  </w:tcBorders>
                  <w:noWrap w:val="0"/>
                  <w:vAlign w:val="center"/>
                </w:tcPr>
                <w:p w14:paraId="3EB80910">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vanish w:val="0"/>
                      <w:color w:val="auto"/>
                      <w:kern w:val="0"/>
                      <w:sz w:val="21"/>
                      <w:szCs w:val="21"/>
                      <w:lang w:val="en-US" w:eastAsia="zh-CN" w:bidi="ar"/>
                    </w:rPr>
                    <w:t>第四十六条因矿产资源开发造成生态环境破坏的，矿产资源开发企业应当依法承担生态环境治理修复和损害赔偿责任。矿产资源开发企业不履行生态环境治理修复责任或者治理修复不符合要求的，由自然资源、生态环境行政主管部门依法治理，所需费用由矿产资源开发企业承担</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无法确定责任人的，由县级以上人民政府指定相关行政主管部门负责矿山环境污染治理和生态修复。</w:t>
                  </w:r>
                </w:p>
              </w:tc>
              <w:tc>
                <w:tcPr>
                  <w:tcW w:w="2290" w:type="dxa"/>
                  <w:tcBorders>
                    <w:tl2br w:val="nil"/>
                    <w:tr2bl w:val="nil"/>
                  </w:tcBorders>
                  <w:noWrap w:val="0"/>
                  <w:vAlign w:val="center"/>
                </w:tcPr>
                <w:p w14:paraId="4F01B8D6">
                  <w:pPr>
                    <w:keepNext w:val="0"/>
                    <w:keepLines w:val="0"/>
                    <w:widowControl/>
                    <w:suppressLineNumbers w:val="0"/>
                    <w:jc w:val="left"/>
                    <w:rPr>
                      <w:rFonts w:hint="default" w:ascii="Times New Roman" w:hAnsi="Times New Roman" w:eastAsia="宋体" w:cs="Times New Roman"/>
                      <w:b w:val="0"/>
                      <w:bCs w:val="0"/>
                      <w:color w:val="auto"/>
                      <w:sz w:val="21"/>
                      <w:szCs w:val="21"/>
                      <w:highlight w:val="none"/>
                    </w:rPr>
                  </w:pPr>
                  <w:r>
                    <w:rPr>
                      <w:rFonts w:hint="eastAsia" w:ascii="宋体" w:hAnsi="宋体" w:eastAsia="宋体" w:cs="宋体"/>
                      <w:color w:val="auto"/>
                      <w:kern w:val="0"/>
                      <w:sz w:val="21"/>
                      <w:szCs w:val="21"/>
                      <w:lang w:val="en-US" w:eastAsia="zh-CN" w:bidi="ar"/>
                    </w:rPr>
                    <w:t>本项目废渣污染责任主体不明确，废渣综合治理迫在眉睫，项目由宝鸡市生态环境局太白分局负责矿山环境污染治理和生态修复。</w:t>
                  </w:r>
                </w:p>
              </w:tc>
              <w:tc>
                <w:tcPr>
                  <w:tcW w:w="592" w:type="dxa"/>
                  <w:tcBorders>
                    <w:tl2br w:val="nil"/>
                    <w:tr2bl w:val="nil"/>
                  </w:tcBorders>
                  <w:noWrap w:val="0"/>
                  <w:vAlign w:val="center"/>
                </w:tcPr>
                <w:p w14:paraId="47BCF66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1122B2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hidden/>
              </w:trPr>
              <w:tc>
                <w:tcPr>
                  <w:tcW w:w="1013" w:type="dxa"/>
                  <w:tcBorders>
                    <w:tl2br w:val="nil"/>
                    <w:tr2bl w:val="nil"/>
                  </w:tcBorders>
                  <w:noWrap w:val="0"/>
                  <w:vAlign w:val="center"/>
                </w:tcPr>
                <w:p w14:paraId="1ED5AD08">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vanish w:val="0"/>
                      <w:color w:val="auto"/>
                      <w:kern w:val="0"/>
                      <w:sz w:val="21"/>
                      <w:szCs w:val="21"/>
                      <w:lang w:val="en-US" w:eastAsia="zh-CN" w:bidi="ar"/>
                    </w:rPr>
                  </w:pPr>
                  <w:r>
                    <w:rPr>
                      <w:rFonts w:hint="default" w:ascii="Times New Roman" w:hAnsi="Times New Roman" w:eastAsia="宋体" w:cs="Times New Roman"/>
                      <w:b w:val="0"/>
                      <w:bCs w:val="0"/>
                      <w:vanish w:val="0"/>
                      <w:color w:val="auto"/>
                      <w:kern w:val="0"/>
                      <w:sz w:val="21"/>
                      <w:szCs w:val="21"/>
                      <w:lang w:val="en-US" w:eastAsia="zh-CN" w:bidi="ar"/>
                    </w:rPr>
                    <w:t>《陕西省秦岭生态环境保护总体规划》</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陕政办发</w:t>
                  </w:r>
                  <w:r>
                    <w:rPr>
                      <w:rFonts w:hint="eastAsia" w:cs="Times New Roman"/>
                      <w:b w:val="0"/>
                      <w:bCs w:val="0"/>
                      <w:vanish w:val="0"/>
                      <w:color w:val="auto"/>
                      <w:kern w:val="0"/>
                      <w:sz w:val="21"/>
                      <w:szCs w:val="21"/>
                      <w:lang w:val="en-US" w:eastAsia="zh-CN" w:bidi="ar"/>
                    </w:rPr>
                    <w:t>〔2020〕13号）</w:t>
                  </w:r>
                </w:p>
              </w:tc>
              <w:tc>
                <w:tcPr>
                  <w:tcW w:w="3635" w:type="dxa"/>
                  <w:tcBorders>
                    <w:tl2br w:val="nil"/>
                    <w:tr2bl w:val="nil"/>
                  </w:tcBorders>
                  <w:noWrap w:val="0"/>
                  <w:vAlign w:val="center"/>
                </w:tcPr>
                <w:p w14:paraId="4DB42A21">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eastAsia" w:ascii="Times New Roman" w:hAnsi="Times New Roman" w:eastAsia="宋体" w:cs="Times New Roman"/>
                      <w:b w:val="0"/>
                      <w:bCs w:val="0"/>
                      <w:vanish w:val="0"/>
                      <w:color w:val="auto"/>
                      <w:kern w:val="0"/>
                      <w:sz w:val="21"/>
                      <w:szCs w:val="21"/>
                      <w:lang w:val="en-US" w:eastAsia="zh-CN" w:bidi="ar"/>
                    </w:rPr>
                  </w:pPr>
                  <w:r>
                    <w:rPr>
                      <w:rFonts w:hint="eastAsia" w:ascii="Times New Roman" w:hAnsi="Times New Roman" w:eastAsia="宋体" w:cs="Times New Roman"/>
                      <w:b w:val="0"/>
                      <w:bCs w:val="0"/>
                      <w:vanish w:val="0"/>
                      <w:color w:val="auto"/>
                      <w:kern w:val="0"/>
                      <w:sz w:val="21"/>
                      <w:szCs w:val="21"/>
                      <w:lang w:val="en-US" w:eastAsia="zh-CN" w:bidi="ar"/>
                    </w:rPr>
                    <w:t>区域范围一般保护区指除核心保护区、重点保护区以外的区域。涉及39个县</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市、区</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，335个乡</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镇</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街道，3500多个行政村，常住人口430多万，面积约3.25万平方公里，占秦岭范围总面积的56%。设区市行政区域内一般保护区范围由市级划定。保护要求一般保护区内自然地理条件相对较好，人口密集、交通发达、产业集中，具有一定的发展空间，是资源环境承载能力相对较强的地区，主要承担实现经济社会高质量发展、促进人与自然和谐共生的功能。区域内各类生产、生活和建设活动应当严格执行《条例》和相关法规、规划的规定，严格执行一般保护区产业准入清单制度。</w:t>
                  </w:r>
                </w:p>
              </w:tc>
              <w:tc>
                <w:tcPr>
                  <w:tcW w:w="2290" w:type="dxa"/>
                  <w:tcBorders>
                    <w:tl2br w:val="nil"/>
                    <w:tr2bl w:val="nil"/>
                  </w:tcBorders>
                  <w:noWrap w:val="0"/>
                  <w:vAlign w:val="center"/>
                </w:tcPr>
                <w:p w14:paraId="4B4E679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本项目位于</w:t>
                  </w:r>
                  <w:r>
                    <w:rPr>
                      <w:rFonts w:hint="default" w:ascii="Times New Roman" w:hAnsi="Times New Roman" w:eastAsia="宋体" w:cs="Times New Roman"/>
                      <w:b w:val="0"/>
                      <w:bCs w:val="0"/>
                      <w:color w:val="auto"/>
                      <w:sz w:val="21"/>
                      <w:szCs w:val="21"/>
                      <w:highlight w:val="none"/>
                      <w:lang w:val="en-US" w:eastAsia="zh-CN"/>
                    </w:rPr>
                    <w:t>太白县咀头镇白云村</w:t>
                  </w:r>
                  <w:r>
                    <w:rPr>
                      <w:rFonts w:hint="default" w:ascii="Times New Roman" w:hAnsi="Times New Roman" w:eastAsia="宋体" w:cs="Times New Roman"/>
                      <w:b w:val="0"/>
                      <w:bCs w:val="0"/>
                      <w:color w:val="auto"/>
                      <w:sz w:val="21"/>
                      <w:szCs w:val="21"/>
                      <w:highlight w:val="none"/>
                      <w:lang w:eastAsia="zh-CN"/>
                    </w:rPr>
                    <w:t>，为矿山综合治理工程，项目海拔低于</w:t>
                  </w:r>
                  <w:r>
                    <w:rPr>
                      <w:rFonts w:hint="eastAsia" w:eastAsia="宋体" w:cs="Times New Roman"/>
                      <w:b w:val="0"/>
                      <w:bCs w:val="0"/>
                      <w:color w:val="auto"/>
                      <w:sz w:val="21"/>
                      <w:szCs w:val="21"/>
                      <w:highlight w:val="none"/>
                      <w:lang w:val="en-US" w:eastAsia="zh-CN"/>
                    </w:rPr>
                    <w:t>1500</w:t>
                  </w:r>
                  <w:r>
                    <w:rPr>
                      <w:rFonts w:hint="default" w:ascii="Times New Roman" w:hAnsi="Times New Roman" w:eastAsia="宋体" w:cs="Times New Roman"/>
                      <w:b w:val="0"/>
                      <w:bCs w:val="0"/>
                      <w:color w:val="auto"/>
                      <w:sz w:val="21"/>
                      <w:szCs w:val="21"/>
                      <w:highlight w:val="none"/>
                      <w:lang w:eastAsia="zh-CN"/>
                    </w:rPr>
                    <w:t>m，属于一般保护区，属于《陕西省秦岭重点保护区一般保护区产业准入清单》中一般保护区允许产业</w:t>
                  </w:r>
                  <w:r>
                    <w:rPr>
                      <w:rFonts w:hint="eastAsia" w:eastAsia="宋体" w:cs="Times New Roman"/>
                      <w:b w:val="0"/>
                      <w:bCs w:val="0"/>
                      <w:color w:val="auto"/>
                      <w:sz w:val="21"/>
                      <w:szCs w:val="21"/>
                      <w:highlight w:val="none"/>
                      <w:lang w:eastAsia="zh-CN"/>
                    </w:rPr>
                    <w:t>。</w:t>
                  </w:r>
                </w:p>
              </w:tc>
              <w:tc>
                <w:tcPr>
                  <w:tcW w:w="592" w:type="dxa"/>
                  <w:tcBorders>
                    <w:tl2br w:val="nil"/>
                    <w:tr2bl w:val="nil"/>
                  </w:tcBorders>
                  <w:noWrap w:val="0"/>
                  <w:vAlign w:val="center"/>
                </w:tcPr>
                <w:p w14:paraId="2AC367C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279C7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13" w:type="dxa"/>
                  <w:tcBorders>
                    <w:tl2br w:val="nil"/>
                    <w:tr2bl w:val="nil"/>
                  </w:tcBorders>
                  <w:noWrap w:val="0"/>
                  <w:vAlign w:val="center"/>
                </w:tcPr>
                <w:p w14:paraId="7FA39DD0">
                  <w:pPr>
                    <w:keepNext w:val="0"/>
                    <w:keepLines w:val="0"/>
                    <w:widowControl/>
                    <w:suppressLineNumbers w:val="0"/>
                    <w:jc w:val="center"/>
                    <w:rPr>
                      <w:rFonts w:hint="default"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《秦岭生态环境保护行动方案》</w:t>
                  </w:r>
                </w:p>
              </w:tc>
              <w:tc>
                <w:tcPr>
                  <w:tcW w:w="3635" w:type="dxa"/>
                  <w:tcBorders>
                    <w:tl2br w:val="nil"/>
                    <w:tr2bl w:val="nil"/>
                  </w:tcBorders>
                  <w:noWrap w:val="0"/>
                  <w:vAlign w:val="center"/>
                </w:tcPr>
                <w:p w14:paraId="7539FAA7">
                  <w:pPr>
                    <w:keepNext w:val="0"/>
                    <w:keepLines w:val="0"/>
                    <w:widowControl/>
                    <w:suppressLineNumbers w:val="0"/>
                    <w:jc w:val="left"/>
                    <w:rPr>
                      <w:rFonts w:hint="eastAsia"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秦岭禁止、限制开发区内矿业权、小水电有序退出，矿山修复和尾矿库治理有序推进，宗教场所、旅游景点、农家乐等常态化管理工作全面加强，秦岭生态环境得到全面恢复。</w:t>
                  </w:r>
                </w:p>
              </w:tc>
              <w:tc>
                <w:tcPr>
                  <w:tcW w:w="2290" w:type="dxa"/>
                  <w:tcBorders>
                    <w:tl2br w:val="nil"/>
                    <w:tr2bl w:val="nil"/>
                  </w:tcBorders>
                  <w:noWrap w:val="0"/>
                  <w:vAlign w:val="center"/>
                </w:tcPr>
                <w:p w14:paraId="51F2B70C">
                  <w:pPr>
                    <w:keepNext w:val="0"/>
                    <w:keepLines w:val="0"/>
                    <w:widowControl/>
                    <w:suppressLineNumbers w:val="0"/>
                    <w:jc w:val="left"/>
                    <w:rPr>
                      <w:rFonts w:hint="eastAsia" w:ascii="Times New Roman" w:hAnsi="Times New Roman" w:eastAsia="宋体" w:cs="Times New Roman"/>
                      <w:b w:val="0"/>
                      <w:bCs w:val="0"/>
                      <w:color w:val="auto"/>
                      <w:sz w:val="21"/>
                      <w:szCs w:val="21"/>
                      <w:highlight w:val="none"/>
                      <w:lang w:val="en-US" w:eastAsia="zh-CN"/>
                    </w:rPr>
                  </w:pPr>
                  <w:r>
                    <w:rPr>
                      <w:rFonts w:hint="eastAsia" w:ascii="宋体" w:hAnsi="宋体" w:eastAsia="宋体" w:cs="宋体"/>
                      <w:color w:val="auto"/>
                      <w:kern w:val="0"/>
                      <w:sz w:val="21"/>
                      <w:szCs w:val="21"/>
                      <w:lang w:val="en-US" w:eastAsia="zh-CN" w:bidi="ar"/>
                    </w:rPr>
                    <w:t>根据《陕西省秦岭生态环境保护总体规划》，本项目位于适度开发区，项目属于矿区修复治理工程，有利于恢复秦岭生态环境。</w:t>
                  </w:r>
                </w:p>
              </w:tc>
              <w:tc>
                <w:tcPr>
                  <w:tcW w:w="592" w:type="dxa"/>
                  <w:tcBorders>
                    <w:tl2br w:val="nil"/>
                    <w:tr2bl w:val="nil"/>
                  </w:tcBorders>
                  <w:noWrap w:val="0"/>
                  <w:vAlign w:val="center"/>
                </w:tcPr>
                <w:p w14:paraId="279001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2A9412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13" w:type="dxa"/>
                  <w:tcBorders>
                    <w:tl2br w:val="nil"/>
                    <w:tr2bl w:val="nil"/>
                  </w:tcBorders>
                  <w:noWrap w:val="0"/>
                  <w:vAlign w:val="center"/>
                </w:tcPr>
                <w:p w14:paraId="294A081C">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eastAsia" w:ascii="Times New Roman" w:hAnsi="Times New Roman" w:eastAsia="宋体" w:cs="Times New Roman"/>
                      <w:b w:val="0"/>
                      <w:bCs w:val="0"/>
                      <w:vanish w:val="0"/>
                      <w:color w:val="auto"/>
                      <w:kern w:val="0"/>
                      <w:sz w:val="21"/>
                      <w:szCs w:val="21"/>
                      <w:lang w:val="en-US" w:eastAsia="zh-CN" w:bidi="ar"/>
                    </w:rPr>
                  </w:pPr>
                  <w:r>
                    <w:rPr>
                      <w:rFonts w:hint="eastAsia" w:ascii="宋体" w:hAnsi="宋体" w:eastAsia="宋体" w:cs="宋体"/>
                      <w:color w:val="auto"/>
                      <w:kern w:val="0"/>
                      <w:sz w:val="21"/>
                      <w:szCs w:val="21"/>
                      <w:lang w:val="en-US" w:eastAsia="zh-CN" w:bidi="ar"/>
                    </w:rPr>
                    <w:t>《陕西省秦岭重点保护区一般保护区产业准入清单》（陕发改秦岭</w:t>
                  </w:r>
                  <w:r>
                    <w:rPr>
                      <w:rFonts w:ascii="微软雅黑" w:hAnsi="微软雅黑" w:eastAsia="微软雅黑" w:cs="微软雅黑"/>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2023</w:t>
                  </w:r>
                  <w:r>
                    <w:rPr>
                      <w:rFonts w:hint="eastAsia" w:ascii="微软雅黑" w:hAnsi="微软雅黑" w:eastAsia="微软雅黑" w:cs="微软雅黑"/>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632</w:t>
                  </w:r>
                  <w:r>
                    <w:rPr>
                      <w:rFonts w:hint="eastAsia" w:ascii="宋体" w:hAnsi="宋体" w:eastAsia="宋体" w:cs="宋体"/>
                      <w:color w:val="auto"/>
                      <w:kern w:val="0"/>
                      <w:sz w:val="21"/>
                      <w:szCs w:val="21"/>
                      <w:lang w:val="en-US" w:eastAsia="zh-CN" w:bidi="ar"/>
                    </w:rPr>
                    <w:t>号）</w:t>
                  </w:r>
                </w:p>
              </w:tc>
              <w:tc>
                <w:tcPr>
                  <w:tcW w:w="3635" w:type="dxa"/>
                  <w:tcBorders>
                    <w:tl2br w:val="nil"/>
                    <w:tr2bl w:val="nil"/>
                  </w:tcBorders>
                  <w:noWrap w:val="0"/>
                  <w:vAlign w:val="center"/>
                </w:tcPr>
                <w:p w14:paraId="36072DB1">
                  <w:pPr>
                    <w:keepNext w:val="0"/>
                    <w:keepLines w:val="0"/>
                    <w:widowControl/>
                    <w:suppressLineNumbers w:val="0"/>
                    <w:jc w:val="left"/>
                    <w:rPr>
                      <w:rFonts w:hint="eastAsia" w:ascii="Times New Roman" w:hAnsi="Times New Roman" w:eastAsia="宋体" w:cs="Times New Roman"/>
                      <w:b w:val="0"/>
                      <w:bCs w:val="0"/>
                      <w:vanish w:val="0"/>
                      <w:color w:val="auto"/>
                      <w:kern w:val="0"/>
                      <w:sz w:val="21"/>
                      <w:szCs w:val="21"/>
                      <w:lang w:val="en-US" w:eastAsia="zh-CN" w:bidi="ar"/>
                    </w:rPr>
                  </w:pPr>
                  <w:r>
                    <w:rPr>
                      <w:rFonts w:hint="eastAsia" w:ascii="Times New Roman" w:hAnsi="Times New Roman" w:eastAsia="宋体" w:cs="Times New Roman"/>
                      <w:b w:val="0"/>
                      <w:bCs w:val="0"/>
                      <w:vanish w:val="0"/>
                      <w:color w:val="auto"/>
                      <w:kern w:val="0"/>
                      <w:sz w:val="21"/>
                      <w:szCs w:val="21"/>
                      <w:lang w:val="en-US" w:eastAsia="zh-CN" w:bidi="ar"/>
                    </w:rPr>
                    <w:t>坚持“生态优先、绿色发展”导向，结合秦岭生态环境分区保护实际《产业准入清单》分类设置目录管理措施。重点保护区施行“允许目录”</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“允许目录”之外的产业、项目不得进入;一般保护区施行“限制目录”“禁止目录”</w:t>
                  </w:r>
                  <w:r>
                    <w:rPr>
                      <w:rFonts w:hint="eastAsia" w:cs="Times New Roman"/>
                      <w:b w:val="0"/>
                      <w:bCs w:val="0"/>
                      <w:vanish w:val="0"/>
                      <w:color w:val="auto"/>
                      <w:kern w:val="0"/>
                      <w:sz w:val="21"/>
                      <w:szCs w:val="21"/>
                      <w:lang w:val="en-US" w:eastAsia="zh-CN" w:bidi="ar"/>
                    </w:rPr>
                    <w:t>，</w:t>
                  </w:r>
                  <w:r>
                    <w:rPr>
                      <w:rFonts w:hint="eastAsia" w:ascii="Times New Roman" w:hAnsi="Times New Roman" w:eastAsia="宋体" w:cs="Times New Roman"/>
                      <w:b w:val="0"/>
                      <w:bCs w:val="0"/>
                      <w:vanish w:val="0"/>
                      <w:color w:val="auto"/>
                      <w:kern w:val="0"/>
                      <w:sz w:val="21"/>
                      <w:szCs w:val="21"/>
                      <w:lang w:val="en-US" w:eastAsia="zh-CN" w:bidi="ar"/>
                    </w:rPr>
                    <w:t>“限制目录”内的产业、项目必须满足相关规定方可进入，“禁止目录”内的产业、项目一律不得进入</w:t>
                  </w:r>
                </w:p>
              </w:tc>
              <w:tc>
                <w:tcPr>
                  <w:tcW w:w="2290" w:type="dxa"/>
                  <w:tcBorders>
                    <w:tl2br w:val="nil"/>
                    <w:tr2bl w:val="nil"/>
                  </w:tcBorders>
                  <w:noWrap w:val="0"/>
                  <w:vAlign w:val="center"/>
                </w:tcPr>
                <w:p w14:paraId="47339A66">
                  <w:pPr>
                    <w:keepNext w:val="0"/>
                    <w:keepLines w:val="0"/>
                    <w:widowControl/>
                    <w:suppressLineNumbers w:val="0"/>
                    <w:jc w:val="left"/>
                    <w:rPr>
                      <w:rFonts w:hint="default" w:ascii="Times New Roman" w:hAnsi="Times New Roman" w:eastAsia="宋体" w:cs="Times New Roman"/>
                      <w:b w:val="0"/>
                      <w:bCs w:val="0"/>
                      <w:color w:val="auto"/>
                      <w:sz w:val="21"/>
                      <w:szCs w:val="21"/>
                      <w:highlight w:val="none"/>
                      <w:lang w:val="en-US" w:eastAsia="zh-CN"/>
                    </w:rPr>
                  </w:pPr>
                  <w:r>
                    <w:rPr>
                      <w:rFonts w:hint="eastAsia" w:ascii="宋体" w:hAnsi="宋体" w:eastAsia="宋体" w:cs="宋体"/>
                      <w:color w:val="auto"/>
                      <w:kern w:val="0"/>
                      <w:sz w:val="21"/>
                      <w:szCs w:val="21"/>
                      <w:lang w:val="en-US" w:eastAsia="zh-CN" w:bidi="ar"/>
                    </w:rPr>
                    <w:t>本项目位于秦岭一般保护区，为矿山生态环境综合治理项目，</w:t>
                  </w:r>
                  <w:r>
                    <w:rPr>
                      <w:rFonts w:hint="eastAsia" w:ascii="宋体" w:hAnsi="宋体" w:cs="宋体"/>
                      <w:color w:val="auto"/>
                      <w:kern w:val="0"/>
                      <w:sz w:val="21"/>
                      <w:szCs w:val="21"/>
                      <w:lang w:val="en-US" w:eastAsia="zh-CN" w:bidi="ar"/>
                    </w:rPr>
                    <w:t>在</w:t>
                  </w:r>
                  <w:r>
                    <w:rPr>
                      <w:rFonts w:hint="eastAsia" w:ascii="Times New Roman" w:hAnsi="Times New Roman" w:eastAsia="宋体" w:cs="Times New Roman"/>
                      <w:b w:val="0"/>
                      <w:bCs w:val="0"/>
                      <w:vanish w:val="0"/>
                      <w:color w:val="auto"/>
                      <w:kern w:val="0"/>
                      <w:sz w:val="21"/>
                      <w:szCs w:val="21"/>
                      <w:lang w:val="en-US" w:eastAsia="zh-CN" w:bidi="ar"/>
                    </w:rPr>
                    <w:t>《产业准入清单》</w:t>
                  </w:r>
                  <w:r>
                    <w:rPr>
                      <w:rFonts w:hint="eastAsia" w:cs="Times New Roman"/>
                      <w:b w:val="0"/>
                      <w:bCs w:val="0"/>
                      <w:vanish w:val="0"/>
                      <w:color w:val="auto"/>
                      <w:kern w:val="0"/>
                      <w:sz w:val="21"/>
                      <w:szCs w:val="21"/>
                      <w:lang w:val="en-US" w:eastAsia="zh-CN" w:bidi="ar"/>
                    </w:rPr>
                    <w:t>允许目录内。</w:t>
                  </w:r>
                </w:p>
              </w:tc>
              <w:tc>
                <w:tcPr>
                  <w:tcW w:w="592" w:type="dxa"/>
                  <w:tcBorders>
                    <w:tl2br w:val="nil"/>
                    <w:tr2bl w:val="nil"/>
                  </w:tcBorders>
                  <w:noWrap w:val="0"/>
                  <w:vAlign w:val="center"/>
                </w:tcPr>
                <w:p w14:paraId="715939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6F1274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hidden/>
              </w:trPr>
              <w:tc>
                <w:tcPr>
                  <w:tcW w:w="1013" w:type="dxa"/>
                  <w:vMerge w:val="restart"/>
                  <w:tcBorders>
                    <w:tl2br w:val="nil"/>
                    <w:tr2bl w:val="nil"/>
                  </w:tcBorders>
                  <w:noWrap w:val="0"/>
                  <w:vAlign w:val="center"/>
                </w:tcPr>
                <w:p w14:paraId="3B883AD8">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eastAsia"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vanish w:val="0"/>
                      <w:color w:val="auto"/>
                      <w:kern w:val="0"/>
                      <w:sz w:val="21"/>
                      <w:szCs w:val="21"/>
                      <w:lang w:val="en-US" w:eastAsia="zh-CN" w:bidi="ar"/>
                    </w:rPr>
                    <w:t>《宝鸡市人民政府办公室关于印发秦岭生态环境保护规划的通知》宝政办发〔2020〕51号</w:t>
                  </w:r>
                </w:p>
              </w:tc>
              <w:tc>
                <w:tcPr>
                  <w:tcW w:w="3635" w:type="dxa"/>
                  <w:tcBorders>
                    <w:tl2br w:val="nil"/>
                    <w:tr2bl w:val="nil"/>
                  </w:tcBorders>
                  <w:noWrap w:val="0"/>
                  <w:vAlign w:val="center"/>
                </w:tcPr>
                <w:p w14:paraId="75CBEB80">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vanish w:val="0"/>
                      <w:color w:val="auto"/>
                      <w:kern w:val="0"/>
                      <w:sz w:val="21"/>
                      <w:szCs w:val="21"/>
                      <w:lang w:val="en-US" w:eastAsia="zh-CN" w:bidi="ar"/>
                    </w:rPr>
                    <w:t>按照“保证安全功能、突出生态功能、兼顾景观功能”原则，采取宜林则林、宜草则草、宜藤则藤等措施，综合治理矿产资源开发、削山采石等造成的生态破坏和环境污染，恢复区域整体生态功能。全面落实恢复治理责任，自然资源、生态环境行政主管部门指导督促企业编制并实施矿山地质环境保护与土地复垦、生态环境恢复治理方案，严肃查处不履行生态环境治理恢复责任或者治理修复不符合要求等行为。监督矿产资源开发企业采用生物、工程、技术等措施，加强矿山环境保护与恢复治理。无法确定责任人的，由县级以上人民政府指定相关行政主管部门负责矿山环境污染治理和生态修复。</w:t>
                  </w:r>
                </w:p>
              </w:tc>
              <w:tc>
                <w:tcPr>
                  <w:tcW w:w="2290" w:type="dxa"/>
                  <w:tcBorders>
                    <w:tl2br w:val="nil"/>
                    <w:tr2bl w:val="nil"/>
                  </w:tcBorders>
                  <w:noWrap w:val="0"/>
                  <w:vAlign w:val="center"/>
                </w:tcPr>
                <w:p w14:paraId="774C663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宋体" w:hAnsi="宋体" w:eastAsia="宋体" w:cs="宋体"/>
                      <w:color w:val="auto"/>
                      <w:kern w:val="0"/>
                      <w:sz w:val="21"/>
                      <w:szCs w:val="21"/>
                      <w:lang w:val="en-US" w:eastAsia="zh-CN" w:bidi="ar"/>
                    </w:rPr>
                    <w:t>本</w:t>
                  </w:r>
                  <w:r>
                    <w:rPr>
                      <w:rFonts w:hint="eastAsia" w:ascii="宋体" w:hAnsi="宋体" w:cs="宋体"/>
                      <w:color w:val="auto"/>
                      <w:kern w:val="0"/>
                      <w:sz w:val="21"/>
                      <w:szCs w:val="21"/>
                      <w:lang w:val="en-US" w:eastAsia="zh-CN" w:bidi="ar"/>
                    </w:rPr>
                    <w:t>项目</w:t>
                  </w:r>
                  <w:r>
                    <w:rPr>
                      <w:rFonts w:hint="eastAsia" w:ascii="宋体" w:hAnsi="宋体" w:eastAsia="宋体" w:cs="宋体"/>
                      <w:color w:val="auto"/>
                      <w:kern w:val="0"/>
                      <w:sz w:val="21"/>
                      <w:szCs w:val="21"/>
                      <w:lang w:val="en-US" w:eastAsia="zh-CN" w:bidi="ar"/>
                    </w:rPr>
                    <w:t>由宝鸡市生态环境局太白分局负责矿山环境污染治理和生态修复。</w:t>
                  </w:r>
                </w:p>
              </w:tc>
              <w:tc>
                <w:tcPr>
                  <w:tcW w:w="592" w:type="dxa"/>
                  <w:tcBorders>
                    <w:tl2br w:val="nil"/>
                    <w:tr2bl w:val="nil"/>
                  </w:tcBorders>
                  <w:noWrap w:val="0"/>
                  <w:vAlign w:val="center"/>
                </w:tcPr>
                <w:p w14:paraId="18D818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kern w:val="0"/>
                      <w:sz w:val="21"/>
                      <w:szCs w:val="21"/>
                      <w:highlight w:val="none"/>
                      <w:vertAlign w:val="baseline"/>
                      <w:lang w:val="en-US" w:eastAsia="zh-CN"/>
                    </w:rPr>
                    <w:t>符合</w:t>
                  </w:r>
                </w:p>
              </w:tc>
            </w:tr>
            <w:tr w14:paraId="62BE2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hidden/>
              </w:trPr>
              <w:tc>
                <w:tcPr>
                  <w:tcW w:w="1013" w:type="dxa"/>
                  <w:vMerge w:val="continue"/>
                  <w:tcBorders>
                    <w:tl2br w:val="nil"/>
                    <w:tr2bl w:val="nil"/>
                  </w:tcBorders>
                  <w:noWrap w:val="0"/>
                  <w:vAlign w:val="center"/>
                </w:tcPr>
                <w:p w14:paraId="3CE1A462">
                  <w:pPr>
                    <w:pStyle w:val="1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vanish w:val="0"/>
                      <w:color w:val="auto"/>
                      <w:kern w:val="0"/>
                      <w:sz w:val="21"/>
                      <w:szCs w:val="21"/>
                      <w:lang w:val="en-US" w:eastAsia="zh-CN" w:bidi="ar"/>
                    </w:rPr>
                  </w:pPr>
                </w:p>
              </w:tc>
              <w:tc>
                <w:tcPr>
                  <w:tcW w:w="3635" w:type="dxa"/>
                  <w:tcBorders>
                    <w:tl2br w:val="nil"/>
                    <w:tr2bl w:val="nil"/>
                  </w:tcBorders>
                  <w:noWrap w:val="0"/>
                  <w:vAlign w:val="center"/>
                </w:tcPr>
                <w:p w14:paraId="4CCC4DF6">
                  <w:pPr>
                    <w:pStyle w:val="21"/>
                    <w:keepNext w:val="0"/>
                    <w:keepLines w:val="0"/>
                    <w:pageBreakBefore w:val="0"/>
                    <w:widowControl w:val="0"/>
                    <w:kinsoku/>
                    <w:wordWrap/>
                    <w:overflowPunct/>
                    <w:topLinePunct w:val="0"/>
                    <w:autoSpaceDE/>
                    <w:autoSpaceDN/>
                    <w:bidi w:val="0"/>
                    <w:snapToGrid w:val="0"/>
                    <w:spacing w:line="240" w:lineRule="auto"/>
                    <w:ind w:left="0" w:leftChars="0" w:firstLine="0" w:firstLineChars="0"/>
                    <w:jc w:val="both"/>
                    <w:textAlignment w:val="auto"/>
                    <w:rPr>
                      <w:rFonts w:hint="default" w:eastAsia="宋体" w:cs="Times New Roman"/>
                      <w:b w:val="0"/>
                      <w:bCs w:val="0"/>
                      <w:vanish w:val="0"/>
                      <w:color w:val="auto"/>
                      <w:kern w:val="0"/>
                      <w:sz w:val="21"/>
                      <w:szCs w:val="21"/>
                      <w:lang w:val="en-US" w:eastAsia="zh-CN" w:bidi="ar"/>
                    </w:rPr>
                  </w:pPr>
                  <w:r>
                    <w:rPr>
                      <w:rFonts w:hint="default" w:ascii="Times New Roman" w:hAnsi="Times New Roman" w:eastAsia="宋体" w:cs="Times New Roman"/>
                      <w:b w:val="0"/>
                      <w:bCs w:val="0"/>
                      <w:vanish w:val="0"/>
                      <w:color w:val="auto"/>
                      <w:kern w:val="0"/>
                      <w:sz w:val="21"/>
                      <w:szCs w:val="21"/>
                      <w:lang w:val="en-US" w:eastAsia="zh-CN" w:bidi="ar"/>
                    </w:rPr>
                    <w:t>核心保护区主要包括海拔2000米以上区域，秦岭山系主梁两侧各1000米以内、主要支脉两侧各500米以内的区域</w:t>
                  </w:r>
                  <w:r>
                    <w:rPr>
                      <w:rFonts w:hint="eastAsia" w:cs="Times New Roman"/>
                      <w:b w:val="0"/>
                      <w:bCs w:val="0"/>
                      <w:vanish w:val="0"/>
                      <w:color w:val="auto"/>
                      <w:kern w:val="0"/>
                      <w:sz w:val="21"/>
                      <w:szCs w:val="21"/>
                      <w:lang w:val="en-US" w:eastAsia="zh-CN" w:bidi="ar"/>
                    </w:rPr>
                    <w:t>；</w:t>
                  </w:r>
                  <w:r>
                    <w:rPr>
                      <w:rFonts w:hint="default" w:ascii="Times New Roman" w:hAnsi="Times New Roman" w:eastAsia="宋体" w:cs="Times New Roman"/>
                      <w:b w:val="0"/>
                      <w:bCs w:val="0"/>
                      <w:vanish w:val="0"/>
                      <w:color w:val="auto"/>
                      <w:kern w:val="0"/>
                      <w:sz w:val="21"/>
                      <w:szCs w:val="21"/>
                      <w:lang w:val="en-US" w:eastAsia="zh-CN" w:bidi="ar"/>
                    </w:rPr>
                    <w:t>重点保护区主要包括海拔1500米至2000米之间的区域</w:t>
                  </w:r>
                  <w:r>
                    <w:rPr>
                      <w:rFonts w:hint="eastAsia" w:eastAsia="宋体" w:cs="Times New Roman"/>
                      <w:b w:val="0"/>
                      <w:bCs w:val="0"/>
                      <w:vanish w:val="0"/>
                      <w:color w:val="auto"/>
                      <w:kern w:val="0"/>
                      <w:sz w:val="21"/>
                      <w:szCs w:val="21"/>
                      <w:lang w:val="en-US" w:eastAsia="zh-CN" w:bidi="ar"/>
                    </w:rPr>
                    <w:t>；一般保护区指除核心保护区、重点保护区以外的区域，</w:t>
                  </w:r>
                  <w:r>
                    <w:rPr>
                      <w:rFonts w:hint="default" w:eastAsia="宋体" w:cs="Times New Roman"/>
                      <w:b w:val="0"/>
                      <w:bCs w:val="0"/>
                      <w:vanish w:val="0"/>
                      <w:color w:val="auto"/>
                      <w:kern w:val="0"/>
                      <w:sz w:val="21"/>
                      <w:szCs w:val="21"/>
                      <w:lang w:val="en-US" w:eastAsia="zh-CN" w:bidi="ar"/>
                    </w:rPr>
                    <w:t>保护要求。一般保护区内自然地理条件相对较好，人口密集、交通发达、产业集中，具有一定的发展空间，是资源环境承载能力相对较强的地区，主要承担实现经济社会高质量发展、促进人与自然和谐共生的功能。一般保护区各类生产、生活和建设活动应当严格执行《条例》和相关法规、规划的规定，严格执行一般保护区产业准入清单制度。</w:t>
                  </w:r>
                </w:p>
              </w:tc>
              <w:tc>
                <w:tcPr>
                  <w:tcW w:w="2290" w:type="dxa"/>
                  <w:tcBorders>
                    <w:tl2br w:val="nil"/>
                    <w:tr2bl w:val="nil"/>
                  </w:tcBorders>
                  <w:noWrap w:val="0"/>
                  <w:vAlign w:val="center"/>
                </w:tcPr>
                <w:p w14:paraId="310B3D7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本项目</w:t>
                  </w:r>
                  <w:r>
                    <w:rPr>
                      <w:rFonts w:hint="eastAsia" w:eastAsia="宋体" w:cs="Times New Roman"/>
                      <w:b w:val="0"/>
                      <w:bCs w:val="0"/>
                      <w:color w:val="auto"/>
                      <w:sz w:val="21"/>
                      <w:szCs w:val="21"/>
                      <w:highlight w:val="none"/>
                      <w:lang w:val="en-US" w:eastAsia="zh-CN"/>
                    </w:rPr>
                    <w:t>太白县咀头镇白云村</w:t>
                  </w:r>
                  <w:r>
                    <w:rPr>
                      <w:rFonts w:hint="default" w:ascii="Times New Roman" w:hAnsi="Times New Roman" w:eastAsia="宋体" w:cs="Times New Roman"/>
                      <w:b w:val="0"/>
                      <w:bCs w:val="0"/>
                      <w:color w:val="auto"/>
                      <w:sz w:val="21"/>
                      <w:szCs w:val="21"/>
                      <w:highlight w:val="none"/>
                      <w:lang w:val="en-US" w:eastAsia="zh-CN"/>
                    </w:rPr>
                    <w:t>，为矿山综合治理工程，项目区海拔低于</w:t>
                  </w:r>
                  <w:r>
                    <w:rPr>
                      <w:rFonts w:hint="eastAsia" w:eastAsia="宋体" w:cs="Times New Roman"/>
                      <w:b w:val="0"/>
                      <w:bCs w:val="0"/>
                      <w:color w:val="auto"/>
                      <w:sz w:val="21"/>
                      <w:szCs w:val="21"/>
                      <w:highlight w:val="none"/>
                      <w:lang w:val="en-US" w:eastAsia="zh-CN"/>
                    </w:rPr>
                    <w:t>1500</w:t>
                  </w:r>
                  <w:r>
                    <w:rPr>
                      <w:rFonts w:hint="default" w:ascii="Times New Roman" w:hAnsi="Times New Roman" w:eastAsia="宋体" w:cs="Times New Roman"/>
                      <w:b w:val="0"/>
                      <w:bCs w:val="0"/>
                      <w:color w:val="auto"/>
                      <w:sz w:val="21"/>
                      <w:szCs w:val="21"/>
                      <w:highlight w:val="none"/>
                      <w:lang w:val="en-US" w:eastAsia="zh-CN"/>
                    </w:rPr>
                    <w:t>m，属一般保护区。本项目不属于大规模工业化、城镇化，本项目符合《陕西省汉江丹江流域涉金属矿产开发生态环境综合整治规划</w:t>
                  </w:r>
                  <w:r>
                    <w:rPr>
                      <w:rFonts w:hint="eastAsia"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2021-2030年</w:t>
                  </w:r>
                  <w:r>
                    <w:rPr>
                      <w:rFonts w:hint="eastAsia"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》要求，目前按照规范要求执行环境影响评价制度。</w:t>
                  </w:r>
                </w:p>
              </w:tc>
              <w:tc>
                <w:tcPr>
                  <w:tcW w:w="592" w:type="dxa"/>
                  <w:tcBorders>
                    <w:tl2br w:val="nil"/>
                    <w:tr2bl w:val="nil"/>
                  </w:tcBorders>
                  <w:noWrap w:val="0"/>
                  <w:vAlign w:val="center"/>
                </w:tcPr>
                <w:p w14:paraId="71EA9C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2FF839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0" w:hRule="atLeast"/>
                <w:jc w:val="center"/>
                <w:hidden/>
              </w:trPr>
              <w:tc>
                <w:tcPr>
                  <w:tcW w:w="1013" w:type="dxa"/>
                  <w:tcBorders>
                    <w:tl2br w:val="nil"/>
                    <w:tr2bl w:val="nil"/>
                  </w:tcBorders>
                  <w:noWrap w:val="0"/>
                  <w:vAlign w:val="center"/>
                </w:tcPr>
                <w:p w14:paraId="57B7667A">
                  <w:pPr>
                    <w:pStyle w:val="1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b w:val="0"/>
                      <w:bCs w:val="0"/>
                      <w:vanish w:val="0"/>
                      <w:color w:val="auto"/>
                      <w:sz w:val="21"/>
                      <w:szCs w:val="21"/>
                      <w:lang w:val="en-US" w:eastAsia="zh-CN"/>
                    </w:rPr>
                    <w:t>《宝鸡市大气污染治理专项行动方案（2023-2027年）》</w:t>
                  </w:r>
                </w:p>
              </w:tc>
              <w:tc>
                <w:tcPr>
                  <w:tcW w:w="3635" w:type="dxa"/>
                  <w:tcBorders>
                    <w:tl2br w:val="nil"/>
                    <w:tr2bl w:val="nil"/>
                  </w:tcBorders>
                  <w:noWrap w:val="0"/>
                  <w:vAlign w:val="center"/>
                </w:tcPr>
                <w:p w14:paraId="051E26E7">
                  <w:pPr>
                    <w:pStyle w:val="19"/>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vanish w:val="0"/>
                      <w:color w:val="auto"/>
                      <w:sz w:val="21"/>
                      <w:szCs w:val="21"/>
                      <w:lang w:val="en-US" w:eastAsia="zh-CN"/>
                    </w:rPr>
                    <w:t>扬尘治理工程。严格执行施工场地</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六个百分百</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，施工</w:t>
                  </w:r>
                  <w:r>
                    <w:rPr>
                      <w:rFonts w:hint="eastAsia" w:ascii="Times New Roman" w:hAnsi="Times New Roman" w:eastAsia="宋体" w:cs="Times New Roman"/>
                      <w:b w:val="0"/>
                      <w:bCs w:val="0"/>
                      <w:vanish w:val="0"/>
                      <w:color w:val="auto"/>
                      <w:sz w:val="21"/>
                      <w:szCs w:val="21"/>
                      <w:lang w:val="en-US" w:eastAsia="zh-CN"/>
                    </w:rPr>
                    <w:t>场地</w:t>
                  </w:r>
                  <w:r>
                    <w:rPr>
                      <w:rFonts w:hint="default" w:ascii="Times New Roman" w:hAnsi="Times New Roman" w:eastAsia="宋体" w:cs="Times New Roman"/>
                      <w:b w:val="0"/>
                      <w:bCs w:val="0"/>
                      <w:vanish w:val="0"/>
                      <w:color w:val="auto"/>
                      <w:sz w:val="21"/>
                      <w:szCs w:val="21"/>
                      <w:lang w:val="en-US" w:eastAsia="zh-CN"/>
                    </w:rPr>
                    <w:t>扬尘排放超过《施工场界扬尘排放限值（DB61/1078-2017</w:t>
                  </w:r>
                  <w:r>
                    <w:rPr>
                      <w:rFonts w:hint="eastAsia" w:eastAsia="宋体"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》的立即停工整改。强化渣土车辆运输管理，依法从严查处无证运输、冒尖运输、不按规定路线和时间运输、带泥上路、沿街</w:t>
                  </w:r>
                  <w:r>
                    <w:rPr>
                      <w:rFonts w:hint="eastAsia" w:cs="Times New Roman"/>
                      <w:b w:val="0"/>
                      <w:bCs w:val="0"/>
                      <w:vanish w:val="0"/>
                      <w:color w:val="auto"/>
                      <w:sz w:val="21"/>
                      <w:szCs w:val="21"/>
                      <w:lang w:val="en-US" w:eastAsia="zh-CN"/>
                    </w:rPr>
                    <w:t>抛撒</w:t>
                  </w:r>
                  <w:r>
                    <w:rPr>
                      <w:rFonts w:hint="default" w:ascii="Times New Roman" w:hAnsi="Times New Roman" w:eastAsia="宋体" w:cs="Times New Roman"/>
                      <w:b w:val="0"/>
                      <w:bCs w:val="0"/>
                      <w:vanish w:val="0"/>
                      <w:color w:val="auto"/>
                      <w:sz w:val="21"/>
                      <w:szCs w:val="21"/>
                      <w:lang w:val="en-US" w:eastAsia="zh-CN"/>
                    </w:rPr>
                    <w:t>等行为。严禁露天装卸作业和物料干法作业。</w:t>
                  </w:r>
                </w:p>
              </w:tc>
              <w:tc>
                <w:tcPr>
                  <w:tcW w:w="2290" w:type="dxa"/>
                  <w:tcBorders>
                    <w:tl2br w:val="nil"/>
                    <w:tr2bl w:val="nil"/>
                  </w:tcBorders>
                  <w:noWrap w:val="0"/>
                  <w:vAlign w:val="center"/>
                </w:tcPr>
                <w:p w14:paraId="7B5B6C6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施工期间严格按照该方案中的相关要求，</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1</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严格落实“七个到位”要求</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2</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公示在建工地施工现场具体防治措施及负责人信息，全面落实“六个百分之百”要求</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3</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要求施工单位运输车辆严格落实密闭运输要求，防止运输过程中抛洒滴漏及扬尘问题</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4</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施工期安装建筑工地扬尘在线监测系统和视频监控，与行业监管部门联网。</w:t>
                  </w:r>
                </w:p>
              </w:tc>
              <w:tc>
                <w:tcPr>
                  <w:tcW w:w="592" w:type="dxa"/>
                  <w:tcBorders>
                    <w:tl2br w:val="nil"/>
                    <w:tr2bl w:val="nil"/>
                  </w:tcBorders>
                  <w:noWrap w:val="0"/>
                  <w:vAlign w:val="center"/>
                </w:tcPr>
                <w:p w14:paraId="1D7D61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rPr>
                  </w:pPr>
                  <w:r>
                    <w:rPr>
                      <w:rFonts w:hint="eastAsia" w:cs="Times New Roman"/>
                      <w:color w:val="auto"/>
                      <w:kern w:val="0"/>
                      <w:sz w:val="21"/>
                      <w:szCs w:val="21"/>
                      <w:highlight w:val="none"/>
                      <w:vertAlign w:val="baseline"/>
                      <w:lang w:val="en-US" w:eastAsia="zh-CN"/>
                    </w:rPr>
                    <w:t>符合</w:t>
                  </w:r>
                </w:p>
              </w:tc>
            </w:tr>
            <w:tr w14:paraId="2A38B2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hidden/>
              </w:trPr>
              <w:tc>
                <w:tcPr>
                  <w:tcW w:w="1013" w:type="dxa"/>
                  <w:vMerge w:val="restart"/>
                  <w:tcBorders>
                    <w:tl2br w:val="nil"/>
                    <w:tr2bl w:val="nil"/>
                  </w:tcBorders>
                  <w:noWrap w:val="0"/>
                  <w:vAlign w:val="center"/>
                </w:tcPr>
                <w:p w14:paraId="20F4F5E2">
                  <w:pPr>
                    <w:pStyle w:val="1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b w:val="0"/>
                      <w:bCs w:val="0"/>
                      <w:vanish w:val="0"/>
                      <w:color w:val="auto"/>
                      <w:sz w:val="21"/>
                      <w:szCs w:val="21"/>
                      <w:lang w:val="en-US" w:eastAsia="zh-CN"/>
                    </w:rPr>
                  </w:pPr>
                  <w:r>
                    <w:rPr>
                      <w:rFonts w:hint="eastAsia"/>
                      <w:b w:val="0"/>
                      <w:bCs w:val="0"/>
                      <w:vanish w:val="0"/>
                      <w:color w:val="auto"/>
                      <w:sz w:val="21"/>
                      <w:szCs w:val="21"/>
                      <w:lang w:val="en-US" w:eastAsia="zh-CN"/>
                    </w:rPr>
                    <w:t>《宝鸡市汉丹江流域涉金属矿产开发生态环境综合整治方案（2022-2030年）》的通知（宝环发〔2023〕93号）</w:t>
                  </w:r>
                </w:p>
              </w:tc>
              <w:tc>
                <w:tcPr>
                  <w:tcW w:w="3635" w:type="dxa"/>
                  <w:tcBorders>
                    <w:tl2br w:val="nil"/>
                    <w:tr2bl w:val="nil"/>
                  </w:tcBorders>
                  <w:noWrap w:val="0"/>
                  <w:vAlign w:val="center"/>
                </w:tcPr>
                <w:p w14:paraId="41F90B70">
                  <w:pPr>
                    <w:pStyle w:val="19"/>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宝鸡市境内汉江流域水系主要涉及汉江支流，位于东经106°52'30"~107°24'8"、北纬33°46'19"~34°1029"，主要分布于凤县和太白县，涉及流域面积约0.27万平方公里，</w:t>
                  </w:r>
                </w:p>
              </w:tc>
              <w:tc>
                <w:tcPr>
                  <w:tcW w:w="2290" w:type="dxa"/>
                  <w:tcBorders>
                    <w:tl2br w:val="nil"/>
                    <w:tr2bl w:val="nil"/>
                  </w:tcBorders>
                  <w:noWrap w:val="0"/>
                  <w:vAlign w:val="center"/>
                </w:tcPr>
                <w:p w14:paraId="731BCD9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0"/>
                      <w:sz w:val="21"/>
                      <w:szCs w:val="21"/>
                      <w:highlight w:val="none"/>
                      <w:vertAlign w:val="baseline"/>
                      <w:lang w:val="en-US" w:eastAsia="zh-CN"/>
                    </w:rPr>
                    <w:t>本项目位于宝鸡市太白县咀头镇，进行铅锌</w:t>
                  </w:r>
                  <w:r>
                    <w:rPr>
                      <w:rFonts w:hint="eastAsia" w:cs="Times New Roman"/>
                      <w:color w:val="auto"/>
                      <w:kern w:val="0"/>
                      <w:sz w:val="21"/>
                      <w:szCs w:val="21"/>
                      <w:highlight w:val="none"/>
                      <w:vertAlign w:val="baseline"/>
                      <w:lang w:val="en-US" w:eastAsia="zh-CN"/>
                    </w:rPr>
                    <w:t>金矿废渣综合治理工程</w:t>
                  </w:r>
                  <w:r>
                    <w:rPr>
                      <w:rFonts w:hint="default" w:ascii="Times New Roman" w:hAnsi="Times New Roman" w:eastAsia="宋体" w:cs="Times New Roman"/>
                      <w:color w:val="auto"/>
                      <w:kern w:val="0"/>
                      <w:sz w:val="21"/>
                      <w:szCs w:val="21"/>
                      <w:highlight w:val="none"/>
                      <w:vertAlign w:val="baseline"/>
                      <w:lang w:val="en-US" w:eastAsia="zh-CN"/>
                    </w:rPr>
                    <w:t>，属于规划范围内综合整治对象</w:t>
                  </w:r>
                  <w:r>
                    <w:rPr>
                      <w:rFonts w:hint="eastAsia" w:cs="Times New Roman"/>
                      <w:color w:val="auto"/>
                      <w:kern w:val="0"/>
                      <w:sz w:val="21"/>
                      <w:szCs w:val="21"/>
                      <w:highlight w:val="none"/>
                      <w:vertAlign w:val="baseline"/>
                      <w:lang w:val="en-US" w:eastAsia="zh-CN"/>
                    </w:rPr>
                    <w:t>。</w:t>
                  </w:r>
                </w:p>
              </w:tc>
              <w:tc>
                <w:tcPr>
                  <w:tcW w:w="592" w:type="dxa"/>
                  <w:tcBorders>
                    <w:tl2br w:val="nil"/>
                    <w:tr2bl w:val="nil"/>
                  </w:tcBorders>
                  <w:noWrap w:val="0"/>
                  <w:vAlign w:val="center"/>
                </w:tcPr>
                <w:p w14:paraId="671EBE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符合</w:t>
                  </w:r>
                </w:p>
              </w:tc>
            </w:tr>
            <w:tr w14:paraId="20D3B9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3" w:type="dxa"/>
                  <w:vMerge w:val="continue"/>
                  <w:tcBorders>
                    <w:tl2br w:val="nil"/>
                    <w:tr2bl w:val="nil"/>
                  </w:tcBorders>
                  <w:noWrap w:val="0"/>
                  <w:vAlign w:val="center"/>
                </w:tcPr>
                <w:p w14:paraId="4844A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p>
              </w:tc>
              <w:tc>
                <w:tcPr>
                  <w:tcW w:w="3635" w:type="dxa"/>
                  <w:tcBorders>
                    <w:tl2br w:val="nil"/>
                    <w:tr2bl w:val="nil"/>
                  </w:tcBorders>
                  <w:noWrap w:val="0"/>
                  <w:vAlign w:val="center"/>
                </w:tcPr>
                <w:p w14:paraId="58D073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对于渣堆结构极不稳定，已经发生垮塌、滑坡、泥石流等地质灾害和涉及重金属污染的高风险涉金属废渣堆要优先治理修复，可以通过“以废治废</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综合利用”</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建筑、装修材料、提取有价组分等</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等手段对污染源头进行“减量化”</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过程防控方面采用污染源“钝化</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固化</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阻隔”等技术手段实现污染源头重金属元素的稳定化，减少源头重金属释放量。同时，针对废渣堆区域的矿硐、尾矿库等风险源进行综合整治与防控，确保综合整治工程的有效性，推动《方案》划定的监测断面主要关注污染物浓度持续达标，保证水体水质要求</w:t>
                  </w:r>
                </w:p>
              </w:tc>
              <w:tc>
                <w:tcPr>
                  <w:tcW w:w="2290" w:type="dxa"/>
                  <w:tcBorders>
                    <w:tl2br w:val="nil"/>
                    <w:tr2bl w:val="nil"/>
                  </w:tcBorders>
                  <w:noWrap w:val="0"/>
                  <w:vAlign w:val="center"/>
                </w:tcPr>
                <w:p w14:paraId="5C8C2E01">
                  <w:pPr>
                    <w:keepNext w:val="0"/>
                    <w:keepLines w:val="0"/>
                    <w:pageBreakBefore w:val="0"/>
                    <w:widowControl w:val="0"/>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本项目工程采用渣堆削坡整形→边坡压实→HDPE两布一膜水平阻隔层施工→坡脚挡墙修建→分级截排水系统→0.</w:t>
                  </w:r>
                  <w:r>
                    <w:rPr>
                      <w:rFonts w:hint="eastAsia" w:cs="Times New Roman"/>
                      <w:color w:val="auto"/>
                      <w:kern w:val="0"/>
                      <w:sz w:val="21"/>
                      <w:szCs w:val="21"/>
                      <w:highlight w:val="none"/>
                      <w:vertAlign w:val="baseline"/>
                      <w:lang w:val="en-US" w:eastAsia="zh-CN"/>
                    </w:rPr>
                    <w:t>4</w:t>
                  </w:r>
                  <w:r>
                    <w:rPr>
                      <w:rFonts w:hint="default" w:ascii="Times New Roman" w:hAnsi="Times New Roman" w:eastAsia="宋体" w:cs="Times New Roman"/>
                      <w:color w:val="auto"/>
                      <w:kern w:val="0"/>
                      <w:sz w:val="21"/>
                      <w:szCs w:val="21"/>
                      <w:highlight w:val="none"/>
                      <w:vertAlign w:val="baseline"/>
                      <w:lang w:val="en-US" w:eastAsia="zh-CN"/>
                    </w:rPr>
                    <w:t>m覆土→三维植被网+草籽复绿→警示标识布设→长效监测管护进行封场</w:t>
                  </w:r>
                  <w:r>
                    <w:rPr>
                      <w:rFonts w:hint="eastAsia" w:cs="Times New Roman"/>
                      <w:color w:val="auto"/>
                      <w:kern w:val="0"/>
                      <w:sz w:val="21"/>
                      <w:szCs w:val="21"/>
                      <w:highlight w:val="none"/>
                      <w:vertAlign w:val="baseline"/>
                      <w:lang w:val="en-US" w:eastAsia="zh-CN"/>
                    </w:rPr>
                    <w:t>等措施对废渣堆进行治理修复，符合方案要求</w:t>
                  </w:r>
                </w:p>
              </w:tc>
              <w:tc>
                <w:tcPr>
                  <w:tcW w:w="592" w:type="dxa"/>
                  <w:tcBorders>
                    <w:tl2br w:val="nil"/>
                    <w:tr2bl w:val="nil"/>
                  </w:tcBorders>
                  <w:noWrap w:val="0"/>
                  <w:vAlign w:val="center"/>
                </w:tcPr>
                <w:p w14:paraId="230582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eastAsia" w:cs="Times New Roman"/>
                      <w:color w:val="auto"/>
                      <w:kern w:val="0"/>
                      <w:sz w:val="21"/>
                      <w:szCs w:val="21"/>
                      <w:highlight w:val="none"/>
                      <w:vertAlign w:val="baseline"/>
                      <w:lang w:val="en-US" w:eastAsia="zh-CN"/>
                    </w:rPr>
                    <w:t>符合</w:t>
                  </w:r>
                </w:p>
              </w:tc>
            </w:tr>
            <w:tr w14:paraId="3E7EF4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 w:hRule="atLeast"/>
                <w:jc w:val="center"/>
                <w:hidden/>
              </w:trPr>
              <w:tc>
                <w:tcPr>
                  <w:tcW w:w="1013" w:type="dxa"/>
                  <w:vMerge w:val="continue"/>
                  <w:tcBorders>
                    <w:tl2br w:val="nil"/>
                    <w:tr2bl w:val="nil"/>
                  </w:tcBorders>
                  <w:noWrap w:val="0"/>
                  <w:vAlign w:val="center"/>
                </w:tcPr>
                <w:p w14:paraId="56A34C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p>
              </w:tc>
              <w:tc>
                <w:tcPr>
                  <w:tcW w:w="3635" w:type="dxa"/>
                  <w:tcBorders>
                    <w:tl2br w:val="nil"/>
                    <w:tr2bl w:val="nil"/>
                  </w:tcBorders>
                  <w:noWrap w:val="0"/>
                  <w:vAlign w:val="center"/>
                </w:tcPr>
                <w:p w14:paraId="178DAF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鼓励矿山企业通过工艺优化、综合利用等先进技术手段减少采矿废渣、尾矿砂的排放量。对已存在的各类废渣鼓励采用“综合利用”+“以废治废”相结合方式，对能够实现资源化利用的废渣优先进行综合利用。针对无法实现综合利用的废渣，可以考虑按照《一般工业固体废物贮存和填埋污染控制标准》</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GB18599-2020</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要求，对属于I类固废的废渣或者进行处理后达到回填要求的废渣进行采空区、矿硐、矿坑回填，实现废渣的减量化。</w:t>
                  </w:r>
                </w:p>
              </w:tc>
              <w:tc>
                <w:tcPr>
                  <w:tcW w:w="2290" w:type="dxa"/>
                  <w:tcBorders>
                    <w:tl2br w:val="nil"/>
                    <w:tr2bl w:val="nil"/>
                  </w:tcBorders>
                  <w:noWrap w:val="0"/>
                  <w:vAlign w:val="center"/>
                </w:tcPr>
                <w:p w14:paraId="6DB938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根据“废渣定性判定”可知，项目治理区内的废渣均属于第I类一般工业固体废物。本项目工程采用渣堆削坡整形→边坡压实→HDPE两布一膜水平阻隔层施工→坡脚挡墙修建→分级截排水系统→0.</w:t>
                  </w:r>
                  <w:r>
                    <w:rPr>
                      <w:rFonts w:hint="eastAsia" w:cs="Times New Roman"/>
                      <w:color w:val="auto"/>
                      <w:kern w:val="0"/>
                      <w:sz w:val="21"/>
                      <w:szCs w:val="21"/>
                      <w:highlight w:val="none"/>
                      <w:vertAlign w:val="baseline"/>
                      <w:lang w:val="en-US" w:eastAsia="zh-CN"/>
                    </w:rPr>
                    <w:t>4</w:t>
                  </w:r>
                  <w:r>
                    <w:rPr>
                      <w:rFonts w:hint="default" w:ascii="Times New Roman" w:hAnsi="Times New Roman" w:eastAsia="宋体" w:cs="Times New Roman"/>
                      <w:color w:val="auto"/>
                      <w:kern w:val="0"/>
                      <w:sz w:val="21"/>
                      <w:szCs w:val="21"/>
                      <w:highlight w:val="none"/>
                      <w:vertAlign w:val="baseline"/>
                      <w:lang w:val="en-US" w:eastAsia="zh-CN"/>
                    </w:rPr>
                    <w:t>m覆土→三维植被网+草籽复绿→警示标识布设→长效监测管护进行封场，均按照I类固体废物的处置办法进行集中封存。</w:t>
                  </w:r>
                </w:p>
              </w:tc>
              <w:tc>
                <w:tcPr>
                  <w:tcW w:w="592" w:type="dxa"/>
                  <w:tcBorders>
                    <w:tl2br w:val="nil"/>
                    <w:tr2bl w:val="nil"/>
                  </w:tcBorders>
                  <w:noWrap w:val="0"/>
                  <w:vAlign w:val="center"/>
                </w:tcPr>
                <w:p w14:paraId="415649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eastAsia" w:cs="Times New Roman"/>
                      <w:color w:val="auto"/>
                      <w:kern w:val="0"/>
                      <w:sz w:val="21"/>
                      <w:szCs w:val="21"/>
                      <w:highlight w:val="none"/>
                      <w:vertAlign w:val="baseline"/>
                      <w:lang w:val="en-US" w:eastAsia="zh-CN"/>
                    </w:rPr>
                    <w:t>符合</w:t>
                  </w:r>
                </w:p>
              </w:tc>
            </w:tr>
            <w:tr w14:paraId="44AB2D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9" w:hRule="atLeast"/>
                <w:jc w:val="center"/>
                <w:hidden/>
              </w:trPr>
              <w:tc>
                <w:tcPr>
                  <w:tcW w:w="1013" w:type="dxa"/>
                  <w:vMerge w:val="restart"/>
                  <w:tcBorders>
                    <w:tl2br w:val="nil"/>
                    <w:tr2bl w:val="nil"/>
                  </w:tcBorders>
                  <w:noWrap w:val="0"/>
                  <w:vAlign w:val="center"/>
                </w:tcPr>
                <w:p w14:paraId="491437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《太白县汉丹江流域涉金属矿产开发生态环境综合整治方案（2023-2030年）》的通知</w:t>
                  </w:r>
                  <w:r>
                    <w:rPr>
                      <w:rFonts w:hint="eastAsia" w:cs="Times New Roman"/>
                      <w:b w:val="0"/>
                      <w:bCs w:val="0"/>
                      <w:vanish w:val="0"/>
                      <w:color w:val="auto"/>
                      <w:sz w:val="21"/>
                      <w:szCs w:val="21"/>
                      <w:lang w:val="en-US" w:eastAsia="zh-CN"/>
                    </w:rPr>
                    <w:t>（太政办发〔2024〕1号）</w:t>
                  </w:r>
                </w:p>
              </w:tc>
              <w:tc>
                <w:tcPr>
                  <w:tcW w:w="3635" w:type="dxa"/>
                  <w:tcBorders>
                    <w:tl2br w:val="nil"/>
                    <w:tr2bl w:val="nil"/>
                  </w:tcBorders>
                  <w:noWrap w:val="0"/>
                  <w:vAlign w:val="center"/>
                </w:tcPr>
                <w:p w14:paraId="697BDD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陕西省汉丹江流域北靠秦岭、南依巴蜀，在我市境内位于106°52'30"-107°24'8"、北纬33°46'19"-34°10'29"间，汉丹江支流涉及我县除鹦鸽镇、桃川镇以外所有乡镇。根据《规划》和《方案》，其中涉及我县整治点位共计22处。</w:t>
                  </w:r>
                </w:p>
              </w:tc>
              <w:tc>
                <w:tcPr>
                  <w:tcW w:w="2290" w:type="dxa"/>
                  <w:tcBorders>
                    <w:tl2br w:val="nil"/>
                    <w:tr2bl w:val="nil"/>
                  </w:tcBorders>
                  <w:noWrap w:val="0"/>
                  <w:vAlign w:val="center"/>
                </w:tcPr>
                <w:p w14:paraId="70452B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本项目位于宝鸡市太白县咀头镇，进行铅锌</w:t>
                  </w:r>
                  <w:r>
                    <w:rPr>
                      <w:rFonts w:hint="eastAsia" w:cs="Times New Roman"/>
                      <w:color w:val="auto"/>
                      <w:kern w:val="0"/>
                      <w:sz w:val="21"/>
                      <w:szCs w:val="21"/>
                      <w:highlight w:val="none"/>
                      <w:vertAlign w:val="baseline"/>
                      <w:lang w:val="en-US" w:eastAsia="zh-CN"/>
                    </w:rPr>
                    <w:t>金矿废渣综合治理工程</w:t>
                  </w:r>
                  <w:r>
                    <w:rPr>
                      <w:rFonts w:hint="default" w:ascii="Times New Roman" w:hAnsi="Times New Roman" w:eastAsia="宋体" w:cs="Times New Roman"/>
                      <w:color w:val="auto"/>
                      <w:kern w:val="0"/>
                      <w:sz w:val="21"/>
                      <w:szCs w:val="21"/>
                      <w:highlight w:val="none"/>
                      <w:vertAlign w:val="baseline"/>
                      <w:lang w:val="en-US" w:eastAsia="zh-CN"/>
                    </w:rPr>
                    <w:t>，属于规划范围内综合整治对象</w:t>
                  </w:r>
                  <w:r>
                    <w:rPr>
                      <w:rFonts w:hint="eastAsia" w:cs="Times New Roman"/>
                      <w:color w:val="auto"/>
                      <w:kern w:val="0"/>
                      <w:sz w:val="21"/>
                      <w:szCs w:val="21"/>
                      <w:highlight w:val="none"/>
                      <w:vertAlign w:val="baseline"/>
                      <w:lang w:val="en-US" w:eastAsia="zh-CN"/>
                    </w:rPr>
                    <w:t>。</w:t>
                  </w:r>
                </w:p>
              </w:tc>
              <w:tc>
                <w:tcPr>
                  <w:tcW w:w="592" w:type="dxa"/>
                  <w:tcBorders>
                    <w:tl2br w:val="nil"/>
                    <w:tr2bl w:val="nil"/>
                  </w:tcBorders>
                  <w:noWrap w:val="0"/>
                  <w:vAlign w:val="center"/>
                </w:tcPr>
                <w:p w14:paraId="707685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eastAsia" w:cs="Times New Roman"/>
                      <w:color w:val="auto"/>
                      <w:kern w:val="0"/>
                      <w:sz w:val="21"/>
                      <w:szCs w:val="21"/>
                      <w:highlight w:val="none"/>
                      <w:vertAlign w:val="baseline"/>
                      <w:lang w:val="en-US" w:eastAsia="zh-CN"/>
                    </w:rPr>
                    <w:t>符合</w:t>
                  </w:r>
                </w:p>
              </w:tc>
            </w:tr>
            <w:tr w14:paraId="0AFBD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1013" w:type="dxa"/>
                  <w:vMerge w:val="continue"/>
                  <w:tcBorders>
                    <w:tl2br w:val="nil"/>
                    <w:tr2bl w:val="nil"/>
                  </w:tcBorders>
                  <w:noWrap w:val="0"/>
                  <w:vAlign w:val="center"/>
                </w:tcPr>
                <w:p w14:paraId="565F02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p>
              </w:tc>
              <w:tc>
                <w:tcPr>
                  <w:tcW w:w="3635" w:type="dxa"/>
                  <w:tcBorders>
                    <w:tl2br w:val="nil"/>
                    <w:tr2bl w:val="nil"/>
                  </w:tcBorders>
                  <w:noWrap w:val="0"/>
                  <w:vAlign w:val="center"/>
                </w:tcPr>
                <w:p w14:paraId="63A588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b w:val="0"/>
                      <w:bCs w:val="0"/>
                      <w:vanish w:val="0"/>
                      <w:color w:val="auto"/>
                      <w:sz w:val="21"/>
                      <w:szCs w:val="21"/>
                      <w:lang w:val="en-US" w:eastAsia="zh-CN"/>
                    </w:rPr>
                    <w:t>鼓励矿山企业通过工艺优化、综合利用等先进技术手段减少采矿废渣、尾矿砂的排放量。对已存在的各类废渣鼓励采用“综合利用”加“以废治废”相结合方式，对能够实现资源化利用的废渣优先进行综合利用。无法利用的，可按照《一般工业固体废物贮存和填埋污染控制标准》</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GB18599-2020</w:t>
                  </w:r>
                  <w:r>
                    <w:rPr>
                      <w:rFonts w:hint="eastAsia" w:cs="Times New Roman"/>
                      <w:b w:val="0"/>
                      <w:bCs w:val="0"/>
                      <w:vanish w:val="0"/>
                      <w:color w:val="auto"/>
                      <w:sz w:val="21"/>
                      <w:szCs w:val="21"/>
                      <w:lang w:val="en-US" w:eastAsia="zh-CN"/>
                    </w:rPr>
                    <w:t>）</w:t>
                  </w:r>
                  <w:r>
                    <w:rPr>
                      <w:rFonts w:hint="default" w:ascii="Times New Roman" w:hAnsi="Times New Roman" w:eastAsia="宋体" w:cs="Times New Roman"/>
                      <w:b w:val="0"/>
                      <w:bCs w:val="0"/>
                      <w:vanish w:val="0"/>
                      <w:color w:val="auto"/>
                      <w:sz w:val="21"/>
                      <w:szCs w:val="21"/>
                      <w:lang w:val="en-US" w:eastAsia="zh-CN"/>
                    </w:rPr>
                    <w:t>要求，对属于I固废的废渣进行处理后进行回填，实现废渣减量化。</w:t>
                  </w:r>
                </w:p>
              </w:tc>
              <w:tc>
                <w:tcPr>
                  <w:tcW w:w="2290" w:type="dxa"/>
                  <w:tcBorders>
                    <w:tl2br w:val="nil"/>
                    <w:tr2bl w:val="nil"/>
                  </w:tcBorders>
                  <w:noWrap w:val="0"/>
                  <w:vAlign w:val="center"/>
                </w:tcPr>
                <w:p w14:paraId="02D59A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根据“废渣定性判定”可知，项目治理区内的废渣均属于第I类一般工业固体废物。本项目工程采用渣堆削坡整形→边坡压实→HDPE两布一膜水平阻隔层施工→坡脚挡墙修建→分级截排水系统→0.</w:t>
                  </w:r>
                  <w:r>
                    <w:rPr>
                      <w:rFonts w:hint="eastAsia" w:cs="Times New Roman"/>
                      <w:color w:val="auto"/>
                      <w:kern w:val="0"/>
                      <w:sz w:val="21"/>
                      <w:szCs w:val="21"/>
                      <w:highlight w:val="none"/>
                      <w:vertAlign w:val="baseline"/>
                      <w:lang w:val="en-US" w:eastAsia="zh-CN"/>
                    </w:rPr>
                    <w:t>4</w:t>
                  </w:r>
                  <w:r>
                    <w:rPr>
                      <w:rFonts w:hint="default" w:ascii="Times New Roman" w:hAnsi="Times New Roman" w:eastAsia="宋体" w:cs="Times New Roman"/>
                      <w:color w:val="auto"/>
                      <w:kern w:val="0"/>
                      <w:sz w:val="21"/>
                      <w:szCs w:val="21"/>
                      <w:highlight w:val="none"/>
                      <w:vertAlign w:val="baseline"/>
                      <w:lang w:val="en-US" w:eastAsia="zh-CN"/>
                    </w:rPr>
                    <w:t>m覆土→三维植被网+草籽复绿→警示标识布设→长效监测管护进行封场，均按照I类固体废物的处置办法进行集中封存。</w:t>
                  </w:r>
                </w:p>
              </w:tc>
              <w:tc>
                <w:tcPr>
                  <w:tcW w:w="592" w:type="dxa"/>
                  <w:tcBorders>
                    <w:tl2br w:val="nil"/>
                    <w:tr2bl w:val="nil"/>
                  </w:tcBorders>
                  <w:noWrap w:val="0"/>
                  <w:vAlign w:val="center"/>
                </w:tcPr>
                <w:p w14:paraId="157A5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vanish w:val="0"/>
                      <w:color w:val="auto"/>
                      <w:sz w:val="21"/>
                      <w:szCs w:val="21"/>
                      <w:lang w:val="en-US" w:eastAsia="zh-CN"/>
                    </w:rPr>
                  </w:pPr>
                  <w:r>
                    <w:rPr>
                      <w:rFonts w:hint="eastAsia" w:cs="Times New Roman"/>
                      <w:color w:val="auto"/>
                      <w:kern w:val="0"/>
                      <w:sz w:val="21"/>
                      <w:szCs w:val="21"/>
                      <w:highlight w:val="none"/>
                      <w:vertAlign w:val="baseline"/>
                      <w:lang w:val="en-US" w:eastAsia="zh-CN"/>
                    </w:rPr>
                    <w:t>符合</w:t>
                  </w:r>
                </w:p>
              </w:tc>
            </w:tr>
          </w:tbl>
          <w:p w14:paraId="7795F12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highlight w:val="none"/>
                <w:lang w:val="en-US" w:eastAsia="zh-CN"/>
              </w:rPr>
            </w:pPr>
          </w:p>
        </w:tc>
      </w:tr>
    </w:tbl>
    <w:p w14:paraId="5CD3DF2F">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F389FAD">
      <w:pPr>
        <w:pStyle w:val="13"/>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4" w:name="_Toc3213"/>
      <w:r>
        <w:rPr>
          <w:rFonts w:hint="default" w:ascii="Times New Roman" w:hAnsi="Times New Roman" w:eastAsia="黑体" w:cs="Times New Roman"/>
          <w:snapToGrid w:val="0"/>
          <w:color w:val="auto"/>
          <w:sz w:val="30"/>
          <w:szCs w:val="30"/>
          <w:highlight w:val="none"/>
        </w:rPr>
        <w:t>二、建设内容</w:t>
      </w:r>
      <w:bookmarkEnd w:id="4"/>
    </w:p>
    <w:tbl>
      <w:tblPr>
        <w:tblStyle w:val="14"/>
        <w:tblW w:w="90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4DF1A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66" w:hRule="atLeast"/>
          <w:jc w:val="center"/>
        </w:trPr>
        <w:tc>
          <w:tcPr>
            <w:tcW w:w="710" w:type="dxa"/>
            <w:tcBorders>
              <w:tl2br w:val="nil"/>
              <w:tr2bl w:val="nil"/>
            </w:tcBorders>
            <w:noWrap w:val="0"/>
            <w:vAlign w:val="center"/>
          </w:tcPr>
          <w:p w14:paraId="024D96B6">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地理位置</w:t>
            </w:r>
          </w:p>
        </w:tc>
        <w:tc>
          <w:tcPr>
            <w:tcW w:w="8380" w:type="dxa"/>
            <w:tcBorders>
              <w:tl2br w:val="nil"/>
              <w:tr2bl w:val="nil"/>
            </w:tcBorders>
            <w:noWrap w:val="0"/>
            <w:vAlign w:val="center"/>
          </w:tcPr>
          <w:p w14:paraId="170C17E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太白县位于宝鸡市东南部，东与眉县、周至县、佛坪县接壤，南与洋县、留坝县毗邻，西与留坝县、凤县相连，北与宝鸡市渭滨区、陈仓区、岐山县互畔。项目位于太白县咀头镇红岩河南侧支沟，咀头镇位于宝鸡市太白县城区中部，BJ-TB25</w:t>
            </w:r>
            <w:r>
              <w:rPr>
                <w:rFonts w:hint="eastAsia"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：E107.189032，N33.930199；BJ-TB26</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：E107.197781，N33.930166；BJ-TB27</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：E107.188607，N33.928943；BJ-TB28</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：E107.188233，N33.928414</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地理位置见图</w:t>
            </w:r>
            <w:r>
              <w:rPr>
                <w:rFonts w:hint="eastAsia" w:cs="Times New Roman"/>
                <w:color w:val="auto"/>
                <w:sz w:val="24"/>
                <w:szCs w:val="24"/>
                <w:highlight w:val="none"/>
                <w:lang w:val="en-US" w:eastAsia="zh-CN"/>
              </w:rPr>
              <w:t>2-1</w:t>
            </w:r>
            <w:r>
              <w:rPr>
                <w:rFonts w:hint="default" w:ascii="Times New Roman" w:hAnsi="Times New Roman" w:cs="Times New Roman"/>
                <w:color w:val="auto"/>
                <w:sz w:val="24"/>
                <w:szCs w:val="24"/>
                <w:highlight w:val="none"/>
                <w:lang w:val="en-US" w:eastAsia="zh-CN"/>
              </w:rPr>
              <w:t>。</w:t>
            </w:r>
          </w:p>
          <w:p w14:paraId="6F017B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eastAsia="zh-CN"/>
              </w:rPr>
            </w:pPr>
            <w:r>
              <w:rPr>
                <w:color w:val="auto"/>
              </w:rPr>
              <w:drawing>
                <wp:inline distT="0" distB="0" distL="114300" distR="114300">
                  <wp:extent cx="5180965" cy="3662045"/>
                  <wp:effectExtent l="0" t="0" r="635" b="146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180965" cy="3662045"/>
                          </a:xfrm>
                          <a:prstGeom prst="rect">
                            <a:avLst/>
                          </a:prstGeom>
                          <a:noFill/>
                          <a:ln>
                            <a:noFill/>
                          </a:ln>
                        </pic:spPr>
                      </pic:pic>
                    </a:graphicData>
                  </a:graphic>
                </wp:inline>
              </w:drawing>
            </w:r>
          </w:p>
          <w:p w14:paraId="166D8EC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lang w:val="en-US" w:eastAsia="zh-CN"/>
              </w:rPr>
              <w:t>图2-1  项目地理位置图</w:t>
            </w:r>
          </w:p>
        </w:tc>
      </w:tr>
      <w:tr w14:paraId="12216D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tcBorders>
              <w:tl2br w:val="nil"/>
              <w:tr2bl w:val="nil"/>
            </w:tcBorders>
            <w:noWrap w:val="0"/>
            <w:vAlign w:val="center"/>
          </w:tcPr>
          <w:p w14:paraId="35CF5071">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项目组成及规模</w:t>
            </w:r>
          </w:p>
        </w:tc>
        <w:tc>
          <w:tcPr>
            <w:tcW w:w="8380" w:type="dxa"/>
            <w:tcBorders>
              <w:tl2br w:val="nil"/>
              <w:tr2bl w:val="nil"/>
            </w:tcBorders>
            <w:noWrap w:val="0"/>
            <w:vAlign w:val="center"/>
          </w:tcPr>
          <w:p w14:paraId="6324D0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cs="Times New Roman"/>
                <w:b/>
                <w:bCs/>
                <w:color w:val="auto"/>
                <w:sz w:val="24"/>
                <w:szCs w:val="32"/>
                <w:highlight w:val="none"/>
                <w:lang w:val="en-US" w:eastAsia="zh-CN"/>
              </w:rPr>
            </w:pPr>
            <w:r>
              <w:rPr>
                <w:rFonts w:hint="eastAsia" w:cs="Times New Roman"/>
                <w:b/>
                <w:bCs/>
                <w:color w:val="auto"/>
                <w:sz w:val="24"/>
                <w:szCs w:val="32"/>
                <w:highlight w:val="none"/>
                <w:lang w:val="en-US" w:eastAsia="zh-CN"/>
              </w:rPr>
              <w:t>1.项目背景</w:t>
            </w:r>
          </w:p>
          <w:p w14:paraId="2BB9A6AE">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宝鸡市太白县地处秦岭腹地，矿产资源丰富，境内铅、锌、铜、铁等金属矿产储量可观。县域民间铅锌金矿开采自2000年起以硐采为主，早年无序盗采、违规采矿遗留大量露天矿渣。因未配套建设截排水、防渗、边坡防护等环保设施，矿渣中砷、铅、锌等重金属经雨水淋溶易发生迁移，对区域土壤、水体及原生生态造成持续性潜在污染风险。</w:t>
            </w:r>
          </w:p>
          <w:p w14:paraId="0482DB1B">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2022年3月，中央第三生态环境保护督察组明确指出汉江陕西段历史涉重金属废弃矿渣存量大、乱堆乱放等突出问题，将太白县矿渣污染问题列为重点整改事项。随后省、市逐级出台专项整治文件，划定太白县西河片区为重点整治区域，明确咀头镇古迹街村4处无主盗采铅锌金矿废渣堆（BJ-TB25、BJ-TB26、BJ-TB27、BJ-TB28）由太白县政府承担治理主体责任。</w:t>
            </w:r>
          </w:p>
          <w:p w14:paraId="167DE46C">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2024年2月，太白县印发县级流域综合整治方案，将该4处废渣堆纳入重点治理清单，要求2028年12月底前完成全部治理及点位销号。为科学推进治理工作，2025年7月，宝鸡市生态环境局太白分局委托第三方机构开展专项详细勘查，查明渣堆占地、方量、废渣组分、重金属污染及周边水土、人居环境现状，编制完成专项工程</w:t>
            </w:r>
            <w:r>
              <w:rPr>
                <w:rFonts w:hint="eastAsia" w:cs="Times New Roman"/>
                <w:color w:val="auto"/>
                <w:sz w:val="24"/>
                <w:szCs w:val="24"/>
                <w:highlight w:val="none"/>
                <w:lang w:val="en-US" w:eastAsia="zh-CN"/>
              </w:rPr>
              <w:t>勘察</w:t>
            </w:r>
            <w:r>
              <w:rPr>
                <w:rFonts w:hint="default" w:ascii="Times New Roman" w:hAnsi="Times New Roman" w:eastAsia="宋体" w:cs="Times New Roman"/>
                <w:color w:val="auto"/>
                <w:sz w:val="24"/>
                <w:szCs w:val="24"/>
                <w:highlight w:val="none"/>
                <w:lang w:val="en-US" w:eastAsia="zh-CN"/>
              </w:rPr>
              <w:t>报告。</w:t>
            </w:r>
          </w:p>
          <w:p w14:paraId="182C307A">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经现场勘查、采样检测及地质稳定性综合研判，4处废渣堆总占地面积7207.51</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，总堆渣方量46470m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，废渣含多种重金属，鉴别为Ⅰ类一般工业固体废物。结合渣堆规模、地质条件及重金属释放特性综合判定，</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处堆场为低风险历史矿渣堆场，不存在大规模垮塌、持续渗漏等重大环境隐患，仅存在雨水淋溶、局部小型滑坡两类轻微风险。项目无需采取废渣异地转运、深度稳定固化等高投入处置方式，采用原位阻隔封存+生态复绿的低扰动工艺，即可彻底消除环境风险。</w:t>
            </w:r>
          </w:p>
          <w:p w14:paraId="6731BE90">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治理渣堆坐落于汉江二级支流红岩河上游汇水区域，长期露天堆放既占用土地资源，废渣重金属经雨水淋溶迁移，会持续污染红岩河水体与沿线农田土壤，破坏汉江上游水源涵养生态功能，对周边群众生产生活环境造成长期安全隐患。为彻底整治污染问题、防范生态风险，宝鸡市生态环境局太白分局启动本次综合治理工程，通过边坡整形、原位阻隔封存、防渗截排水、废弃矿硐封堵、覆土复绿等一体化成套治理工艺，对4处无主废渣堆开展系统性生态修复，从源头阻断重金属扩散，消除滑坡、水土流失等地质隐患，保障红岩河水质稳定达标，修复区域原生生态环境。</w:t>
            </w:r>
          </w:p>
          <w:p w14:paraId="2DC5D342">
            <w:pPr>
              <w:pStyle w:val="1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本项目属于</w:t>
            </w:r>
            <w:r>
              <w:rPr>
                <w:rFonts w:hint="eastAsia" w:cs="Times New Roman"/>
                <w:color w:val="auto"/>
                <w:sz w:val="24"/>
                <w:szCs w:val="24"/>
                <w:highlight w:val="none"/>
                <w:lang w:val="en-US" w:eastAsia="zh-CN"/>
              </w:rPr>
              <w:t>历史遗留废弃矿山生态修复</w:t>
            </w:r>
            <w:r>
              <w:rPr>
                <w:rFonts w:hint="default" w:ascii="Times New Roman" w:hAnsi="Times New Roman" w:eastAsia="宋体" w:cs="Times New Roman"/>
                <w:color w:val="auto"/>
                <w:sz w:val="24"/>
                <w:szCs w:val="24"/>
                <w:highlight w:val="none"/>
                <w:lang w:val="en-US" w:eastAsia="zh-CN"/>
              </w:rPr>
              <w:t>治理工程，根据《建设项目环境影响评价分类管理名录（2021年版）》相关规定，项目归类为有色金属矿采选业矿区修复治理工程，需编制建设项目环境影响报告表。</w:t>
            </w:r>
          </w:p>
          <w:p w14:paraId="364D646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b/>
                <w:bCs/>
                <w:color w:val="auto"/>
                <w:sz w:val="24"/>
                <w:szCs w:val="32"/>
                <w:highlight w:val="none"/>
                <w:lang w:val="en-US" w:eastAsia="zh-CN"/>
              </w:rPr>
            </w:pPr>
            <w:r>
              <w:rPr>
                <w:rFonts w:hint="eastAsia" w:cs="Times New Roman"/>
                <w:b/>
                <w:bCs/>
                <w:color w:val="auto"/>
                <w:sz w:val="24"/>
                <w:szCs w:val="32"/>
                <w:highlight w:val="none"/>
                <w:lang w:val="en-US" w:eastAsia="zh-CN"/>
              </w:rPr>
              <w:t>2.</w:t>
            </w:r>
            <w:r>
              <w:rPr>
                <w:rFonts w:hint="default" w:ascii="Times New Roman" w:hAnsi="Times New Roman" w:cs="Times New Roman"/>
                <w:b/>
                <w:bCs/>
                <w:color w:val="auto"/>
                <w:sz w:val="24"/>
                <w:szCs w:val="32"/>
                <w:highlight w:val="none"/>
                <w:lang w:val="en-US" w:eastAsia="zh-CN"/>
              </w:rPr>
              <w:t>建设内容</w:t>
            </w:r>
          </w:p>
          <w:p w14:paraId="7111C69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color w:val="auto"/>
                <w:sz w:val="24"/>
                <w:szCs w:val="32"/>
                <w:highlight w:val="none"/>
                <w:lang w:val="en-US" w:eastAsia="zh-CN"/>
              </w:rPr>
            </w:pPr>
            <w:r>
              <w:rPr>
                <w:rFonts w:hint="default" w:ascii="Times New Roman" w:hAnsi="Times New Roman" w:cs="Times New Roman"/>
                <w:color w:val="auto"/>
                <w:sz w:val="24"/>
                <w:szCs w:val="32"/>
                <w:highlight w:val="none"/>
                <w:lang w:val="en-US" w:eastAsia="zh-CN"/>
              </w:rPr>
              <w:t>本项目工程实施的核心内容为对4处历史遗留铅锌金矿废渣堆开展原位封存处置，总处置废渣量</w:t>
            </w:r>
            <w:r>
              <w:rPr>
                <w:rFonts w:hint="eastAsia" w:cs="Times New Roman"/>
                <w:color w:val="auto"/>
                <w:sz w:val="24"/>
                <w:szCs w:val="32"/>
                <w:highlight w:val="none"/>
                <w:lang w:val="en-US" w:eastAsia="zh-CN"/>
              </w:rPr>
              <w:t>46470</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3</w:t>
            </w:r>
            <w:r>
              <w:rPr>
                <w:rFonts w:hint="default" w:ascii="Times New Roman" w:hAnsi="Times New Roman" w:cs="Times New Roman"/>
                <w:color w:val="auto"/>
                <w:sz w:val="24"/>
                <w:szCs w:val="32"/>
                <w:highlight w:val="none"/>
                <w:lang w:val="en-US" w:eastAsia="zh-CN"/>
              </w:rPr>
              <w:t>，具体工程环节及规模如下</w:t>
            </w:r>
            <w:r>
              <w:rPr>
                <w:rFonts w:hint="eastAsia"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val="en-US" w:eastAsia="zh-CN"/>
              </w:rPr>
              <w:t>渣堆整形工程中需完成挖方</w:t>
            </w:r>
            <w:r>
              <w:rPr>
                <w:rFonts w:hint="eastAsia" w:cs="Times New Roman"/>
                <w:color w:val="auto"/>
                <w:sz w:val="24"/>
                <w:szCs w:val="32"/>
                <w:highlight w:val="none"/>
                <w:lang w:val="en-US" w:eastAsia="zh-CN"/>
              </w:rPr>
              <w:t>14463.36</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3</w:t>
            </w:r>
            <w:r>
              <w:rPr>
                <w:rFonts w:hint="default" w:ascii="Times New Roman" w:hAnsi="Times New Roman" w:cs="Times New Roman"/>
                <w:color w:val="auto"/>
                <w:sz w:val="24"/>
                <w:szCs w:val="32"/>
                <w:highlight w:val="none"/>
                <w:lang w:val="en-US" w:eastAsia="zh-CN"/>
              </w:rPr>
              <w:t>、填方</w:t>
            </w:r>
            <w:r>
              <w:rPr>
                <w:rFonts w:hint="eastAsia" w:cs="Times New Roman"/>
                <w:color w:val="auto"/>
                <w:sz w:val="24"/>
                <w:szCs w:val="32"/>
                <w:highlight w:val="none"/>
                <w:lang w:val="en-US" w:eastAsia="zh-CN"/>
              </w:rPr>
              <w:t>14673.15</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3</w:t>
            </w:r>
            <w:r>
              <w:rPr>
                <w:rFonts w:hint="default" w:ascii="Times New Roman" w:hAnsi="Times New Roman" w:cs="Times New Roman"/>
                <w:color w:val="auto"/>
                <w:sz w:val="24"/>
                <w:szCs w:val="32"/>
                <w:highlight w:val="none"/>
                <w:lang w:val="en-US" w:eastAsia="zh-CN"/>
              </w:rPr>
              <w:t>，整形后在渣堆表面构建水平阻隔层，铺设HDPE膜及土工布</w:t>
            </w:r>
            <w:r>
              <w:rPr>
                <w:rFonts w:hint="eastAsia" w:cs="Times New Roman"/>
                <w:color w:val="auto"/>
                <w:sz w:val="24"/>
                <w:szCs w:val="32"/>
                <w:highlight w:val="none"/>
                <w:lang w:val="en-US" w:eastAsia="zh-CN"/>
              </w:rPr>
              <w:t>8649</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2</w:t>
            </w:r>
            <w:r>
              <w:rPr>
                <w:rFonts w:hint="default" w:ascii="Times New Roman" w:hAnsi="Times New Roman" w:cs="Times New Roman"/>
                <w:color w:val="auto"/>
                <w:sz w:val="24"/>
                <w:szCs w:val="32"/>
                <w:highlight w:val="none"/>
                <w:lang w:val="en-US" w:eastAsia="zh-CN"/>
              </w:rPr>
              <w:t>，阻隔层上方覆盖土层</w:t>
            </w:r>
            <w:r>
              <w:rPr>
                <w:rFonts w:hint="eastAsia" w:cs="Times New Roman"/>
                <w:color w:val="auto"/>
                <w:sz w:val="24"/>
                <w:szCs w:val="32"/>
                <w:highlight w:val="none"/>
                <w:lang w:val="en-US" w:eastAsia="zh-CN"/>
              </w:rPr>
              <w:t>2883</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3</w:t>
            </w:r>
            <w:r>
              <w:rPr>
                <w:rFonts w:hint="eastAsia" w:cs="Times New Roman"/>
                <w:color w:val="auto"/>
                <w:sz w:val="24"/>
                <w:szCs w:val="32"/>
                <w:highlight w:val="none"/>
                <w:vertAlign w:val="baseline"/>
                <w:lang w:val="en-US" w:eastAsia="zh-CN"/>
              </w:rPr>
              <w:t>；</w:t>
            </w:r>
            <w:r>
              <w:rPr>
                <w:rFonts w:hint="default" w:ascii="Times New Roman" w:hAnsi="Times New Roman" w:cs="Times New Roman"/>
                <w:color w:val="auto"/>
                <w:sz w:val="24"/>
                <w:szCs w:val="32"/>
                <w:highlight w:val="none"/>
                <w:lang w:val="en-US" w:eastAsia="zh-CN"/>
              </w:rPr>
              <w:t>同时，为保障渣堆稳定性与周边安全，需布设三维植被网防护8237.48m</w:t>
            </w:r>
            <w:r>
              <w:rPr>
                <w:rFonts w:hint="default" w:ascii="Times New Roman" w:hAnsi="Times New Roman" w:cs="Times New Roman"/>
                <w:color w:val="auto"/>
                <w:sz w:val="24"/>
                <w:szCs w:val="32"/>
                <w:highlight w:val="none"/>
                <w:vertAlign w:val="superscript"/>
                <w:lang w:val="en-US" w:eastAsia="zh-CN"/>
              </w:rPr>
              <w:t>2</w:t>
            </w:r>
            <w:r>
              <w:rPr>
                <w:rFonts w:hint="default" w:ascii="Times New Roman" w:hAnsi="Times New Roman" w:cs="Times New Roman"/>
                <w:color w:val="auto"/>
                <w:sz w:val="24"/>
                <w:szCs w:val="32"/>
                <w:highlight w:val="none"/>
                <w:lang w:val="en-US" w:eastAsia="zh-CN"/>
              </w:rPr>
              <w:t>，在下游平台修建I型挡墙</w:t>
            </w:r>
            <w:r>
              <w:rPr>
                <w:rFonts w:hint="eastAsia" w:cs="Times New Roman"/>
                <w:color w:val="auto"/>
                <w:sz w:val="24"/>
                <w:szCs w:val="32"/>
                <w:highlight w:val="none"/>
                <w:lang w:val="en-US" w:eastAsia="zh-CN"/>
              </w:rPr>
              <w:t>、Ⅱ型</w:t>
            </w:r>
            <w:r>
              <w:rPr>
                <w:rFonts w:hint="default" w:ascii="Times New Roman" w:hAnsi="Times New Roman" w:cs="Times New Roman"/>
                <w:color w:val="auto"/>
                <w:sz w:val="24"/>
                <w:szCs w:val="32"/>
                <w:highlight w:val="none"/>
                <w:lang w:val="en-US" w:eastAsia="zh-CN"/>
              </w:rPr>
              <w:t>挡墙</w:t>
            </w:r>
            <w:r>
              <w:rPr>
                <w:rFonts w:hint="eastAsia" w:cs="Times New Roman"/>
                <w:color w:val="auto"/>
                <w:sz w:val="24"/>
                <w:szCs w:val="32"/>
                <w:highlight w:val="none"/>
                <w:lang w:val="en-US" w:eastAsia="zh-CN"/>
              </w:rPr>
              <w:t>共计145.53</w:t>
            </w:r>
            <w:r>
              <w:rPr>
                <w:rFonts w:hint="default" w:ascii="Times New Roman" w:hAnsi="Times New Roman" w:cs="Times New Roman"/>
                <w:color w:val="auto"/>
                <w:sz w:val="24"/>
                <w:szCs w:val="32"/>
                <w:highlight w:val="none"/>
                <w:lang w:val="en-US" w:eastAsia="zh-CN"/>
              </w:rPr>
              <w:t>m，配套建设I型排水渠、</w:t>
            </w:r>
            <w:r>
              <w:rPr>
                <w:rFonts w:hint="eastAsia" w:cs="Times New Roman"/>
                <w:color w:val="auto"/>
                <w:sz w:val="24"/>
                <w:szCs w:val="32"/>
                <w:highlight w:val="none"/>
                <w:lang w:val="en-US" w:eastAsia="zh-CN"/>
              </w:rPr>
              <w:t>Ⅱ型</w:t>
            </w:r>
            <w:r>
              <w:rPr>
                <w:rFonts w:hint="default" w:ascii="Times New Roman" w:hAnsi="Times New Roman" w:cs="Times New Roman"/>
                <w:color w:val="auto"/>
                <w:sz w:val="24"/>
                <w:szCs w:val="32"/>
                <w:highlight w:val="none"/>
                <w:lang w:val="en-US" w:eastAsia="zh-CN"/>
              </w:rPr>
              <w:t>排水渠m及踏步台，并安装工程介绍牌与工程警示牌，最终实现约</w:t>
            </w:r>
            <w:r>
              <w:rPr>
                <w:rFonts w:hint="eastAsia" w:cs="Times New Roman"/>
                <w:color w:val="auto"/>
                <w:sz w:val="24"/>
                <w:szCs w:val="32"/>
                <w:highlight w:val="none"/>
                <w:lang w:val="en-US" w:eastAsia="zh-CN"/>
              </w:rPr>
              <w:t>7207.51</w:t>
            </w:r>
            <w:r>
              <w:rPr>
                <w:rFonts w:hint="default" w:ascii="Times New Roman" w:hAnsi="Times New Roman" w:cs="Times New Roman"/>
                <w:color w:val="auto"/>
                <w:sz w:val="24"/>
                <w:szCs w:val="32"/>
                <w:highlight w:val="none"/>
                <w:lang w:val="en-US" w:eastAsia="zh-CN"/>
              </w:rPr>
              <w:t>m</w:t>
            </w:r>
            <w:r>
              <w:rPr>
                <w:rFonts w:hint="default" w:ascii="Times New Roman" w:hAnsi="Times New Roman" w:cs="Times New Roman"/>
                <w:color w:val="auto"/>
                <w:sz w:val="24"/>
                <w:szCs w:val="32"/>
                <w:highlight w:val="none"/>
                <w:vertAlign w:val="superscript"/>
                <w:lang w:val="en-US" w:eastAsia="zh-CN"/>
              </w:rPr>
              <w:t>2</w:t>
            </w:r>
            <w:r>
              <w:rPr>
                <w:rFonts w:hint="default" w:ascii="Times New Roman" w:hAnsi="Times New Roman" w:cs="Times New Roman"/>
                <w:color w:val="auto"/>
                <w:sz w:val="24"/>
                <w:szCs w:val="32"/>
                <w:highlight w:val="none"/>
                <w:lang w:val="en-US" w:eastAsia="zh-CN"/>
              </w:rPr>
              <w:t>的复绿作业。</w:t>
            </w:r>
          </w:p>
          <w:p w14:paraId="678971C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表2-2  建设项目组成一览表</w:t>
            </w:r>
          </w:p>
          <w:tbl>
            <w:tblPr>
              <w:tblStyle w:val="15"/>
              <w:tblW w:w="82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8"/>
              <w:gridCol w:w="1113"/>
              <w:gridCol w:w="6498"/>
            </w:tblGrid>
            <w:tr w14:paraId="34F99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721" w:type="dxa"/>
                  <w:gridSpan w:val="2"/>
                  <w:tcBorders>
                    <w:tl2br w:val="nil"/>
                    <w:tr2bl w:val="nil"/>
                  </w:tcBorders>
                  <w:noWrap w:val="0"/>
                  <w:vAlign w:val="center"/>
                </w:tcPr>
                <w:p w14:paraId="30D43EF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工程项目</w:t>
                  </w:r>
                </w:p>
              </w:tc>
              <w:tc>
                <w:tcPr>
                  <w:tcW w:w="6498" w:type="dxa"/>
                  <w:tcBorders>
                    <w:tl2br w:val="nil"/>
                    <w:tr2bl w:val="nil"/>
                  </w:tcBorders>
                  <w:noWrap w:val="0"/>
                  <w:vAlign w:val="center"/>
                </w:tcPr>
                <w:p w14:paraId="06D2B53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建设内容</w:t>
                  </w:r>
                </w:p>
              </w:tc>
            </w:tr>
            <w:tr w14:paraId="7764E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08" w:type="dxa"/>
                  <w:vMerge w:val="restart"/>
                  <w:tcBorders>
                    <w:tl2br w:val="nil"/>
                    <w:tr2bl w:val="nil"/>
                  </w:tcBorders>
                  <w:noWrap w:val="0"/>
                  <w:vAlign w:val="center"/>
                </w:tcPr>
                <w:p w14:paraId="7AD51C1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主体工程</w:t>
                  </w:r>
                </w:p>
              </w:tc>
              <w:tc>
                <w:tcPr>
                  <w:tcW w:w="1113" w:type="dxa"/>
                  <w:tcBorders>
                    <w:tl2br w:val="nil"/>
                    <w:tr2bl w:val="nil"/>
                  </w:tcBorders>
                  <w:noWrap w:val="0"/>
                  <w:vAlign w:val="center"/>
                </w:tcPr>
                <w:p w14:paraId="4D5479A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渣堆整形工程</w:t>
                  </w:r>
                </w:p>
              </w:tc>
              <w:tc>
                <w:tcPr>
                  <w:tcW w:w="6498" w:type="dxa"/>
                  <w:tcBorders>
                    <w:tl2br w:val="nil"/>
                    <w:tr2bl w:val="nil"/>
                  </w:tcBorders>
                  <w:noWrap w:val="0"/>
                  <w:vAlign w:val="center"/>
                </w:tcPr>
                <w:p w14:paraId="359EF2E2">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主要工程措施包括</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渣堆削坡、废渣回填、坡面整理、场地平整等。本项目综合治理工程边坡稳定工程设计削坡方量总计</w:t>
                  </w:r>
                  <w:r>
                    <w:rPr>
                      <w:rFonts w:hint="eastAsia" w:cs="Times New Roman"/>
                      <w:color w:val="auto"/>
                      <w:highlight w:val="none"/>
                      <w:lang w:val="en-US" w:eastAsia="zh-CN"/>
                    </w:rPr>
                    <w:t>14463.36</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，渣方回填方量总计</w:t>
                  </w:r>
                  <w:r>
                    <w:rPr>
                      <w:rFonts w:hint="eastAsia" w:cs="Times New Roman"/>
                      <w:color w:val="auto"/>
                      <w:highlight w:val="none"/>
                      <w:lang w:val="en-US" w:eastAsia="zh-CN"/>
                    </w:rPr>
                    <w:t>14673.15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w:t>
                  </w:r>
                </w:p>
              </w:tc>
            </w:tr>
            <w:tr w14:paraId="38387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8" w:type="dxa"/>
                  <w:vMerge w:val="continue"/>
                  <w:tcBorders>
                    <w:tl2br w:val="nil"/>
                    <w:tr2bl w:val="nil"/>
                  </w:tcBorders>
                  <w:noWrap w:val="0"/>
                  <w:vAlign w:val="center"/>
                </w:tcPr>
                <w:p w14:paraId="76383C2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2CF8B23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挡渣墙工程</w:t>
                  </w:r>
                </w:p>
              </w:tc>
              <w:tc>
                <w:tcPr>
                  <w:tcW w:w="6498" w:type="dxa"/>
                  <w:tcBorders>
                    <w:tl2br w:val="nil"/>
                    <w:tr2bl w:val="nil"/>
                  </w:tcBorders>
                  <w:noWrap w:val="0"/>
                  <w:vAlign w:val="center"/>
                </w:tcPr>
                <w:p w14:paraId="25AF9CFD">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1"/>
                      <w:szCs w:val="21"/>
                      <w:highlight w:val="none"/>
                      <w:lang w:val="en-US" w:eastAsia="zh-CN"/>
                    </w:rPr>
                    <w:t>整理后的废渣堆渣体坡脚根据渣堆实际情况修筑挡渣墙，挡渣墙共有I型和</w:t>
                  </w:r>
                  <w:r>
                    <w:rPr>
                      <w:rFonts w:hint="eastAsia" w:cs="Times New Roman"/>
                      <w:color w:val="auto"/>
                      <w:sz w:val="21"/>
                      <w:szCs w:val="21"/>
                      <w:highlight w:val="none"/>
                      <w:lang w:val="en-US" w:eastAsia="zh-CN"/>
                    </w:rPr>
                    <w:t>Ⅱ型</w:t>
                  </w:r>
                  <w:r>
                    <w:rPr>
                      <w:rFonts w:hint="default" w:ascii="Times New Roman" w:hAnsi="Times New Roman" w:cs="Times New Roman"/>
                      <w:color w:val="auto"/>
                      <w:sz w:val="21"/>
                      <w:szCs w:val="21"/>
                      <w:highlight w:val="none"/>
                      <w:lang w:val="en-US" w:eastAsia="zh-CN"/>
                    </w:rPr>
                    <w:t>两种。挡渣墙共计约</w:t>
                  </w:r>
                  <w:r>
                    <w:rPr>
                      <w:rFonts w:hint="eastAsia" w:cs="Times New Roman"/>
                      <w:color w:val="auto"/>
                      <w:sz w:val="21"/>
                      <w:szCs w:val="21"/>
                      <w:highlight w:val="none"/>
                      <w:lang w:val="en-US" w:eastAsia="zh-CN"/>
                    </w:rPr>
                    <w:t>145.53</w:t>
                  </w:r>
                  <w:r>
                    <w:rPr>
                      <w:rFonts w:hint="default" w:ascii="Times New Roman" w:hAnsi="Times New Roman" w:cs="Times New Roman"/>
                      <w:color w:val="auto"/>
                      <w:sz w:val="21"/>
                      <w:szCs w:val="21"/>
                      <w:highlight w:val="none"/>
                      <w:lang w:val="en-US" w:eastAsia="zh-CN"/>
                    </w:rPr>
                    <w:t>m。</w:t>
                  </w:r>
                </w:p>
              </w:tc>
            </w:tr>
            <w:tr w14:paraId="49DB03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08" w:type="dxa"/>
                  <w:vMerge w:val="continue"/>
                  <w:tcBorders>
                    <w:tl2br w:val="nil"/>
                    <w:tr2bl w:val="nil"/>
                  </w:tcBorders>
                  <w:noWrap w:val="0"/>
                  <w:vAlign w:val="center"/>
                </w:tcPr>
                <w:p w14:paraId="252B257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32D8EDC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水平阻隔工程</w:t>
                  </w:r>
                </w:p>
              </w:tc>
              <w:tc>
                <w:tcPr>
                  <w:tcW w:w="6498" w:type="dxa"/>
                  <w:tcBorders>
                    <w:tl2br w:val="nil"/>
                    <w:tr2bl w:val="nil"/>
                  </w:tcBorders>
                  <w:noWrap w:val="0"/>
                  <w:vAlign w:val="center"/>
                </w:tcPr>
                <w:p w14:paraId="592E5944">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废渣堆主堆积体地形整理结束后，渣体表面全面铺设防渗膜，铺设范围在渣体基础上外扩2m，作为缓冲带。</w:t>
                  </w:r>
                </w:p>
                <w:p w14:paraId="01B168C5">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lang w:val="en-US" w:eastAsia="zh-CN"/>
                    </w:rPr>
                    <w:t>防渗工程措施包括土工布铺设、HDPE膜铺设。总体设计防渗铺设面积</w:t>
                  </w:r>
                  <w:r>
                    <w:rPr>
                      <w:rFonts w:hint="eastAsia" w:cs="Times New Roman"/>
                      <w:color w:val="auto"/>
                      <w:highlight w:val="none"/>
                      <w:lang w:val="en-US" w:eastAsia="zh-CN"/>
                    </w:rPr>
                    <w:t>8649</w:t>
                  </w:r>
                  <w:r>
                    <w:rPr>
                      <w:rFonts w:hint="default" w:ascii="Times New Roman" w:hAnsi="Times New Roman" w:cs="Times New Roman"/>
                      <w:color w:val="auto"/>
                      <w:highlight w:val="none"/>
                      <w:lang w:val="en-US" w:eastAsia="zh-CN"/>
                    </w:rPr>
                    <w:t>m</w:t>
                  </w:r>
                  <w:r>
                    <w:rPr>
                      <w:rFonts w:hint="eastAsia" w:cs="Times New Roman"/>
                      <w:color w:val="auto"/>
                      <w:highlight w:val="none"/>
                      <w:vertAlign w:val="superscript"/>
                      <w:lang w:val="en-US" w:eastAsia="zh-CN"/>
                    </w:rPr>
                    <w:t>2</w:t>
                  </w:r>
                  <w:r>
                    <w:rPr>
                      <w:rFonts w:hint="eastAsia" w:cs="Times New Roman"/>
                      <w:color w:val="auto"/>
                      <w:highlight w:val="none"/>
                      <w:vertAlign w:val="baseline"/>
                      <w:lang w:val="en-US" w:eastAsia="zh-CN"/>
                    </w:rPr>
                    <w:t>。</w:t>
                  </w:r>
                </w:p>
              </w:tc>
            </w:tr>
            <w:tr w14:paraId="033B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08" w:type="dxa"/>
                  <w:vMerge w:val="continue"/>
                  <w:tcBorders>
                    <w:tl2br w:val="nil"/>
                    <w:tr2bl w:val="nil"/>
                  </w:tcBorders>
                  <w:noWrap w:val="0"/>
                  <w:vAlign w:val="center"/>
                </w:tcPr>
                <w:p w14:paraId="04DFAB6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3414120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截排水工程</w:t>
                  </w:r>
                </w:p>
              </w:tc>
              <w:tc>
                <w:tcPr>
                  <w:tcW w:w="6498" w:type="dxa"/>
                  <w:tcBorders>
                    <w:tl2br w:val="nil"/>
                    <w:tr2bl w:val="nil"/>
                  </w:tcBorders>
                  <w:noWrap w:val="0"/>
                  <w:vAlign w:val="center"/>
                </w:tcPr>
                <w:p w14:paraId="1108AE81">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本次综合治理管控工程场区周围一圈布设环形排水沟拦截场外山体高处流向低处的雨水及山坡汇水，并将其导引至下游，防止外部水流侵入渣堆内部。25、27、28号渣堆排水沟断面呈梯形，口宽1.8m，底宽1.5m，净深1.5m，壁厚0.2m</w:t>
                  </w:r>
                  <w:r>
                    <w:rPr>
                      <w:rFonts w:hint="eastAsia" w:cs="Times New Roman"/>
                      <w:color w:val="auto"/>
                      <w:highlight w:val="none"/>
                      <w:vertAlign w:val="baseline"/>
                      <w:lang w:val="en-US" w:eastAsia="zh-CN"/>
                    </w:rPr>
                    <w:t>；</w:t>
                  </w:r>
                  <w:r>
                    <w:rPr>
                      <w:rFonts w:hint="default" w:ascii="Times New Roman" w:hAnsi="Times New Roman" w:cs="Times New Roman"/>
                      <w:color w:val="auto"/>
                      <w:highlight w:val="none"/>
                      <w:vertAlign w:val="baseline"/>
                      <w:lang w:val="en-US" w:eastAsia="zh-CN"/>
                    </w:rPr>
                    <w:t>26号渣堆排水沟断面呈矩形，口宽0.5m，底宽0.5m，净深0.5m，壁厚0.2m，基础采用砂砾基础采用砂砾石垫层进行处理，渠身采用浆砌片石、水泥砂浆，总长度837.43m。整理后的渣坡平台楼梯坡脚处布设截水沟，收集从边坡坡面流下来的雨水，并将其迅速排出，避免水在坡脚积聚。截水沟断面呈矩形，口宽0.4m，底宽0.4m，净深0.4m，壁厚0.2m，基础采用砂砾石垫层进行处理，渠身采用浆砌片石、水泥砂浆，总长度368.36m。</w:t>
                  </w:r>
                </w:p>
              </w:tc>
            </w:tr>
            <w:tr w14:paraId="49886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08" w:type="dxa"/>
                  <w:vMerge w:val="continue"/>
                  <w:tcBorders>
                    <w:tl2br w:val="nil"/>
                    <w:tr2bl w:val="nil"/>
                  </w:tcBorders>
                  <w:noWrap w:val="0"/>
                  <w:vAlign w:val="center"/>
                </w:tcPr>
                <w:p w14:paraId="7A962C2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3DFFBD0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矿硐封堵</w:t>
                  </w:r>
                </w:p>
              </w:tc>
              <w:tc>
                <w:tcPr>
                  <w:tcW w:w="6498" w:type="dxa"/>
                  <w:tcBorders>
                    <w:tl2br w:val="nil"/>
                    <w:tr2bl w:val="nil"/>
                  </w:tcBorders>
                  <w:noWrap w:val="0"/>
                  <w:vAlign w:val="center"/>
                </w:tcPr>
                <w:p w14:paraId="5E5F0925">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本工程共包含废弃采矿硐五处，矿硐编号分别为1-5号，其中1号矿硐硐口尺寸为洞口尺寸2.10m×2.00m</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高×宽</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2号矿硐硐口尺寸为洞口尺寸2.50m×1.90m</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高×宽</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，3号矿硐硐口尺寸为洞口尺寸2.00m×1.90m</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高×宽</w:t>
                  </w:r>
                  <w:r>
                    <w:rPr>
                      <w:rFonts w:hint="eastAsia"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4号矿硐硐口尺寸为洞口尺寸2.30m×2.20m</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高×宽</w:t>
                  </w:r>
                  <w:r>
                    <w:rPr>
                      <w:rFonts w:hint="eastAsia"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5号矿硐硐口尺寸为</w:t>
                  </w:r>
                  <w:r>
                    <w:rPr>
                      <w:rFonts w:hint="eastAsia" w:cs="Times New Roman"/>
                      <w:color w:val="auto"/>
                      <w:highlight w:val="none"/>
                      <w:vertAlign w:val="baseline"/>
                      <w:lang w:val="en-US" w:eastAsia="zh-CN"/>
                    </w:rPr>
                    <w:t>洞口尺寸</w:t>
                  </w:r>
                  <w:r>
                    <w:rPr>
                      <w:rFonts w:hint="default" w:ascii="Times New Roman" w:hAnsi="Times New Roman" w:eastAsia="宋体" w:cs="Times New Roman"/>
                      <w:color w:val="auto"/>
                      <w:highlight w:val="none"/>
                      <w:vertAlign w:val="baseline"/>
                      <w:lang w:val="en-US" w:eastAsia="zh-CN"/>
                    </w:rPr>
                    <w:t>2.10m×2.20m</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高×宽</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均采用简易封堵方式进行封堵。简易封堵包括硐口封堵及硐边强化处理，硐口封堵采用挡墙进行封闭，挡墙采用毛石砌筑，强度等级为MU30，砂浆强度等级为M7.5，挡墙下部应至少伸入下部岩体1.5m且埋入稳定基岩中</w:t>
                  </w:r>
                  <w:r>
                    <w:rPr>
                      <w:rFonts w:hint="eastAsia"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lang w:val="en-US" w:eastAsia="zh-CN"/>
                    </w:rPr>
                    <w:t>硐边强化处理是对硐边以外3m范围内的岩体采取防水措施并利用钢筋、密目钢丝网等进行加强。</w:t>
                  </w:r>
                </w:p>
              </w:tc>
            </w:tr>
            <w:tr w14:paraId="21C60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08" w:type="dxa"/>
                  <w:vMerge w:val="continue"/>
                  <w:tcBorders>
                    <w:tl2br w:val="nil"/>
                    <w:tr2bl w:val="nil"/>
                  </w:tcBorders>
                  <w:noWrap w:val="0"/>
                  <w:vAlign w:val="center"/>
                </w:tcPr>
                <w:p w14:paraId="20007B4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7E27F4D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覆土及生态恢复工程</w:t>
                  </w:r>
                </w:p>
              </w:tc>
              <w:tc>
                <w:tcPr>
                  <w:tcW w:w="6498" w:type="dxa"/>
                  <w:tcBorders>
                    <w:tl2br w:val="nil"/>
                    <w:tr2bl w:val="nil"/>
                  </w:tcBorders>
                  <w:noWrap w:val="0"/>
                  <w:vAlign w:val="center"/>
                </w:tcPr>
                <w:p w14:paraId="7A77E640">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本项目风险管控工程在管制治理后的废渣堆表面</w:t>
                  </w:r>
                  <w:r>
                    <w:rPr>
                      <w:rFonts w:hint="eastAsia" w:cs="Times New Roman"/>
                      <w:color w:val="auto"/>
                      <w:highlight w:val="none"/>
                      <w:vertAlign w:val="baseline"/>
                      <w:lang w:val="en-US" w:eastAsia="zh-CN"/>
                    </w:rPr>
                    <w:t>覆盖</w:t>
                  </w:r>
                  <w:r>
                    <w:rPr>
                      <w:rFonts w:hint="default" w:ascii="Times New Roman" w:hAnsi="Times New Roman" w:cs="Times New Roman"/>
                      <w:color w:val="auto"/>
                      <w:highlight w:val="none"/>
                      <w:vertAlign w:val="baseline"/>
                      <w:lang w:val="en-US" w:eastAsia="zh-CN"/>
                    </w:rPr>
                    <w:t>种植土0.</w:t>
                  </w:r>
                  <w:r>
                    <w:rPr>
                      <w:rFonts w:hint="eastAsia" w:cs="Times New Roman"/>
                      <w:color w:val="auto"/>
                      <w:highlight w:val="none"/>
                      <w:vertAlign w:val="baseline"/>
                      <w:lang w:val="en-US" w:eastAsia="zh-CN"/>
                    </w:rPr>
                    <w:t>4</w:t>
                  </w:r>
                  <w:r>
                    <w:rPr>
                      <w:rFonts w:hint="default" w:ascii="Times New Roman" w:hAnsi="Times New Roman" w:cs="Times New Roman"/>
                      <w:color w:val="auto"/>
                      <w:highlight w:val="none"/>
                      <w:vertAlign w:val="baseline"/>
                      <w:lang w:val="en-US" w:eastAsia="zh-CN"/>
                    </w:rPr>
                    <w:t>m，并撒播草籽。结合国内外同类治理工程，草籽选择适宜当地的三叶草、高羊茅、黑麦草和野菊花等，进行混合播撒，这些植物对重金属离子具有吸附作用。总计撒播草籽</w:t>
                  </w:r>
                  <w:r>
                    <w:rPr>
                      <w:rFonts w:hint="eastAsia" w:cs="Times New Roman"/>
                      <w:color w:val="auto"/>
                      <w:highlight w:val="none"/>
                      <w:vertAlign w:val="baseline"/>
                      <w:lang w:val="en-US" w:eastAsia="zh-CN"/>
                    </w:rPr>
                    <w:t>7207.51</w:t>
                  </w:r>
                  <w:r>
                    <w:rPr>
                      <w:rFonts w:hint="default" w:ascii="Times New Roman" w:hAnsi="Times New Roman" w:cs="Times New Roman"/>
                      <w:color w:val="auto"/>
                      <w:highlight w:val="none"/>
                      <w:vertAlign w:val="baseline"/>
                      <w:lang w:val="en-US" w:eastAsia="zh-CN"/>
                    </w:rPr>
                    <w:t>m</w:t>
                  </w:r>
                  <w:r>
                    <w:rPr>
                      <w:rFonts w:hint="default" w:ascii="Times New Roman" w:hAnsi="Times New Roman" w:cs="Times New Roman"/>
                      <w:color w:val="auto"/>
                      <w:highlight w:val="none"/>
                      <w:vertAlign w:val="superscript"/>
                      <w:lang w:val="en-US" w:eastAsia="zh-CN"/>
                    </w:rPr>
                    <w:t>2</w:t>
                  </w:r>
                </w:p>
              </w:tc>
            </w:tr>
            <w:tr w14:paraId="7DA93C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08" w:type="dxa"/>
                  <w:vMerge w:val="continue"/>
                  <w:tcBorders>
                    <w:tl2br w:val="nil"/>
                    <w:tr2bl w:val="nil"/>
                  </w:tcBorders>
                  <w:noWrap w:val="0"/>
                  <w:vAlign w:val="center"/>
                </w:tcPr>
                <w:p w14:paraId="2691C65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1F49C37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警示标识建设</w:t>
                  </w:r>
                </w:p>
              </w:tc>
              <w:tc>
                <w:tcPr>
                  <w:tcW w:w="6498" w:type="dxa"/>
                  <w:tcBorders>
                    <w:tl2br w:val="nil"/>
                    <w:tr2bl w:val="nil"/>
                  </w:tcBorders>
                  <w:noWrap w:val="0"/>
                  <w:vAlign w:val="center"/>
                </w:tcPr>
                <w:p w14:paraId="34737E3A">
                  <w:pPr>
                    <w:pStyle w:val="12"/>
                    <w:keepNext w:val="0"/>
                    <w:keepLines w:val="0"/>
                    <w:pageBreakBefore w:val="0"/>
                    <w:widowControl w:val="0"/>
                    <w:kinsoku/>
                    <w:wordWrap/>
                    <w:overflowPunct/>
                    <w:topLinePunct w:val="0"/>
                    <w:autoSpaceDE/>
                    <w:autoSpaceDN/>
                    <w:bidi w:val="0"/>
                    <w:adjustRightInd/>
                    <w:snapToGrid w:val="0"/>
                    <w:ind w:left="0" w:leftChars="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在封场管控治理渣堆点设置工程简介牌2块，工程警示牌</w:t>
                  </w:r>
                  <w:r>
                    <w:rPr>
                      <w:rFonts w:hint="eastAsia" w:cs="Times New Roman"/>
                      <w:color w:val="auto"/>
                      <w:highlight w:val="none"/>
                      <w:vertAlign w:val="baseline"/>
                      <w:lang w:val="en-US" w:eastAsia="zh-CN"/>
                    </w:rPr>
                    <w:t>7</w:t>
                  </w:r>
                  <w:r>
                    <w:rPr>
                      <w:rFonts w:hint="default" w:ascii="Times New Roman" w:hAnsi="Times New Roman" w:cs="Times New Roman"/>
                      <w:color w:val="auto"/>
                      <w:highlight w:val="none"/>
                      <w:vertAlign w:val="baseline"/>
                      <w:lang w:val="en-US" w:eastAsia="zh-CN"/>
                    </w:rPr>
                    <w:t>块</w:t>
                  </w:r>
                </w:p>
              </w:tc>
            </w:tr>
            <w:tr w14:paraId="07C57E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608" w:type="dxa"/>
                  <w:vMerge w:val="restart"/>
                  <w:tcBorders>
                    <w:tl2br w:val="nil"/>
                    <w:tr2bl w:val="nil"/>
                  </w:tcBorders>
                  <w:noWrap w:val="0"/>
                  <w:vAlign w:val="center"/>
                </w:tcPr>
                <w:p w14:paraId="33B6641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临时</w:t>
                  </w:r>
                  <w:r>
                    <w:rPr>
                      <w:rFonts w:hint="default" w:ascii="Times New Roman" w:hAnsi="Times New Roman" w:cs="Times New Roman"/>
                      <w:b w:val="0"/>
                      <w:bCs w:val="0"/>
                      <w:color w:val="auto"/>
                      <w:sz w:val="21"/>
                      <w:szCs w:val="21"/>
                      <w:highlight w:val="none"/>
                      <w:vertAlign w:val="baseline"/>
                      <w:lang w:val="en-US" w:eastAsia="zh-CN"/>
                    </w:rPr>
                    <w:t>工程</w:t>
                  </w:r>
                </w:p>
              </w:tc>
              <w:tc>
                <w:tcPr>
                  <w:tcW w:w="1113" w:type="dxa"/>
                  <w:tcBorders>
                    <w:tl2br w:val="nil"/>
                    <w:tr2bl w:val="nil"/>
                  </w:tcBorders>
                  <w:noWrap w:val="0"/>
                  <w:vAlign w:val="center"/>
                </w:tcPr>
                <w:p w14:paraId="3FE7D90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施工道路</w:t>
                  </w:r>
                </w:p>
              </w:tc>
              <w:tc>
                <w:tcPr>
                  <w:tcW w:w="6498" w:type="dxa"/>
                  <w:tcBorders>
                    <w:tl2br w:val="nil"/>
                    <w:tr2bl w:val="nil"/>
                  </w:tcBorders>
                  <w:noWrap w:val="0"/>
                  <w:vAlign w:val="center"/>
                </w:tcPr>
                <w:p w14:paraId="02C5F86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修筑施工临时道路约1270m</w:t>
                  </w:r>
                  <w:r>
                    <w:rPr>
                      <w:rFonts w:hint="eastAsia" w:cs="Times New Roman"/>
                      <w:color w:val="auto"/>
                      <w:highlight w:val="none"/>
                      <w:lang w:val="en-US" w:eastAsia="zh-CN"/>
                    </w:rPr>
                    <w:t>，道路宽为4m</w:t>
                  </w:r>
                  <w:r>
                    <w:rPr>
                      <w:rFonts w:hint="default" w:ascii="Times New Roman" w:hAnsi="Times New Roman" w:cs="Times New Roman"/>
                      <w:color w:val="auto"/>
                      <w:highlight w:val="none"/>
                      <w:lang w:val="en-US" w:eastAsia="zh-CN"/>
                    </w:rPr>
                    <w:t>。</w:t>
                  </w:r>
                </w:p>
              </w:tc>
            </w:tr>
            <w:tr w14:paraId="74432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608" w:type="dxa"/>
                  <w:vMerge w:val="continue"/>
                  <w:tcBorders>
                    <w:tl2br w:val="nil"/>
                    <w:tr2bl w:val="nil"/>
                  </w:tcBorders>
                  <w:noWrap w:val="0"/>
                  <w:vAlign w:val="center"/>
                </w:tcPr>
                <w:p w14:paraId="189C017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6AC6E28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施工营地</w:t>
                  </w:r>
                </w:p>
              </w:tc>
              <w:tc>
                <w:tcPr>
                  <w:tcW w:w="6498" w:type="dxa"/>
                  <w:tcBorders>
                    <w:tl2br w:val="nil"/>
                    <w:tr2bl w:val="nil"/>
                  </w:tcBorders>
                  <w:noWrap w:val="0"/>
                  <w:vAlign w:val="center"/>
                </w:tcPr>
                <w:p w14:paraId="44E72A7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施工人员就近租住在周围村庄</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不单独设置施工营地</w:t>
                  </w:r>
                </w:p>
              </w:tc>
            </w:tr>
            <w:tr w14:paraId="7BADCF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08" w:type="dxa"/>
                  <w:vMerge w:val="continue"/>
                  <w:tcBorders>
                    <w:tl2br w:val="nil"/>
                    <w:tr2bl w:val="nil"/>
                  </w:tcBorders>
                  <w:noWrap w:val="0"/>
                  <w:vAlign w:val="center"/>
                </w:tcPr>
                <w:p w14:paraId="5D8DB20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5519087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color w:val="auto"/>
                      <w:szCs w:val="21"/>
                      <w:highlight w:val="none"/>
                    </w:rPr>
                    <w:t>施工场地</w:t>
                  </w:r>
                </w:p>
              </w:tc>
              <w:tc>
                <w:tcPr>
                  <w:tcW w:w="6498" w:type="dxa"/>
                  <w:tcBorders>
                    <w:tl2br w:val="nil"/>
                    <w:tr2bl w:val="nil"/>
                  </w:tcBorders>
                  <w:noWrap w:val="0"/>
                  <w:vAlign w:val="center"/>
                </w:tcPr>
                <w:p w14:paraId="4558514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1"/>
                      <w:szCs w:val="21"/>
                      <w:highlight w:val="none"/>
                    </w:rPr>
                    <w:t>采用商品混凝土，施工现场不布置砼拌和系统；由于块石料、砂砾料为本工程辅料，用量较少，直接购买。</w:t>
                  </w:r>
                </w:p>
              </w:tc>
            </w:tr>
            <w:tr w14:paraId="68EB4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08" w:type="dxa"/>
                  <w:vMerge w:val="restart"/>
                  <w:tcBorders>
                    <w:tl2br w:val="nil"/>
                    <w:tr2bl w:val="nil"/>
                  </w:tcBorders>
                  <w:noWrap w:val="0"/>
                  <w:vAlign w:val="center"/>
                </w:tcPr>
                <w:p w14:paraId="52A1518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公用工程</w:t>
                  </w:r>
                </w:p>
              </w:tc>
              <w:tc>
                <w:tcPr>
                  <w:tcW w:w="1113" w:type="dxa"/>
                  <w:tcBorders>
                    <w:tl2br w:val="nil"/>
                    <w:tr2bl w:val="nil"/>
                  </w:tcBorders>
                  <w:noWrap w:val="0"/>
                  <w:vAlign w:val="center"/>
                </w:tcPr>
                <w:p w14:paraId="69A759E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给</w:t>
                  </w:r>
                  <w:r>
                    <w:rPr>
                      <w:rFonts w:hint="default" w:ascii="Times New Roman" w:hAnsi="Times New Roman" w:cs="Times New Roman"/>
                      <w:b w:val="0"/>
                      <w:bCs w:val="0"/>
                      <w:color w:val="auto"/>
                      <w:sz w:val="21"/>
                      <w:szCs w:val="21"/>
                      <w:highlight w:val="none"/>
                      <w:vertAlign w:val="baseline"/>
                      <w:lang w:val="en-US" w:eastAsia="zh-CN"/>
                    </w:rPr>
                    <w:t>水</w:t>
                  </w:r>
                </w:p>
              </w:tc>
              <w:tc>
                <w:tcPr>
                  <w:tcW w:w="6498" w:type="dxa"/>
                  <w:tcBorders>
                    <w:tl2br w:val="nil"/>
                    <w:tr2bl w:val="nil"/>
                  </w:tcBorders>
                  <w:noWrap w:val="0"/>
                  <w:vAlign w:val="center"/>
                </w:tcPr>
                <w:p w14:paraId="6270285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color w:val="auto"/>
                      <w:kern w:val="0"/>
                      <w:highlight w:val="none"/>
                    </w:rPr>
                    <w:t>施工用水可直接汲取河水</w:t>
                  </w:r>
                  <w:r>
                    <w:rPr>
                      <w:rFonts w:hint="eastAsia" w:cs="Times New Roman"/>
                      <w:color w:val="auto"/>
                      <w:kern w:val="0"/>
                      <w:highlight w:val="none"/>
                      <w:lang w:eastAsia="zh-CN"/>
                    </w:rPr>
                    <w:t>，</w:t>
                  </w:r>
                  <w:r>
                    <w:rPr>
                      <w:rFonts w:hint="eastAsia" w:cs="Times New Roman"/>
                      <w:color w:val="auto"/>
                      <w:kern w:val="0"/>
                      <w:highlight w:val="none"/>
                      <w:lang w:val="en-US" w:eastAsia="zh-CN"/>
                    </w:rPr>
                    <w:t>生活用水由车辆从就近村子拉运。施工人员租用民房作为居住地，生活用水使用村镇自来水。</w:t>
                  </w:r>
                </w:p>
              </w:tc>
            </w:tr>
            <w:tr w14:paraId="49417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8" w:type="dxa"/>
                  <w:vMerge w:val="continue"/>
                  <w:tcBorders>
                    <w:tl2br w:val="nil"/>
                    <w:tr2bl w:val="nil"/>
                  </w:tcBorders>
                  <w:noWrap w:val="0"/>
                  <w:vAlign w:val="center"/>
                </w:tcPr>
                <w:p w14:paraId="4395382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6D400A5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供电</w:t>
                  </w:r>
                </w:p>
              </w:tc>
              <w:tc>
                <w:tcPr>
                  <w:tcW w:w="6498" w:type="dxa"/>
                  <w:tcBorders>
                    <w:tl2br w:val="nil"/>
                    <w:tr2bl w:val="nil"/>
                  </w:tcBorders>
                  <w:noWrap w:val="0"/>
                  <w:vAlign w:val="center"/>
                </w:tcPr>
                <w:p w14:paraId="7D6C1D3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施工用电为周围村庄供电。</w:t>
                  </w:r>
                </w:p>
              </w:tc>
            </w:tr>
            <w:tr w14:paraId="19EB40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08" w:type="dxa"/>
                  <w:vMerge w:val="restart"/>
                  <w:tcBorders>
                    <w:tl2br w:val="nil"/>
                    <w:tr2bl w:val="nil"/>
                  </w:tcBorders>
                  <w:noWrap w:val="0"/>
                  <w:vAlign w:val="center"/>
                </w:tcPr>
                <w:p w14:paraId="6B65450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环保工程</w:t>
                  </w:r>
                </w:p>
              </w:tc>
              <w:tc>
                <w:tcPr>
                  <w:tcW w:w="1113" w:type="dxa"/>
                  <w:tcBorders>
                    <w:tl2br w:val="nil"/>
                    <w:tr2bl w:val="nil"/>
                  </w:tcBorders>
                  <w:noWrap w:val="0"/>
                  <w:vAlign w:val="center"/>
                </w:tcPr>
                <w:p w14:paraId="4D2A921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w:t>
                  </w:r>
                </w:p>
              </w:tc>
              <w:tc>
                <w:tcPr>
                  <w:tcW w:w="6498" w:type="dxa"/>
                  <w:tcBorders>
                    <w:tl2br w:val="nil"/>
                    <w:tr2bl w:val="nil"/>
                  </w:tcBorders>
                  <w:noWrap w:val="0"/>
                  <w:vAlign w:val="center"/>
                </w:tcPr>
                <w:p w14:paraId="660F1A62">
                  <w:pPr>
                    <w:pStyle w:val="12"/>
                    <w:keepNext w:val="0"/>
                    <w:keepLines w:val="0"/>
                    <w:pageBreakBefore w:val="0"/>
                    <w:widowControl w:val="0"/>
                    <w:kinsoku/>
                    <w:wordWrap/>
                    <w:overflowPunct/>
                    <w:topLinePunct w:val="0"/>
                    <w:autoSpaceDE/>
                    <w:autoSpaceDN/>
                    <w:bidi w:val="0"/>
                    <w:adjustRightInd/>
                    <w:snapToGrid w:val="0"/>
                    <w:ind w:left="0" w:leftChars="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对整治区域进行</w:t>
                  </w:r>
                  <w:r>
                    <w:rPr>
                      <w:rFonts w:hint="eastAsia" w:cs="Times New Roman"/>
                      <w:color w:val="auto"/>
                      <w:highlight w:val="none"/>
                      <w:lang w:val="en-US" w:eastAsia="zh-CN"/>
                    </w:rPr>
                    <w:t>洒水</w:t>
                  </w:r>
                  <w:r>
                    <w:rPr>
                      <w:rFonts w:hint="default" w:ascii="Times New Roman" w:hAnsi="Times New Roman" w:cs="Times New Roman"/>
                      <w:color w:val="auto"/>
                      <w:highlight w:val="none"/>
                      <w:lang w:val="en-US" w:eastAsia="zh-CN"/>
                    </w:rPr>
                    <w:t>防尘，控制车速，运输车辆采用篷布</w:t>
                  </w:r>
                </w:p>
                <w:p w14:paraId="68DA3990">
                  <w:pPr>
                    <w:pStyle w:val="12"/>
                    <w:keepNext w:val="0"/>
                    <w:keepLines w:val="0"/>
                    <w:pageBreakBefore w:val="0"/>
                    <w:widowControl w:val="0"/>
                    <w:kinsoku/>
                    <w:wordWrap/>
                    <w:overflowPunct/>
                    <w:topLinePunct w:val="0"/>
                    <w:autoSpaceDE/>
                    <w:autoSpaceDN/>
                    <w:bidi w:val="0"/>
                    <w:adjustRightInd/>
                    <w:snapToGrid w:val="0"/>
                    <w:ind w:left="0" w:leftChars="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覆盖，减少扬尘的产生。②施工过程中</w:t>
                  </w:r>
                  <w:r>
                    <w:rPr>
                      <w:rFonts w:hint="eastAsia" w:cs="Times New Roman"/>
                      <w:color w:val="auto"/>
                      <w:highlight w:val="none"/>
                      <w:lang w:val="en-US" w:eastAsia="zh-CN"/>
                    </w:rPr>
                    <w:t>尽可能使用新能源或者</w:t>
                  </w:r>
                  <w:r>
                    <w:rPr>
                      <w:rFonts w:hint="default" w:ascii="Times New Roman" w:hAnsi="Times New Roman" w:cs="Times New Roman"/>
                      <w:color w:val="auto"/>
                      <w:highlight w:val="none"/>
                      <w:lang w:val="en-US" w:eastAsia="zh-CN"/>
                    </w:rPr>
                    <w:t>国三以上运输车辆及施工机械，并且该车辆机械必须贴有相应的排放标</w:t>
                  </w:r>
                  <w:r>
                    <w:rPr>
                      <w:rFonts w:hint="eastAsia" w:cs="Times New Roman"/>
                      <w:color w:val="auto"/>
                      <w:highlight w:val="none"/>
                      <w:lang w:val="en-US" w:eastAsia="zh-CN"/>
                    </w:rPr>
                    <w:t>准和</w:t>
                  </w:r>
                  <w:r>
                    <w:rPr>
                      <w:rFonts w:hint="default" w:ascii="Times New Roman" w:hAnsi="Times New Roman" w:cs="Times New Roman"/>
                      <w:color w:val="auto"/>
                      <w:highlight w:val="none"/>
                      <w:lang w:val="en-US" w:eastAsia="zh-CN"/>
                    </w:rPr>
                    <w:t>认证标识。</w:t>
                  </w:r>
                </w:p>
              </w:tc>
            </w:tr>
            <w:tr w14:paraId="025BB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08" w:type="dxa"/>
                  <w:vMerge w:val="continue"/>
                  <w:tcBorders>
                    <w:tl2br w:val="nil"/>
                    <w:tr2bl w:val="nil"/>
                  </w:tcBorders>
                  <w:noWrap w:val="0"/>
                  <w:vAlign w:val="center"/>
                </w:tcPr>
                <w:p w14:paraId="7FB589F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57A9EF8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噪声</w:t>
                  </w:r>
                </w:p>
              </w:tc>
              <w:tc>
                <w:tcPr>
                  <w:tcW w:w="6498" w:type="dxa"/>
                  <w:tcBorders>
                    <w:tl2br w:val="nil"/>
                    <w:tr2bl w:val="nil"/>
                  </w:tcBorders>
                  <w:noWrap w:val="0"/>
                  <w:vAlign w:val="center"/>
                </w:tcPr>
                <w:p w14:paraId="7FD263E6">
                  <w:pPr>
                    <w:pStyle w:val="12"/>
                    <w:keepNext w:val="0"/>
                    <w:keepLines w:val="0"/>
                    <w:pageBreakBefore w:val="0"/>
                    <w:widowControl w:val="0"/>
                    <w:kinsoku/>
                    <w:wordWrap/>
                    <w:overflowPunct/>
                    <w:topLinePunct w:val="0"/>
                    <w:autoSpaceDE/>
                    <w:autoSpaceDN/>
                    <w:bidi w:val="0"/>
                    <w:adjustRightInd/>
                    <w:snapToGrid w:val="0"/>
                    <w:ind w:left="0" w:leftChars="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选用低噪声设备，加强设备管理；车辆限时、限速行驶，禁止鸣笛等。</w:t>
                  </w:r>
                </w:p>
              </w:tc>
            </w:tr>
            <w:tr w14:paraId="5552A4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08" w:type="dxa"/>
                  <w:vMerge w:val="continue"/>
                  <w:tcBorders>
                    <w:tl2br w:val="nil"/>
                    <w:tr2bl w:val="nil"/>
                  </w:tcBorders>
                  <w:noWrap w:val="0"/>
                  <w:vAlign w:val="center"/>
                </w:tcPr>
                <w:p w14:paraId="7F086CC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786DD4F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废水</w:t>
                  </w:r>
                </w:p>
              </w:tc>
              <w:tc>
                <w:tcPr>
                  <w:tcW w:w="6498" w:type="dxa"/>
                  <w:tcBorders>
                    <w:tl2br w:val="nil"/>
                    <w:tr2bl w:val="nil"/>
                  </w:tcBorders>
                  <w:noWrap w:val="0"/>
                  <w:vAlign w:val="center"/>
                </w:tcPr>
                <w:p w14:paraId="0B0D1515">
                  <w:pPr>
                    <w:pStyle w:val="12"/>
                    <w:keepNext w:val="0"/>
                    <w:keepLines w:val="0"/>
                    <w:pageBreakBefore w:val="0"/>
                    <w:widowControl w:val="0"/>
                    <w:kinsoku/>
                    <w:wordWrap/>
                    <w:overflowPunct/>
                    <w:topLinePunct w:val="0"/>
                    <w:autoSpaceDE/>
                    <w:autoSpaceDN/>
                    <w:bidi w:val="0"/>
                    <w:adjustRightInd/>
                    <w:snapToGrid w:val="0"/>
                    <w:ind w:left="0" w:leftChars="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sz w:val="21"/>
                      <w:szCs w:val="21"/>
                      <w:highlight w:val="none"/>
                      <w:vertAlign w:val="baseline"/>
                      <w:lang w:val="en-US" w:eastAsia="zh-CN"/>
                    </w:rPr>
                    <w:t>雨水由排水沟导排至场外</w:t>
                  </w:r>
                  <w:r>
                    <w:rPr>
                      <w:rFonts w:hint="eastAsia" w:cs="Times New Roman"/>
                      <w:b w:val="0"/>
                      <w:bCs w:val="0"/>
                      <w:color w:val="auto"/>
                      <w:sz w:val="21"/>
                      <w:szCs w:val="21"/>
                      <w:highlight w:val="none"/>
                      <w:vertAlign w:val="baseline"/>
                      <w:lang w:val="en-US" w:eastAsia="zh-CN"/>
                    </w:rPr>
                    <w:t>；</w:t>
                  </w:r>
                  <w:r>
                    <w:rPr>
                      <w:rFonts w:hint="default" w:ascii="Times New Roman" w:hAnsi="Times New Roman" w:cs="Times New Roman"/>
                      <w:b w:val="0"/>
                      <w:bCs w:val="0"/>
                      <w:color w:val="auto"/>
                      <w:sz w:val="21"/>
                      <w:szCs w:val="21"/>
                      <w:highlight w:val="none"/>
                      <w:vertAlign w:val="baseline"/>
                      <w:lang w:val="en-US" w:eastAsia="zh-CN"/>
                    </w:rPr>
                    <w:t>生活污水可利用附近村庄生活污水处理设施收集处理。</w:t>
                  </w:r>
                </w:p>
              </w:tc>
            </w:tr>
            <w:tr w14:paraId="2D1674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08" w:type="dxa"/>
                  <w:vMerge w:val="continue"/>
                  <w:tcBorders>
                    <w:tl2br w:val="nil"/>
                    <w:tr2bl w:val="nil"/>
                  </w:tcBorders>
                  <w:noWrap w:val="0"/>
                  <w:vAlign w:val="center"/>
                </w:tcPr>
                <w:p w14:paraId="7753587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79DE34B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固体废物</w:t>
                  </w:r>
                </w:p>
              </w:tc>
              <w:tc>
                <w:tcPr>
                  <w:tcW w:w="6498" w:type="dxa"/>
                  <w:tcBorders>
                    <w:tl2br w:val="nil"/>
                    <w:tr2bl w:val="nil"/>
                  </w:tcBorders>
                  <w:noWrap w:val="0"/>
                  <w:vAlign w:val="center"/>
                </w:tcPr>
                <w:p w14:paraId="3682AB94">
                  <w:pPr>
                    <w:pStyle w:val="12"/>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项目施工过程中拆除的建筑垃圾用作矿硐封堵材料和</w:t>
                  </w:r>
                  <w:r>
                    <w:rPr>
                      <w:rFonts w:hint="eastAsia" w:cs="Times New Roman"/>
                      <w:color w:val="auto"/>
                      <w:highlight w:val="none"/>
                      <w:lang w:val="en-US" w:eastAsia="zh-CN"/>
                    </w:rPr>
                    <w:t>防护</w:t>
                  </w:r>
                  <w:r>
                    <w:rPr>
                      <w:rFonts w:hint="default" w:ascii="Times New Roman" w:hAnsi="Times New Roman" w:cs="Times New Roman"/>
                      <w:color w:val="auto"/>
                      <w:highlight w:val="none"/>
                      <w:lang w:val="en-US" w:eastAsia="zh-CN"/>
                    </w:rPr>
                    <w:t>墙填充料；施工人员生活垃圾经收集后，清运至焦山村垃圾集中处理点。</w:t>
                  </w:r>
                </w:p>
              </w:tc>
            </w:tr>
            <w:tr w14:paraId="5571E4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8" w:type="dxa"/>
                  <w:vMerge w:val="continue"/>
                  <w:tcBorders>
                    <w:tl2br w:val="nil"/>
                    <w:tr2bl w:val="nil"/>
                  </w:tcBorders>
                  <w:noWrap w:val="0"/>
                  <w:vAlign w:val="center"/>
                </w:tcPr>
                <w:p w14:paraId="04BC261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val="0"/>
                      <w:color w:val="auto"/>
                      <w:sz w:val="21"/>
                      <w:szCs w:val="21"/>
                      <w:highlight w:val="none"/>
                      <w:vertAlign w:val="baseline"/>
                      <w:lang w:val="en-US" w:eastAsia="zh-CN"/>
                    </w:rPr>
                  </w:pPr>
                </w:p>
              </w:tc>
              <w:tc>
                <w:tcPr>
                  <w:tcW w:w="1113" w:type="dxa"/>
                  <w:tcBorders>
                    <w:tl2br w:val="nil"/>
                    <w:tr2bl w:val="nil"/>
                  </w:tcBorders>
                  <w:noWrap w:val="0"/>
                  <w:vAlign w:val="center"/>
                </w:tcPr>
                <w:p w14:paraId="6DB5AA88">
                  <w:pPr>
                    <w:autoSpaceDE w:val="0"/>
                    <w:autoSpaceDN w:val="0"/>
                    <w:adjustRightInd w:val="0"/>
                    <w:snapToGrid w:val="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生态</w:t>
                  </w:r>
                </w:p>
              </w:tc>
              <w:tc>
                <w:tcPr>
                  <w:tcW w:w="6498" w:type="dxa"/>
                  <w:tcBorders>
                    <w:tl2br w:val="nil"/>
                    <w:tr2bl w:val="nil"/>
                  </w:tcBorders>
                  <w:noWrap w:val="0"/>
                  <w:vAlign w:val="center"/>
                </w:tcPr>
                <w:p w14:paraId="4B69F791">
                  <w:pPr>
                    <w:snapToGrid w:val="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本项目治理后的废渣堆表面</w:t>
                  </w:r>
                  <w:r>
                    <w:rPr>
                      <w:rFonts w:hint="eastAsia" w:cs="Times New Roman"/>
                      <w:color w:val="auto"/>
                      <w:sz w:val="21"/>
                      <w:szCs w:val="21"/>
                      <w:highlight w:val="none"/>
                      <w:lang w:val="en-US" w:eastAsia="zh-CN"/>
                    </w:rPr>
                    <w:t>覆盖</w:t>
                  </w:r>
                  <w:r>
                    <w:rPr>
                      <w:rFonts w:hint="default" w:ascii="Times New Roman" w:hAnsi="Times New Roman" w:eastAsia="宋体" w:cs="Times New Roman"/>
                      <w:color w:val="auto"/>
                      <w:sz w:val="21"/>
                      <w:szCs w:val="21"/>
                      <w:highlight w:val="none"/>
                      <w:lang w:val="en-US" w:eastAsia="zh-CN"/>
                    </w:rPr>
                    <w:t>种植土0.3m，并撒播草籽。</w:t>
                  </w:r>
                  <w:r>
                    <w:rPr>
                      <w:rFonts w:hint="default" w:ascii="Times New Roman" w:hAnsi="Times New Roman" w:cs="Times New Roman"/>
                      <w:color w:val="auto"/>
                      <w:highlight w:val="none"/>
                      <w:vertAlign w:val="baseline"/>
                      <w:lang w:val="en-US" w:eastAsia="zh-CN"/>
                    </w:rPr>
                    <w:t>总计撒播草籽</w:t>
                  </w:r>
                  <w:r>
                    <w:rPr>
                      <w:rFonts w:hint="eastAsia" w:cs="Times New Roman"/>
                      <w:color w:val="auto"/>
                      <w:highlight w:val="none"/>
                      <w:vertAlign w:val="baseline"/>
                      <w:lang w:val="en-US" w:eastAsia="zh-CN"/>
                    </w:rPr>
                    <w:t>7207.51</w:t>
                  </w:r>
                  <w:r>
                    <w:rPr>
                      <w:rFonts w:hint="default" w:ascii="Times New Roman" w:hAnsi="Times New Roman" w:cs="Times New Roman"/>
                      <w:color w:val="auto"/>
                      <w:highlight w:val="none"/>
                      <w:vertAlign w:val="baseline"/>
                      <w:lang w:val="en-US" w:eastAsia="zh-CN"/>
                    </w:rPr>
                    <w:t>m</w:t>
                  </w:r>
                  <w:r>
                    <w:rPr>
                      <w:rFonts w:hint="default" w:ascii="Times New Roman" w:hAnsi="Times New Roman" w:cs="Times New Roman"/>
                      <w:color w:val="auto"/>
                      <w:highlight w:val="none"/>
                      <w:vertAlign w:val="superscript"/>
                      <w:lang w:val="en-US" w:eastAsia="zh-CN"/>
                    </w:rPr>
                    <w:t>2</w:t>
                  </w:r>
                </w:p>
              </w:tc>
            </w:tr>
          </w:tbl>
          <w:p w14:paraId="7B59E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color w:val="auto"/>
                <w:sz w:val="24"/>
                <w:szCs w:val="32"/>
                <w:highlight w:val="none"/>
                <w:lang w:val="en-US" w:eastAsia="zh-CN"/>
              </w:rPr>
            </w:pPr>
            <w:r>
              <w:rPr>
                <w:rFonts w:hint="default" w:ascii="Times New Roman" w:hAnsi="Times New Roman" w:cs="Times New Roman"/>
                <w:color w:val="auto"/>
                <w:sz w:val="24"/>
                <w:szCs w:val="32"/>
                <w:highlight w:val="none"/>
                <w:lang w:val="en-US" w:eastAsia="zh-CN"/>
              </w:rPr>
              <w:t>本项目工程特性见下表。</w:t>
            </w:r>
          </w:p>
          <w:p w14:paraId="5D2134A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表2-2    本项目工程特性表</w:t>
            </w:r>
          </w:p>
          <w:tbl>
            <w:tblPr>
              <w:tblStyle w:val="24"/>
              <w:tblW w:w="763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2380"/>
              <w:gridCol w:w="3685"/>
            </w:tblGrid>
            <w:tr w14:paraId="272284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6" w:hRule="atLeast"/>
                <w:jc w:val="center"/>
              </w:trPr>
              <w:tc>
                <w:tcPr>
                  <w:tcW w:w="1573" w:type="dxa"/>
                  <w:tcBorders>
                    <w:tl2br w:val="nil"/>
                    <w:tr2bl w:val="nil"/>
                  </w:tcBorders>
                  <w:vAlign w:val="center"/>
                </w:tcPr>
                <w:p w14:paraId="4A40C978">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pacing w:val="-7"/>
                      <w:sz w:val="21"/>
                      <w:szCs w:val="21"/>
                    </w:rPr>
                    <w:t>序号</w:t>
                  </w:r>
                </w:p>
              </w:tc>
              <w:tc>
                <w:tcPr>
                  <w:tcW w:w="2380" w:type="dxa"/>
                  <w:tcBorders>
                    <w:tl2br w:val="nil"/>
                    <w:tr2bl w:val="nil"/>
                  </w:tcBorders>
                  <w:vAlign w:val="center"/>
                </w:tcPr>
                <w:p w14:paraId="78814A4D">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项目名称</w:t>
                  </w:r>
                </w:p>
              </w:tc>
              <w:tc>
                <w:tcPr>
                  <w:tcW w:w="3685" w:type="dxa"/>
                  <w:tcBorders>
                    <w:tl2br w:val="nil"/>
                    <w:tr2bl w:val="nil"/>
                  </w:tcBorders>
                  <w:vAlign w:val="center"/>
                </w:tcPr>
                <w:p w14:paraId="023C2BDF">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工程数量</w:t>
                  </w:r>
                </w:p>
              </w:tc>
            </w:tr>
            <w:tr w14:paraId="56155D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08F8670F">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2380" w:type="dxa"/>
                  <w:tcBorders>
                    <w:tl2br w:val="nil"/>
                    <w:tr2bl w:val="nil"/>
                  </w:tcBorders>
                  <w:vAlign w:val="center"/>
                </w:tcPr>
                <w:p w14:paraId="560AECB1">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废渣堆治理数量</w:t>
                  </w:r>
                </w:p>
              </w:tc>
              <w:tc>
                <w:tcPr>
                  <w:tcW w:w="3685" w:type="dxa"/>
                  <w:tcBorders>
                    <w:tl2br w:val="nil"/>
                    <w:tr2bl w:val="nil"/>
                  </w:tcBorders>
                  <w:vAlign w:val="center"/>
                </w:tcPr>
                <w:p w14:paraId="033EE8E5">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r>
            <w:tr w14:paraId="779087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5078FF25">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2380" w:type="dxa"/>
                  <w:tcBorders>
                    <w:tl2br w:val="nil"/>
                    <w:tr2bl w:val="nil"/>
                  </w:tcBorders>
                  <w:vAlign w:val="center"/>
                </w:tcPr>
                <w:p w14:paraId="74F533B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废渣堆治理方量</w:t>
                  </w:r>
                </w:p>
              </w:tc>
              <w:tc>
                <w:tcPr>
                  <w:tcW w:w="3685" w:type="dxa"/>
                  <w:tcBorders>
                    <w:tl2br w:val="nil"/>
                    <w:tr2bl w:val="nil"/>
                  </w:tcBorders>
                  <w:vAlign w:val="center"/>
                </w:tcPr>
                <w:p w14:paraId="0576CF2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pacing w:val="-10"/>
                      <w:sz w:val="21"/>
                      <w:szCs w:val="21"/>
                      <w:lang w:val="en-US" w:eastAsia="zh-CN"/>
                    </w:rPr>
                    <w:t>46470m</w:t>
                  </w:r>
                  <w:r>
                    <w:rPr>
                      <w:rFonts w:hint="eastAsia" w:ascii="Times New Roman" w:hAnsi="Times New Roman" w:cs="Times New Roman"/>
                      <w:color w:val="auto"/>
                      <w:spacing w:val="-10"/>
                      <w:sz w:val="21"/>
                      <w:szCs w:val="21"/>
                      <w:vertAlign w:val="superscript"/>
                      <w:lang w:val="en-US" w:eastAsia="zh-CN"/>
                    </w:rPr>
                    <w:t>3</w:t>
                  </w:r>
                </w:p>
              </w:tc>
            </w:tr>
            <w:tr w14:paraId="49D2F8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573" w:type="dxa"/>
                  <w:tcBorders>
                    <w:tl2br w:val="nil"/>
                    <w:tr2bl w:val="nil"/>
                  </w:tcBorders>
                  <w:vAlign w:val="center"/>
                </w:tcPr>
                <w:p w14:paraId="4F8F3D0A">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2380" w:type="dxa"/>
                  <w:tcBorders>
                    <w:tl2br w:val="nil"/>
                    <w:tr2bl w:val="nil"/>
                  </w:tcBorders>
                  <w:vAlign w:val="center"/>
                </w:tcPr>
                <w:p w14:paraId="59E81F5A">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渣堆清表及整形</w:t>
                  </w:r>
                </w:p>
              </w:tc>
              <w:tc>
                <w:tcPr>
                  <w:tcW w:w="3685" w:type="dxa"/>
                  <w:tcBorders>
                    <w:tl2br w:val="nil"/>
                    <w:tr2bl w:val="nil"/>
                  </w:tcBorders>
                  <w:vAlign w:val="center"/>
                </w:tcPr>
                <w:p w14:paraId="4F64DB9E">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14463.36/</w:t>
                  </w:r>
                  <w:r>
                    <w:rPr>
                      <w:rFonts w:hint="eastAsia" w:cs="Times New Roman"/>
                      <w:color w:val="auto"/>
                      <w:sz w:val="21"/>
                      <w:szCs w:val="21"/>
                      <w:lang w:eastAsia="zh-CN"/>
                    </w:rPr>
                    <w:t>14673.15</w:t>
                  </w:r>
                  <w:r>
                    <w:rPr>
                      <w:rFonts w:hint="eastAsia" w:ascii="Times New Roman" w:hAnsi="Times New Roman" w:cs="Times New Roman"/>
                      <w:color w:val="auto"/>
                      <w:spacing w:val="-10"/>
                      <w:sz w:val="21"/>
                      <w:szCs w:val="21"/>
                      <w:lang w:val="en-US" w:eastAsia="zh-CN"/>
                    </w:rPr>
                    <w:t>m</w:t>
                  </w:r>
                  <w:r>
                    <w:rPr>
                      <w:rFonts w:hint="eastAsia" w:ascii="Times New Roman" w:hAnsi="Times New Roman" w:cs="Times New Roman"/>
                      <w:color w:val="auto"/>
                      <w:spacing w:val="-10"/>
                      <w:sz w:val="21"/>
                      <w:szCs w:val="21"/>
                      <w:vertAlign w:val="superscript"/>
                      <w:lang w:val="en-US" w:eastAsia="zh-CN"/>
                    </w:rPr>
                    <w:t>3</w:t>
                  </w:r>
                </w:p>
              </w:tc>
            </w:tr>
            <w:tr w14:paraId="2E9B7D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1984CB40">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2380" w:type="dxa"/>
                  <w:tcBorders>
                    <w:tl2br w:val="nil"/>
                    <w:tr2bl w:val="nil"/>
                  </w:tcBorders>
                  <w:vAlign w:val="center"/>
                </w:tcPr>
                <w:p w14:paraId="5BC28B71">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水平阻隔工程</w:t>
                  </w:r>
                </w:p>
              </w:tc>
              <w:tc>
                <w:tcPr>
                  <w:tcW w:w="3685" w:type="dxa"/>
                  <w:tcBorders>
                    <w:tl2br w:val="nil"/>
                    <w:tr2bl w:val="nil"/>
                  </w:tcBorders>
                  <w:vAlign w:val="center"/>
                </w:tcPr>
                <w:p w14:paraId="21CCB04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8649m</w:t>
                  </w:r>
                  <w:r>
                    <w:rPr>
                      <w:rFonts w:hint="eastAsia" w:ascii="Times New Roman" w:hAnsi="Times New Roman" w:cs="Times New Roman"/>
                      <w:color w:val="auto"/>
                      <w:sz w:val="21"/>
                      <w:szCs w:val="21"/>
                      <w:vertAlign w:val="superscript"/>
                      <w:lang w:val="en-US" w:eastAsia="zh-CN"/>
                    </w:rPr>
                    <w:t>2</w:t>
                  </w:r>
                </w:p>
              </w:tc>
            </w:tr>
            <w:tr w14:paraId="2B6CDF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2DF8E781">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2380" w:type="dxa"/>
                  <w:tcBorders>
                    <w:tl2br w:val="nil"/>
                    <w:tr2bl w:val="nil"/>
                  </w:tcBorders>
                  <w:vAlign w:val="center"/>
                </w:tcPr>
                <w:p w14:paraId="494E8B3E">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截排水渠</w:t>
                  </w:r>
                </w:p>
              </w:tc>
              <w:tc>
                <w:tcPr>
                  <w:tcW w:w="3685" w:type="dxa"/>
                  <w:tcBorders>
                    <w:tl2br w:val="nil"/>
                    <w:tr2bl w:val="nil"/>
                  </w:tcBorders>
                  <w:vAlign w:val="center"/>
                </w:tcPr>
                <w:p w14:paraId="09663733">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837.43/368.36m</w:t>
                  </w:r>
                </w:p>
              </w:tc>
            </w:tr>
            <w:tr w14:paraId="083FEC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21A8536F">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2380" w:type="dxa"/>
                  <w:tcBorders>
                    <w:tl2br w:val="nil"/>
                    <w:tr2bl w:val="nil"/>
                  </w:tcBorders>
                  <w:vAlign w:val="center"/>
                </w:tcPr>
                <w:p w14:paraId="305368C2">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挡土墙</w:t>
                  </w:r>
                </w:p>
              </w:tc>
              <w:tc>
                <w:tcPr>
                  <w:tcW w:w="3685" w:type="dxa"/>
                  <w:tcBorders>
                    <w:tl2br w:val="nil"/>
                    <w:tr2bl w:val="nil"/>
                  </w:tcBorders>
                  <w:vAlign w:val="center"/>
                </w:tcPr>
                <w:p w14:paraId="5DC67F53">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145.53m</w:t>
                  </w:r>
                </w:p>
              </w:tc>
            </w:tr>
            <w:tr w14:paraId="599DA3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11B35D06">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2380" w:type="dxa"/>
                  <w:tcBorders>
                    <w:tl2br w:val="nil"/>
                    <w:tr2bl w:val="nil"/>
                  </w:tcBorders>
                  <w:vAlign w:val="center"/>
                </w:tcPr>
                <w:p w14:paraId="02D1B59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生态恢复面积</w:t>
                  </w:r>
                </w:p>
              </w:tc>
              <w:tc>
                <w:tcPr>
                  <w:tcW w:w="3685" w:type="dxa"/>
                  <w:tcBorders>
                    <w:tl2br w:val="nil"/>
                    <w:tr2bl w:val="nil"/>
                  </w:tcBorders>
                  <w:vAlign w:val="center"/>
                </w:tcPr>
                <w:p w14:paraId="75BE9B00">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7207.51</w:t>
                  </w:r>
                  <w:r>
                    <w:rPr>
                      <w:rFonts w:hint="eastAsia" w:ascii="Times New Roman" w:hAnsi="Times New Roman" w:cs="Times New Roman"/>
                      <w:color w:val="auto"/>
                      <w:sz w:val="21"/>
                      <w:szCs w:val="21"/>
                      <w:lang w:val="en-US" w:eastAsia="zh-CN"/>
                    </w:rPr>
                    <w:t>m</w:t>
                  </w:r>
                  <w:r>
                    <w:rPr>
                      <w:rFonts w:hint="eastAsia" w:ascii="Times New Roman" w:hAnsi="Times New Roman" w:cs="Times New Roman"/>
                      <w:color w:val="auto"/>
                      <w:sz w:val="21"/>
                      <w:szCs w:val="21"/>
                      <w:vertAlign w:val="superscript"/>
                      <w:lang w:val="en-US" w:eastAsia="zh-CN"/>
                    </w:rPr>
                    <w:t>2</w:t>
                  </w:r>
                </w:p>
              </w:tc>
            </w:tr>
            <w:tr w14:paraId="6614FF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573" w:type="dxa"/>
                  <w:tcBorders>
                    <w:tl2br w:val="nil"/>
                    <w:tr2bl w:val="nil"/>
                  </w:tcBorders>
                  <w:vAlign w:val="center"/>
                </w:tcPr>
                <w:p w14:paraId="585C641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2380" w:type="dxa"/>
                  <w:tcBorders>
                    <w:tl2br w:val="nil"/>
                    <w:tr2bl w:val="nil"/>
                  </w:tcBorders>
                  <w:vAlign w:val="center"/>
                </w:tcPr>
                <w:p w14:paraId="245B8E72">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临时施工便道长度约</w:t>
                  </w:r>
                </w:p>
              </w:tc>
              <w:tc>
                <w:tcPr>
                  <w:tcW w:w="3685" w:type="dxa"/>
                  <w:tcBorders>
                    <w:tl2br w:val="nil"/>
                    <w:tr2bl w:val="nil"/>
                  </w:tcBorders>
                  <w:vAlign w:val="center"/>
                </w:tcPr>
                <w:p w14:paraId="085D77E0">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1270m</w:t>
                  </w:r>
                </w:p>
              </w:tc>
            </w:tr>
            <w:tr w14:paraId="6E27BA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0" w:hRule="atLeast"/>
                <w:jc w:val="center"/>
              </w:trPr>
              <w:tc>
                <w:tcPr>
                  <w:tcW w:w="1573" w:type="dxa"/>
                  <w:tcBorders>
                    <w:tl2br w:val="nil"/>
                    <w:tr2bl w:val="nil"/>
                  </w:tcBorders>
                  <w:vAlign w:val="center"/>
                </w:tcPr>
                <w:p w14:paraId="7737F626">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2380" w:type="dxa"/>
                  <w:tcBorders>
                    <w:tl2br w:val="nil"/>
                    <w:tr2bl w:val="nil"/>
                  </w:tcBorders>
                  <w:vAlign w:val="center"/>
                </w:tcPr>
                <w:p w14:paraId="1C3CBFB5">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环境跟踪监测</w:t>
                  </w:r>
                </w:p>
              </w:tc>
              <w:tc>
                <w:tcPr>
                  <w:tcW w:w="3685" w:type="dxa"/>
                  <w:tcBorders>
                    <w:tl2br w:val="nil"/>
                    <w:tr2bl w:val="nil"/>
                  </w:tcBorders>
                  <w:vAlign w:val="center"/>
                </w:tcPr>
                <w:p w14:paraId="35328E66">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5处地表水监测点、</w:t>
                  </w:r>
                  <w:r>
                    <w:rPr>
                      <w:rFonts w:hint="eastAsia"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处地下水监测点、</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处土壤监测点</w:t>
                  </w:r>
                </w:p>
              </w:tc>
            </w:tr>
            <w:tr w14:paraId="53FE66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0" w:hRule="atLeast"/>
                <w:jc w:val="center"/>
              </w:trPr>
              <w:tc>
                <w:tcPr>
                  <w:tcW w:w="1573" w:type="dxa"/>
                  <w:tcBorders>
                    <w:tl2br w:val="nil"/>
                    <w:tr2bl w:val="nil"/>
                  </w:tcBorders>
                  <w:vAlign w:val="center"/>
                </w:tcPr>
                <w:p w14:paraId="23DC9F2E">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2380" w:type="dxa"/>
                  <w:tcBorders>
                    <w:tl2br w:val="nil"/>
                    <w:tr2bl w:val="nil"/>
                  </w:tcBorders>
                  <w:vAlign w:val="center"/>
                </w:tcPr>
                <w:p w14:paraId="21DCE0C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矿硐封堵工程</w:t>
                  </w:r>
                </w:p>
              </w:tc>
              <w:tc>
                <w:tcPr>
                  <w:tcW w:w="3685" w:type="dxa"/>
                  <w:tcBorders>
                    <w:tl2br w:val="nil"/>
                    <w:tr2bl w:val="nil"/>
                  </w:tcBorders>
                  <w:vAlign w:val="center"/>
                </w:tcPr>
                <w:p w14:paraId="630EDB99">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5处</w:t>
                  </w:r>
                </w:p>
              </w:tc>
            </w:tr>
          </w:tbl>
          <w:p w14:paraId="5BC3A8D3">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3.关于4处废渣堆详细概况</w:t>
            </w:r>
          </w:p>
          <w:p w14:paraId="21D14448">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（1）BJ-TB-25（1# 铅锌渣堆）</w:t>
            </w:r>
          </w:p>
          <w:p w14:paraId="7D70FE53">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w:t>
            </w:r>
            <w:r>
              <w:rPr>
                <w:rFonts w:hint="default" w:ascii="Times New Roman" w:hAnsi="Times New Roman" w:cs="Times New Roman"/>
                <w:b w:val="0"/>
                <w:bCs w:val="0"/>
                <w:color w:val="auto"/>
                <w:sz w:val="24"/>
                <w:szCs w:val="24"/>
                <w:highlight w:val="none"/>
                <w:lang w:val="en-US" w:eastAsia="zh-CN"/>
              </w:rPr>
              <w:t>地形条件：山间高陡自然斜坡，原始坡面坡度35°~45°，依附山体斜向堆积，无平整基底，不属于平地；渣堆坡脚直达沟谷汇水通道，坡面纵向高差大，图纸等高线密集，地形起伏剧烈。</w:t>
            </w:r>
          </w:p>
          <w:p w14:paraId="37CC9766">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w:t>
            </w:r>
            <w:r>
              <w:rPr>
                <w:rFonts w:hint="default" w:ascii="Times New Roman" w:hAnsi="Times New Roman" w:cs="Times New Roman"/>
                <w:b w:val="0"/>
                <w:bCs w:val="0"/>
                <w:color w:val="auto"/>
                <w:sz w:val="24"/>
                <w:szCs w:val="24"/>
                <w:highlight w:val="none"/>
                <w:lang w:val="en-US" w:eastAsia="zh-CN"/>
              </w:rPr>
              <w:t>原始堆高：现状最大堆高12</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15m，渣体沿山坡纵向延伸，分层无序堆积；治理后经削坡放坡至1:1.5稳定坡度，控制堆高≤9m，设置多级2m宽反坡平台。</w:t>
            </w:r>
          </w:p>
          <w:p w14:paraId="054D8051">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w:t>
            </w:r>
            <w:r>
              <w:rPr>
                <w:rFonts w:hint="default" w:ascii="Times New Roman" w:hAnsi="Times New Roman" w:cs="Times New Roman"/>
                <w:b w:val="0"/>
                <w:bCs w:val="0"/>
                <w:color w:val="auto"/>
                <w:sz w:val="24"/>
                <w:szCs w:val="24"/>
                <w:highlight w:val="none"/>
                <w:lang w:val="en-US" w:eastAsia="zh-CN"/>
              </w:rPr>
              <w:t>堆存体量：废渣量</w:t>
            </w:r>
            <w:r>
              <w:rPr>
                <w:rFonts w:hint="eastAsia" w:cs="Times New Roman"/>
                <w:b w:val="0"/>
                <w:bCs w:val="0"/>
                <w:color w:val="auto"/>
                <w:sz w:val="24"/>
                <w:szCs w:val="24"/>
                <w:highlight w:val="none"/>
                <w:lang w:val="en-US" w:eastAsia="zh-CN"/>
              </w:rPr>
              <w:t>23287</w:t>
            </w:r>
            <w:r>
              <w:rPr>
                <w:rFonts w:hint="default" w:ascii="Times New Roman" w:hAnsi="Times New Roman" w:cs="Times New Roman"/>
                <w:b w:val="0"/>
                <w:bCs w:val="0"/>
                <w:color w:val="auto"/>
                <w:sz w:val="24"/>
                <w:szCs w:val="24"/>
                <w:highlight w:val="none"/>
                <w:lang w:val="en-US" w:eastAsia="zh-CN"/>
              </w:rPr>
              <w:t>m³，4处渣堆</w:t>
            </w:r>
            <w:r>
              <w:rPr>
                <w:rFonts w:hint="eastAsia" w:cs="Times New Roman"/>
                <w:b w:val="0"/>
                <w:bCs w:val="0"/>
                <w:color w:val="auto"/>
                <w:sz w:val="24"/>
                <w:szCs w:val="24"/>
                <w:highlight w:val="none"/>
                <w:lang w:val="en-US" w:eastAsia="zh-CN"/>
              </w:rPr>
              <w:t>中</w:t>
            </w:r>
            <w:r>
              <w:rPr>
                <w:rFonts w:hint="default" w:ascii="Times New Roman" w:hAnsi="Times New Roman" w:cs="Times New Roman"/>
                <w:b w:val="0"/>
                <w:bCs w:val="0"/>
                <w:color w:val="auto"/>
                <w:sz w:val="24"/>
                <w:szCs w:val="24"/>
                <w:highlight w:val="none"/>
                <w:lang w:val="en-US" w:eastAsia="zh-CN"/>
              </w:rPr>
              <w:t>体量最大；治理占地投影面积约</w:t>
            </w:r>
            <w:r>
              <w:rPr>
                <w:rFonts w:hint="eastAsia" w:cs="Times New Roman"/>
                <w:b w:val="0"/>
                <w:bCs w:val="0"/>
                <w:color w:val="auto"/>
                <w:sz w:val="24"/>
                <w:szCs w:val="24"/>
                <w:highlight w:val="none"/>
                <w:lang w:val="en-US" w:eastAsia="zh-CN"/>
              </w:rPr>
              <w:t>3756m</w:t>
            </w:r>
            <w:r>
              <w:rPr>
                <w:rFonts w:hint="eastAsia"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lang w:val="en-US" w:eastAsia="zh-CN"/>
              </w:rPr>
              <w:t>。</w:t>
            </w:r>
          </w:p>
          <w:p w14:paraId="3D4BA595">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④</w:t>
            </w:r>
            <w:r>
              <w:rPr>
                <w:rFonts w:hint="default" w:ascii="Times New Roman" w:hAnsi="Times New Roman" w:cs="Times New Roman"/>
                <w:b w:val="0"/>
                <w:bCs w:val="0"/>
                <w:color w:val="auto"/>
                <w:sz w:val="24"/>
                <w:szCs w:val="24"/>
                <w:highlight w:val="none"/>
                <w:lang w:val="en-US" w:eastAsia="zh-CN"/>
              </w:rPr>
              <w:t>现状表面绿化：坡面废渣大面积裸露，植被覆盖度＜50</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；仅坡顶、边缘零星少量杂草，无成片灌木，裸露矿渣占主体，雨水冲刷极易形成含重金属</w:t>
            </w:r>
            <w:r>
              <w:rPr>
                <w:b/>
                <w:bCs/>
                <w:color w:val="auto"/>
                <w:sz w:val="21"/>
                <w:szCs w:val="21"/>
              </w:rPr>
              <w:drawing>
                <wp:anchor distT="0" distB="0" distL="114300" distR="114300" simplePos="0" relativeHeight="251660288" behindDoc="0" locked="0" layoutInCell="1" allowOverlap="1">
                  <wp:simplePos x="0" y="0"/>
                  <wp:positionH relativeFrom="column">
                    <wp:posOffset>1136015</wp:posOffset>
                  </wp:positionH>
                  <wp:positionV relativeFrom="paragraph">
                    <wp:posOffset>299085</wp:posOffset>
                  </wp:positionV>
                  <wp:extent cx="3161665" cy="4142105"/>
                  <wp:effectExtent l="0" t="0" r="635" b="10795"/>
                  <wp:wrapTopAndBottom/>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7"/>
                          <a:stretch>
                            <a:fillRect/>
                          </a:stretch>
                        </pic:blipFill>
                        <pic:spPr>
                          <a:xfrm>
                            <a:off x="0" y="0"/>
                            <a:ext cx="3161665" cy="4142105"/>
                          </a:xfrm>
                          <a:prstGeom prst="rect">
                            <a:avLst/>
                          </a:prstGeom>
                          <a:noFill/>
                          <a:ln>
                            <a:noFill/>
                          </a:ln>
                        </pic:spPr>
                      </pic:pic>
                    </a:graphicData>
                  </a:graphic>
                </wp:anchor>
              </w:drawing>
            </w:r>
            <w:r>
              <w:rPr>
                <w:rFonts w:hint="default" w:ascii="Times New Roman" w:hAnsi="Times New Roman" w:cs="Times New Roman"/>
                <w:b w:val="0"/>
                <w:bCs w:val="0"/>
                <w:color w:val="auto"/>
                <w:sz w:val="24"/>
                <w:szCs w:val="24"/>
                <w:highlight w:val="none"/>
                <w:lang w:val="en-US" w:eastAsia="zh-CN"/>
              </w:rPr>
              <w:t>径流。</w:t>
            </w:r>
          </w:p>
          <w:p w14:paraId="48808DB8">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图2-1  BJ-TB-25（1#铅锌渣堆）平面布置图</w:t>
            </w:r>
          </w:p>
          <w:p w14:paraId="42310E9D">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cs="Times New Roman"/>
                <w:b w:val="0"/>
                <w:bCs w:val="0"/>
                <w:color w:val="auto"/>
                <w:sz w:val="24"/>
                <w:szCs w:val="24"/>
                <w:highlight w:val="none"/>
                <w:lang w:val="en-US" w:eastAsia="zh-CN"/>
              </w:rPr>
            </w:pPr>
            <w:r>
              <w:rPr>
                <w:color w:val="auto"/>
              </w:rPr>
              <w:drawing>
                <wp:inline distT="0" distB="0" distL="114300" distR="114300">
                  <wp:extent cx="4297045" cy="2338070"/>
                  <wp:effectExtent l="0" t="0" r="8255" b="508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8"/>
                          <a:stretch>
                            <a:fillRect/>
                          </a:stretch>
                        </pic:blipFill>
                        <pic:spPr>
                          <a:xfrm>
                            <a:off x="0" y="0"/>
                            <a:ext cx="4297045" cy="2338070"/>
                          </a:xfrm>
                          <a:prstGeom prst="rect">
                            <a:avLst/>
                          </a:prstGeom>
                          <a:noFill/>
                          <a:ln>
                            <a:noFill/>
                          </a:ln>
                        </pic:spPr>
                      </pic:pic>
                    </a:graphicData>
                  </a:graphic>
                </wp:inline>
              </w:drawing>
            </w:r>
          </w:p>
          <w:p w14:paraId="16C63C80">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图2-2  BJ-TB-25（1#铅锌渣堆）剖面图</w:t>
            </w:r>
          </w:p>
          <w:p w14:paraId="5CD3AC1B">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）BJ-TB-27（2#铅锌渣堆）</w:t>
            </w:r>
          </w:p>
          <w:p w14:paraId="39AD70E6">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①</w:t>
            </w:r>
            <w:r>
              <w:rPr>
                <w:rFonts w:hint="default" w:ascii="Times New Roman" w:hAnsi="Times New Roman" w:eastAsia="宋体" w:cs="Times New Roman"/>
                <w:color w:val="auto"/>
                <w:sz w:val="24"/>
                <w:szCs w:val="24"/>
                <w:lang w:eastAsia="zh-CN"/>
              </w:rPr>
              <w:t>地形条件：山间斜坡，坡度约38°，与BJ-TB-28（</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eastAsia="zh-CN"/>
              </w:rPr>
              <w:t>#铅锌渣堆）连片分布在同一山体支坡，全程为坡地，无平地；等高线密集，纵向落差明显。</w:t>
            </w:r>
          </w:p>
          <w:p w14:paraId="086F5FB3">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②</w:t>
            </w:r>
            <w:r>
              <w:rPr>
                <w:rFonts w:hint="default" w:ascii="Times New Roman" w:hAnsi="Times New Roman" w:eastAsia="宋体" w:cs="Times New Roman"/>
                <w:color w:val="auto"/>
                <w:sz w:val="24"/>
                <w:szCs w:val="24"/>
                <w:lang w:eastAsia="zh-CN"/>
              </w:rPr>
              <w:t>原始堆高：现状堆高8</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10m，渣体厚度中等，坡面已形成多条雨水冲刷冲沟，局部松散浮渣堆积。</w:t>
            </w:r>
          </w:p>
          <w:p w14:paraId="4938637C">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③</w:t>
            </w:r>
            <w:r>
              <w:rPr>
                <w:rFonts w:hint="default" w:ascii="Times New Roman" w:hAnsi="Times New Roman" w:eastAsia="宋体" w:cs="Times New Roman"/>
                <w:color w:val="auto"/>
                <w:sz w:val="24"/>
                <w:szCs w:val="24"/>
                <w:lang w:eastAsia="zh-CN"/>
              </w:rPr>
              <w:t>堆存体量：原生废渣量</w:t>
            </w:r>
            <w:r>
              <w:rPr>
                <w:rFonts w:hint="eastAsia" w:ascii="Times New Roman" w:hAnsi="Times New Roman" w:eastAsia="宋体" w:cs="Times New Roman"/>
                <w:color w:val="auto"/>
                <w:sz w:val="24"/>
                <w:szCs w:val="24"/>
                <w:lang w:val="en-US" w:eastAsia="zh-CN"/>
              </w:rPr>
              <w:t>5643</w:t>
            </w:r>
            <w:r>
              <w:rPr>
                <w:rFonts w:hint="default" w:ascii="Times New Roman" w:hAnsi="Times New Roman" w:eastAsia="宋体" w:cs="Times New Roman"/>
                <w:color w:val="auto"/>
                <w:sz w:val="24"/>
                <w:szCs w:val="24"/>
                <w:lang w:eastAsia="zh-CN"/>
              </w:rPr>
              <w:t>m³，</w:t>
            </w:r>
            <w:r>
              <w:rPr>
                <w:rFonts w:hint="eastAsia" w:ascii="Times New Roman" w:hAnsi="Times New Roman" w:eastAsia="宋体" w:cs="Times New Roman"/>
                <w:color w:val="auto"/>
                <w:sz w:val="24"/>
                <w:szCs w:val="24"/>
                <w:lang w:val="en-US" w:eastAsia="zh-CN"/>
              </w:rPr>
              <w:t>在</w:t>
            </w:r>
            <w:r>
              <w:rPr>
                <w:rFonts w:hint="default" w:ascii="Times New Roman" w:hAnsi="Times New Roman" w:eastAsia="宋体" w:cs="Times New Roman"/>
                <w:color w:val="auto"/>
                <w:sz w:val="24"/>
                <w:szCs w:val="24"/>
                <w:lang w:eastAsia="zh-CN"/>
              </w:rPr>
              <w:t>4处铅锌渣中体量最小，投影占地约</w:t>
            </w:r>
            <w:r>
              <w:rPr>
                <w:rFonts w:hint="eastAsia" w:ascii="Times New Roman" w:hAnsi="Times New Roman" w:eastAsia="宋体" w:cs="Times New Roman"/>
                <w:color w:val="auto"/>
                <w:sz w:val="24"/>
                <w:szCs w:val="24"/>
                <w:lang w:val="en-US" w:eastAsia="zh-CN"/>
              </w:rPr>
              <w:t>372.11m</w:t>
            </w:r>
            <w:r>
              <w:rPr>
                <w:rFonts w:hint="eastAsia"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eastAsia="zh-CN"/>
              </w:rPr>
              <w:t>。</w:t>
            </w:r>
          </w:p>
          <w:p w14:paraId="07BB5C1E">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④</w:t>
            </w:r>
            <w:r>
              <w:rPr>
                <w:rFonts w:hint="default" w:ascii="Times New Roman" w:hAnsi="Times New Roman" w:eastAsia="宋体" w:cs="Times New Roman"/>
                <w:color w:val="auto"/>
                <w:sz w:val="24"/>
                <w:szCs w:val="24"/>
                <w:lang w:eastAsia="zh-CN"/>
              </w:rPr>
              <w:t>现状表面绿化：绝大部分矿渣裸露，植被覆盖度不足</w:t>
            </w:r>
            <w:r>
              <w:rPr>
                <w:rFonts w:hint="eastAsia" w:ascii="Times New Roman" w:hAnsi="Times New Roman" w:eastAsia="宋体" w:cs="Times New Roman"/>
                <w:color w:val="auto"/>
                <w:sz w:val="24"/>
                <w:szCs w:val="24"/>
                <w:lang w:val="en-US" w:eastAsia="zh-CN"/>
              </w:rPr>
              <w:t>40%</w:t>
            </w:r>
            <w:r>
              <w:rPr>
                <w:rFonts w:hint="default" w:ascii="Times New Roman" w:hAnsi="Times New Roman" w:eastAsia="宋体" w:cs="Times New Roman"/>
                <w:color w:val="auto"/>
                <w:sz w:val="24"/>
                <w:szCs w:val="24"/>
                <w:lang w:eastAsia="zh-CN"/>
              </w:rPr>
              <w:t>；仅坡脚低洼处少量草本，坡面无灌木，水土流失风险突出。</w:t>
            </w:r>
          </w:p>
          <w:p w14:paraId="4CECF2E7">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eastAsia="宋体" w:cs="Times New Roman"/>
                <w:b/>
                <w:bCs/>
                <w:color w:val="auto"/>
                <w:sz w:val="21"/>
                <w:szCs w:val="21"/>
                <w:lang w:eastAsia="zh-CN"/>
              </w:rPr>
            </w:pPr>
            <w:r>
              <w:rPr>
                <w:color w:val="auto"/>
              </w:rPr>
              <w:drawing>
                <wp:inline distT="0" distB="0" distL="114300" distR="114300">
                  <wp:extent cx="4963160" cy="2701290"/>
                  <wp:effectExtent l="0" t="0" r="8890" b="381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9"/>
                          <a:stretch>
                            <a:fillRect/>
                          </a:stretch>
                        </pic:blipFill>
                        <pic:spPr>
                          <a:xfrm>
                            <a:off x="0" y="0"/>
                            <a:ext cx="4963160" cy="2701290"/>
                          </a:xfrm>
                          <a:prstGeom prst="rect">
                            <a:avLst/>
                          </a:prstGeom>
                          <a:noFill/>
                          <a:ln>
                            <a:noFill/>
                          </a:ln>
                        </pic:spPr>
                      </pic:pic>
                    </a:graphicData>
                  </a:graphic>
                </wp:inline>
              </w:drawing>
            </w:r>
          </w:p>
          <w:p w14:paraId="18DE2C30">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图2-3  BJ-TB-27（2#铅锌渣堆）平面布置图</w:t>
            </w:r>
          </w:p>
          <w:p w14:paraId="582CFB71">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eastAsia="宋体" w:cs="Times New Roman"/>
                <w:color w:val="auto"/>
                <w:sz w:val="24"/>
                <w:szCs w:val="24"/>
              </w:rPr>
            </w:pPr>
            <w:r>
              <w:rPr>
                <w:b/>
                <w:bCs/>
                <w:color w:val="auto"/>
                <w:sz w:val="21"/>
                <w:szCs w:val="21"/>
              </w:rPr>
              <w:drawing>
                <wp:inline distT="0" distB="0" distL="114300" distR="114300">
                  <wp:extent cx="3742055" cy="3053080"/>
                  <wp:effectExtent l="0" t="0" r="10795" b="1397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0"/>
                          <a:stretch>
                            <a:fillRect/>
                          </a:stretch>
                        </pic:blipFill>
                        <pic:spPr>
                          <a:xfrm>
                            <a:off x="0" y="0"/>
                            <a:ext cx="3742055" cy="3053080"/>
                          </a:xfrm>
                          <a:prstGeom prst="rect">
                            <a:avLst/>
                          </a:prstGeom>
                          <a:noFill/>
                          <a:ln>
                            <a:noFill/>
                          </a:ln>
                        </pic:spPr>
                      </pic:pic>
                    </a:graphicData>
                  </a:graphic>
                </wp:inline>
              </w:drawing>
            </w:r>
          </w:p>
          <w:p w14:paraId="63111FEF">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图2-4  BJ-TB-27（2#铅锌渣堆）剖面图</w:t>
            </w:r>
          </w:p>
          <w:p w14:paraId="6BB7D39B">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b/>
                <w:bCs/>
                <w:color w:val="auto"/>
                <w:sz w:val="24"/>
                <w:szCs w:val="24"/>
                <w:lang w:eastAsia="zh-CN"/>
              </w:rPr>
              <w:t>）BJ-TB-28（3#铅锌渣堆）</w:t>
            </w:r>
          </w:p>
          <w:p w14:paraId="32AF6E32">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①</w:t>
            </w:r>
            <w:r>
              <w:rPr>
                <w:rFonts w:hint="default" w:ascii="Times New Roman" w:hAnsi="Times New Roman" w:eastAsia="宋体" w:cs="Times New Roman"/>
                <w:color w:val="auto"/>
                <w:sz w:val="24"/>
                <w:szCs w:val="24"/>
              </w:rPr>
              <w:t>地形条件：高陡山间斜坡，原始边坡约40°，紧邻2#渣堆连片，纯坡地无平整场地；勘查判定存在牵引式滑坡隐患，坡脚存在常年渗水通道。</w:t>
            </w:r>
          </w:p>
          <w:p w14:paraId="5DC59B4C">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②</w:t>
            </w:r>
            <w:r>
              <w:rPr>
                <w:rFonts w:hint="default" w:ascii="Times New Roman" w:hAnsi="Times New Roman" w:eastAsia="宋体" w:cs="Times New Roman"/>
                <w:color w:val="auto"/>
                <w:sz w:val="24"/>
                <w:szCs w:val="24"/>
              </w:rPr>
              <w:t>原始堆高：现状堆高10</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13m，渣体厚度大、自重荷载高，是片区滑坡高风险点位；治理分层卸荷削坡，完工堆高控制≤8m。</w:t>
            </w:r>
          </w:p>
          <w:p w14:paraId="45603A45">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③</w:t>
            </w:r>
            <w:r>
              <w:rPr>
                <w:rFonts w:hint="default" w:ascii="Times New Roman" w:hAnsi="Times New Roman" w:eastAsia="宋体" w:cs="Times New Roman"/>
                <w:color w:val="auto"/>
                <w:sz w:val="24"/>
                <w:szCs w:val="24"/>
              </w:rPr>
              <w:t>堆存体量：原生废渣量</w:t>
            </w:r>
            <w:r>
              <w:rPr>
                <w:rFonts w:hint="eastAsia" w:ascii="Times New Roman" w:hAnsi="Times New Roman" w:eastAsia="宋体" w:cs="Times New Roman"/>
                <w:color w:val="auto"/>
                <w:sz w:val="24"/>
                <w:szCs w:val="24"/>
                <w:lang w:val="en-US" w:eastAsia="zh-CN"/>
              </w:rPr>
              <w:t>7920</w:t>
            </w:r>
            <w:r>
              <w:rPr>
                <w:rFonts w:hint="default" w:ascii="Times New Roman" w:hAnsi="Times New Roman" w:eastAsia="宋体" w:cs="Times New Roman"/>
                <w:color w:val="auto"/>
                <w:sz w:val="24"/>
                <w:szCs w:val="24"/>
              </w:rPr>
              <w:t>m³，体量排第三位，投影占地约</w:t>
            </w:r>
            <w:r>
              <w:rPr>
                <w:rFonts w:hint="eastAsia" w:ascii="Times New Roman" w:hAnsi="Times New Roman" w:eastAsia="宋体" w:cs="Times New Roman"/>
                <w:color w:val="auto"/>
                <w:sz w:val="24"/>
                <w:szCs w:val="24"/>
                <w:lang w:val="en-US" w:eastAsia="zh-CN"/>
              </w:rPr>
              <w:t>802.40m</w:t>
            </w:r>
            <w:r>
              <w:rPr>
                <w:rFonts w:hint="eastAsia"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w:t>
            </w:r>
          </w:p>
          <w:p w14:paraId="0B3D922E">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④</w:t>
            </w:r>
            <w:r>
              <w:rPr>
                <w:rFonts w:hint="default" w:ascii="Times New Roman" w:hAnsi="Times New Roman" w:eastAsia="宋体" w:cs="Times New Roman"/>
                <w:color w:val="auto"/>
                <w:sz w:val="24"/>
                <w:szCs w:val="24"/>
              </w:rPr>
              <w:t>现状表面绿化：坡面几乎完全裸露，植被覆盖度仅35%左右，仅坡顶少量原生杂草，无灌木覆盖，雨水淋溶下渗风险最高</w:t>
            </w:r>
          </w:p>
          <w:p w14:paraId="7255A7D5">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eastAsia="宋体" w:cs="Times New Roman"/>
                <w:b/>
                <w:bCs/>
                <w:color w:val="auto"/>
                <w:sz w:val="24"/>
                <w:szCs w:val="24"/>
              </w:rPr>
            </w:pPr>
            <w:r>
              <w:rPr>
                <w:color w:val="auto"/>
              </w:rPr>
              <w:drawing>
                <wp:inline distT="0" distB="0" distL="114300" distR="114300">
                  <wp:extent cx="5182235" cy="2708275"/>
                  <wp:effectExtent l="0" t="0" r="18415" b="1587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11"/>
                          <a:stretch>
                            <a:fillRect/>
                          </a:stretch>
                        </pic:blipFill>
                        <pic:spPr>
                          <a:xfrm>
                            <a:off x="0" y="0"/>
                            <a:ext cx="5182235" cy="2708275"/>
                          </a:xfrm>
                          <a:prstGeom prst="rect">
                            <a:avLst/>
                          </a:prstGeom>
                          <a:noFill/>
                          <a:ln>
                            <a:noFill/>
                          </a:ln>
                        </pic:spPr>
                      </pic:pic>
                    </a:graphicData>
                  </a:graphic>
                </wp:inline>
              </w:drawing>
            </w:r>
          </w:p>
          <w:p w14:paraId="4116E810">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eastAsia="宋体" w:cs="Times New Roman"/>
                <w:b/>
                <w:bCs/>
                <w:color w:val="auto"/>
                <w:sz w:val="24"/>
                <w:szCs w:val="24"/>
              </w:rPr>
            </w:pPr>
            <w:r>
              <w:rPr>
                <w:rFonts w:hint="eastAsia" w:cs="Times New Roman"/>
                <w:b/>
                <w:bCs/>
                <w:color w:val="auto"/>
                <w:sz w:val="21"/>
                <w:szCs w:val="21"/>
                <w:highlight w:val="none"/>
                <w:lang w:val="en-US" w:eastAsia="zh-CN"/>
              </w:rPr>
              <w:t>图2-5  BJ-TB-28（3# 铅锌渣堆）平面布置图</w:t>
            </w:r>
          </w:p>
          <w:p w14:paraId="4A951CFD">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eastAsia="宋体" w:cs="Times New Roman"/>
                <w:b/>
                <w:bCs/>
                <w:color w:val="auto"/>
                <w:sz w:val="24"/>
                <w:szCs w:val="24"/>
              </w:rPr>
            </w:pPr>
            <w:r>
              <w:rPr>
                <w:color w:val="auto"/>
              </w:rPr>
              <w:drawing>
                <wp:inline distT="0" distB="0" distL="114300" distR="114300">
                  <wp:extent cx="3978910" cy="3303270"/>
                  <wp:effectExtent l="0" t="0" r="2540" b="1143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12"/>
                          <a:stretch>
                            <a:fillRect/>
                          </a:stretch>
                        </pic:blipFill>
                        <pic:spPr>
                          <a:xfrm>
                            <a:off x="0" y="0"/>
                            <a:ext cx="3978910" cy="3303270"/>
                          </a:xfrm>
                          <a:prstGeom prst="rect">
                            <a:avLst/>
                          </a:prstGeom>
                          <a:noFill/>
                          <a:ln>
                            <a:noFill/>
                          </a:ln>
                        </pic:spPr>
                      </pic:pic>
                    </a:graphicData>
                  </a:graphic>
                </wp:inline>
              </w:drawing>
            </w:r>
          </w:p>
          <w:p w14:paraId="1E8028EF">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图2-6  BJ-TB-28（3# 铅锌渣堆）剖面图</w:t>
            </w:r>
          </w:p>
          <w:p w14:paraId="1DB09AD1">
            <w:pPr>
              <w:pStyle w:val="12"/>
              <w:keepNext w:val="0"/>
              <w:keepLines w:val="0"/>
              <w:pageBreakBefore w:val="0"/>
              <w:widowControl w:val="0"/>
              <w:numPr>
                <w:ilvl w:val="0"/>
                <w:numId w:val="0"/>
              </w:numPr>
              <w:tabs>
                <w:tab w:val="left" w:pos="1684"/>
              </w:tabs>
              <w:kinsoku/>
              <w:wordWrap/>
              <w:overflowPunct/>
              <w:topLinePunct w:val="0"/>
              <w:autoSpaceDE/>
              <w:autoSpaceDN/>
              <w:bidi w:val="0"/>
              <w:adjustRightInd/>
              <w:snapToGrid w:val="0"/>
              <w:spacing w:line="360" w:lineRule="auto"/>
              <w:ind w:leftChars="0"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4</w:t>
            </w:r>
            <w:r>
              <w:rPr>
                <w:rFonts w:hint="eastAsia" w:ascii="Times New Roman" w:hAnsi="Times New Roman" w:eastAsia="宋体" w:cs="Times New Roman"/>
                <w:b/>
                <w:bCs/>
                <w:color w:val="auto"/>
                <w:sz w:val="24"/>
                <w:szCs w:val="24"/>
                <w:lang w:eastAsia="zh-CN"/>
              </w:rPr>
              <w:t>）BJ-TB-26（4#金矿渣堆）</w:t>
            </w:r>
          </w:p>
          <w:p w14:paraId="77F04281">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①</w:t>
            </w:r>
            <w:r>
              <w:rPr>
                <w:rFonts w:hint="default" w:ascii="Times New Roman" w:hAnsi="Times New Roman" w:cs="Times New Roman"/>
                <w:b w:val="0"/>
                <w:bCs w:val="0"/>
                <w:color w:val="auto"/>
                <w:sz w:val="24"/>
                <w:szCs w:val="24"/>
                <w:highlight w:val="none"/>
                <w:lang w:val="en-US" w:eastAsia="zh-CN"/>
              </w:rPr>
              <w:t>地形条件：红岩河沟谷平缓滩地，整体坡度≤5°，唯一位于近平地的渣堆；紧邻河道，地势低洼，汛期河水可抵达渣堆外侧坡脚，等高线稀疏，地形平缓起伏小。</w:t>
            </w:r>
          </w:p>
          <w:p w14:paraId="40DC54CF">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②</w:t>
            </w:r>
            <w:r>
              <w:rPr>
                <w:rFonts w:hint="default" w:ascii="Times New Roman" w:hAnsi="Times New Roman" w:cs="Times New Roman"/>
                <w:b w:val="0"/>
                <w:bCs w:val="0"/>
                <w:color w:val="auto"/>
                <w:sz w:val="24"/>
                <w:szCs w:val="24"/>
                <w:highlight w:val="none"/>
                <w:lang w:val="en-US" w:eastAsia="zh-CN"/>
              </w:rPr>
              <w:t>原始堆高：现状堆高仅3</w:t>
            </w:r>
            <w:r>
              <w:rPr>
                <w:rFonts w:hint="eastAsia" w:ascii="Times New Roman" w:hAnsi="Times New Roman"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5m，堆体薄、整体平缓，无高陡边坡，不存在山体滑坡风险，仅存在河水侧蚀垮塌隐患。</w:t>
            </w:r>
          </w:p>
          <w:p w14:paraId="1494A43B">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③</w:t>
            </w:r>
            <w:r>
              <w:rPr>
                <w:rFonts w:hint="default" w:ascii="Times New Roman" w:hAnsi="Times New Roman" w:cs="Times New Roman"/>
                <w:b w:val="0"/>
                <w:bCs w:val="0"/>
                <w:color w:val="auto"/>
                <w:sz w:val="24"/>
                <w:szCs w:val="24"/>
                <w:highlight w:val="none"/>
                <w:lang w:val="en-US" w:eastAsia="zh-CN"/>
              </w:rPr>
              <w:t>堆存体量：原生金矿细颗粒废渣</w:t>
            </w:r>
            <w:r>
              <w:rPr>
                <w:rFonts w:hint="eastAsia" w:ascii="Times New Roman" w:hAnsi="Times New Roman" w:cs="Times New Roman"/>
                <w:b w:val="0"/>
                <w:bCs w:val="0"/>
                <w:color w:val="auto"/>
                <w:sz w:val="24"/>
                <w:szCs w:val="24"/>
                <w:highlight w:val="none"/>
                <w:lang w:val="en-US" w:eastAsia="zh-CN"/>
              </w:rPr>
              <w:t>9620</w:t>
            </w:r>
            <w:r>
              <w:rPr>
                <w:rFonts w:hint="default" w:ascii="Times New Roman" w:hAnsi="Times New Roman" w:cs="Times New Roman"/>
                <w:b w:val="0"/>
                <w:bCs w:val="0"/>
                <w:color w:val="auto"/>
                <w:sz w:val="24"/>
                <w:szCs w:val="24"/>
                <w:highlight w:val="none"/>
                <w:lang w:val="en-US" w:eastAsia="zh-CN"/>
              </w:rPr>
              <w:t>m³，投影占地约</w:t>
            </w:r>
            <w:r>
              <w:rPr>
                <w:rFonts w:hint="eastAsia" w:ascii="Times New Roman" w:hAnsi="Times New Roman" w:cs="Times New Roman"/>
                <w:b w:val="0"/>
                <w:bCs w:val="0"/>
                <w:color w:val="auto"/>
                <w:sz w:val="24"/>
                <w:szCs w:val="24"/>
                <w:highlight w:val="none"/>
                <w:lang w:val="en-US" w:eastAsia="zh-CN"/>
              </w:rPr>
              <w:t>2277</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default" w:ascii="Times New Roman" w:hAnsi="Times New Roman" w:cs="Times New Roman"/>
                <w:b w:val="0"/>
                <w:bCs w:val="0"/>
                <w:color w:val="auto"/>
                <w:sz w:val="24"/>
                <w:szCs w:val="24"/>
                <w:highlight w:val="none"/>
                <w:lang w:val="en-US" w:eastAsia="zh-CN"/>
              </w:rPr>
              <w:t>。</w:t>
            </w:r>
          </w:p>
          <w:p w14:paraId="21523D8E">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④</w:t>
            </w:r>
            <w:r>
              <w:rPr>
                <w:rFonts w:hint="default" w:ascii="Times New Roman" w:hAnsi="Times New Roman" w:cs="Times New Roman"/>
                <w:b w:val="0"/>
                <w:bCs w:val="0"/>
                <w:color w:val="auto"/>
                <w:sz w:val="24"/>
                <w:szCs w:val="24"/>
                <w:highlight w:val="none"/>
                <w:lang w:val="en-US" w:eastAsia="zh-CN"/>
              </w:rPr>
              <w:t>现状表面绿化：</w:t>
            </w:r>
            <w:r>
              <w:rPr>
                <w:rFonts w:hint="eastAsia" w:ascii="Times New Roman" w:hAnsi="Times New Roman" w:cs="Times New Roman"/>
                <w:b w:val="0"/>
                <w:bCs w:val="0"/>
                <w:color w:val="auto"/>
                <w:sz w:val="24"/>
                <w:szCs w:val="24"/>
                <w:highlight w:val="none"/>
                <w:lang w:val="en-US" w:eastAsia="zh-CN"/>
              </w:rPr>
              <w:t>在</w:t>
            </w:r>
            <w:r>
              <w:rPr>
                <w:rFonts w:hint="default" w:ascii="Times New Roman" w:hAnsi="Times New Roman" w:cs="Times New Roman"/>
                <w:b w:val="0"/>
                <w:bCs w:val="0"/>
                <w:color w:val="auto"/>
                <w:sz w:val="24"/>
                <w:szCs w:val="24"/>
                <w:highlight w:val="none"/>
                <w:lang w:val="en-US" w:eastAsia="zh-CN"/>
              </w:rPr>
              <w:t>4处中植被条件最好，表层覆盖自然坡积覆土，零星分布低矮灌木，整体植被覆盖度＞60</w:t>
            </w:r>
            <w:r>
              <w:rPr>
                <w:rFonts w:hint="eastAsia" w:ascii="Times New Roman" w:hAnsi="Times New Roman"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；仅局部尾矿薄层裸露，雨水直接淋溶风险远低于另外三处坡体渣堆。</w:t>
            </w:r>
          </w:p>
          <w:p w14:paraId="0FC69FF8">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cs="Times New Roman"/>
                <w:b/>
                <w:bCs/>
                <w:color w:val="auto"/>
                <w:sz w:val="21"/>
                <w:szCs w:val="21"/>
                <w:highlight w:val="none"/>
                <w:lang w:val="en-US" w:eastAsia="zh-CN"/>
              </w:rPr>
            </w:pPr>
            <w:r>
              <w:rPr>
                <w:color w:val="auto"/>
              </w:rPr>
              <w:drawing>
                <wp:inline distT="0" distB="0" distL="114300" distR="114300">
                  <wp:extent cx="4017645" cy="2740660"/>
                  <wp:effectExtent l="0" t="0" r="1905" b="2540"/>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13"/>
                          <a:stretch>
                            <a:fillRect/>
                          </a:stretch>
                        </pic:blipFill>
                        <pic:spPr>
                          <a:xfrm>
                            <a:off x="0" y="0"/>
                            <a:ext cx="4017645" cy="2740660"/>
                          </a:xfrm>
                          <a:prstGeom prst="rect">
                            <a:avLst/>
                          </a:prstGeom>
                          <a:noFill/>
                          <a:ln>
                            <a:noFill/>
                          </a:ln>
                        </pic:spPr>
                      </pic:pic>
                    </a:graphicData>
                  </a:graphic>
                </wp:inline>
              </w:drawing>
            </w:r>
          </w:p>
          <w:p w14:paraId="1F636909">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 xml:space="preserve">图2-7  </w:t>
            </w:r>
            <w:r>
              <w:rPr>
                <w:rFonts w:hint="eastAsia" w:ascii="Times New Roman" w:hAnsi="Times New Roman" w:eastAsia="宋体" w:cs="Times New Roman"/>
                <w:b/>
                <w:bCs/>
                <w:color w:val="auto"/>
                <w:sz w:val="21"/>
                <w:szCs w:val="21"/>
                <w:lang w:eastAsia="zh-CN"/>
              </w:rPr>
              <w:t>BJ-TB-26（4#金矿渣堆）</w:t>
            </w:r>
            <w:r>
              <w:rPr>
                <w:rFonts w:hint="eastAsia" w:cs="Times New Roman"/>
                <w:b/>
                <w:bCs/>
                <w:color w:val="auto"/>
                <w:sz w:val="21"/>
                <w:szCs w:val="21"/>
                <w:lang w:val="en-US" w:eastAsia="zh-CN"/>
              </w:rPr>
              <w:t>平面布置图</w:t>
            </w:r>
          </w:p>
          <w:p w14:paraId="55120E3A">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0" w:firstLine="0" w:firstLineChars="0"/>
              <w:jc w:val="center"/>
              <w:textAlignment w:val="auto"/>
              <w:rPr>
                <w:rFonts w:hint="default" w:ascii="Times New Roman" w:hAnsi="Times New Roman" w:cs="Times New Roman"/>
                <w:b w:val="0"/>
                <w:bCs w:val="0"/>
                <w:color w:val="auto"/>
                <w:sz w:val="24"/>
                <w:szCs w:val="24"/>
                <w:highlight w:val="none"/>
                <w:lang w:val="en-US" w:eastAsia="zh-CN"/>
              </w:rPr>
            </w:pPr>
            <w:r>
              <w:rPr>
                <w:color w:val="auto"/>
              </w:rPr>
              <w:drawing>
                <wp:inline distT="0" distB="0" distL="114300" distR="114300">
                  <wp:extent cx="4518660" cy="2717800"/>
                  <wp:effectExtent l="0" t="0" r="15240" b="635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14"/>
                          <a:stretch>
                            <a:fillRect/>
                          </a:stretch>
                        </pic:blipFill>
                        <pic:spPr>
                          <a:xfrm>
                            <a:off x="0" y="0"/>
                            <a:ext cx="4518660" cy="2717800"/>
                          </a:xfrm>
                          <a:prstGeom prst="rect">
                            <a:avLst/>
                          </a:prstGeom>
                          <a:noFill/>
                          <a:ln>
                            <a:noFill/>
                          </a:ln>
                        </pic:spPr>
                      </pic:pic>
                    </a:graphicData>
                  </a:graphic>
                </wp:inline>
              </w:drawing>
            </w:r>
          </w:p>
          <w:p w14:paraId="089D5185">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8</w:t>
            </w: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lang w:eastAsia="zh-CN"/>
              </w:rPr>
              <w:t>BJ-TB-26（4#金矿渣堆）</w:t>
            </w:r>
            <w:r>
              <w:rPr>
                <w:rFonts w:hint="eastAsia" w:cs="Times New Roman"/>
                <w:b/>
                <w:bCs/>
                <w:color w:val="auto"/>
                <w:sz w:val="21"/>
                <w:szCs w:val="21"/>
                <w:lang w:val="en-US" w:eastAsia="zh-CN"/>
              </w:rPr>
              <w:t>剖面图</w:t>
            </w:r>
          </w:p>
          <w:p w14:paraId="25376B0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 xml:space="preserve">    本项目</w:t>
            </w:r>
            <w:r>
              <w:rPr>
                <w:rFonts w:hint="eastAsia" w:cs="Times New Roman"/>
                <w:b/>
                <w:bCs/>
                <w:color w:val="auto"/>
                <w:highlight w:val="none"/>
                <w:lang w:val="en-US" w:eastAsia="zh-CN"/>
              </w:rPr>
              <w:t>废渣堆场</w:t>
            </w:r>
            <w:r>
              <w:rPr>
                <w:rFonts w:hint="default" w:ascii="Times New Roman" w:hAnsi="Times New Roman" w:cs="Times New Roman"/>
                <w:b/>
                <w:bCs/>
                <w:color w:val="auto"/>
                <w:highlight w:val="none"/>
                <w:lang w:val="en-US" w:eastAsia="zh-CN"/>
              </w:rPr>
              <w:t>工程特性表</w:t>
            </w:r>
          </w:p>
          <w:tbl>
            <w:tblPr>
              <w:tblStyle w:val="24"/>
              <w:tblW w:w="790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408"/>
              <w:gridCol w:w="2004"/>
              <w:gridCol w:w="2005"/>
              <w:gridCol w:w="1177"/>
              <w:gridCol w:w="1310"/>
            </w:tblGrid>
            <w:tr w14:paraId="5C7588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6" w:hRule="atLeast"/>
                <w:jc w:val="center"/>
              </w:trPr>
              <w:tc>
                <w:tcPr>
                  <w:tcW w:w="1408" w:type="dxa"/>
                  <w:vMerge w:val="restart"/>
                  <w:tcBorders>
                    <w:tl2br w:val="nil"/>
                    <w:tr2bl w:val="nil"/>
                  </w:tcBorders>
                  <w:vAlign w:val="center"/>
                </w:tcPr>
                <w:p w14:paraId="5AFA157E">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b/>
                      <w:bCs/>
                      <w:color w:val="auto"/>
                      <w:spacing w:val="-7"/>
                      <w:sz w:val="21"/>
                      <w:szCs w:val="21"/>
                      <w:lang w:val="en-US" w:eastAsia="zh-CN"/>
                    </w:rPr>
                    <w:t>编号</w:t>
                  </w:r>
                </w:p>
              </w:tc>
              <w:tc>
                <w:tcPr>
                  <w:tcW w:w="4009" w:type="dxa"/>
                  <w:gridSpan w:val="2"/>
                  <w:tcBorders>
                    <w:tl2br w:val="nil"/>
                    <w:tr2bl w:val="nil"/>
                  </w:tcBorders>
                  <w:vAlign w:val="center"/>
                </w:tcPr>
                <w:p w14:paraId="70B6E75D">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中心坐标</w:t>
                  </w:r>
                </w:p>
              </w:tc>
              <w:tc>
                <w:tcPr>
                  <w:tcW w:w="1177" w:type="dxa"/>
                  <w:vMerge w:val="restart"/>
                  <w:tcBorders>
                    <w:tl2br w:val="nil"/>
                    <w:tr2bl w:val="nil"/>
                  </w:tcBorders>
                  <w:vAlign w:val="center"/>
                </w:tcPr>
                <w:p w14:paraId="3D2642E1">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b/>
                      <w:bCs/>
                      <w:color w:val="auto"/>
                      <w:spacing w:val="-8"/>
                      <w:sz w:val="21"/>
                      <w:szCs w:val="21"/>
                      <w:lang w:val="en-US" w:eastAsia="zh-CN"/>
                    </w:rPr>
                    <w:t>弃渣</w:t>
                  </w:r>
                  <w:r>
                    <w:rPr>
                      <w:rFonts w:hint="default" w:ascii="Times New Roman" w:hAnsi="Times New Roman" w:cs="Times New Roman"/>
                      <w:b/>
                      <w:bCs/>
                      <w:color w:val="auto"/>
                      <w:spacing w:val="-8"/>
                      <w:sz w:val="21"/>
                      <w:szCs w:val="21"/>
                    </w:rPr>
                    <w:t>量</w:t>
                  </w:r>
                  <w:r>
                    <w:rPr>
                      <w:rFonts w:hint="eastAsia" w:ascii="Times New Roman" w:hAnsi="Times New Roman" w:cs="Times New Roman"/>
                      <w:b/>
                      <w:bCs/>
                      <w:color w:val="auto"/>
                      <w:spacing w:val="-8"/>
                      <w:sz w:val="21"/>
                      <w:szCs w:val="21"/>
                      <w:lang w:val="en-US" w:eastAsia="zh-CN"/>
                    </w:rPr>
                    <w:t>m</w:t>
                  </w:r>
                  <w:r>
                    <w:rPr>
                      <w:rFonts w:hint="eastAsia" w:ascii="Times New Roman" w:hAnsi="Times New Roman" w:cs="Times New Roman"/>
                      <w:b/>
                      <w:bCs/>
                      <w:color w:val="auto"/>
                      <w:spacing w:val="-8"/>
                      <w:sz w:val="21"/>
                      <w:szCs w:val="21"/>
                      <w:vertAlign w:val="superscript"/>
                      <w:lang w:val="en-US" w:eastAsia="zh-CN"/>
                    </w:rPr>
                    <w:t>3</w:t>
                  </w:r>
                </w:p>
              </w:tc>
              <w:tc>
                <w:tcPr>
                  <w:tcW w:w="1310" w:type="dxa"/>
                  <w:vMerge w:val="restart"/>
                  <w:tcBorders>
                    <w:tl2br w:val="nil"/>
                    <w:tr2bl w:val="nil"/>
                  </w:tcBorders>
                  <w:vAlign w:val="center"/>
                </w:tcPr>
                <w:p w14:paraId="17D11CA6">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b/>
                      <w:bCs/>
                      <w:color w:val="auto"/>
                      <w:spacing w:val="-8"/>
                      <w:sz w:val="21"/>
                      <w:szCs w:val="21"/>
                      <w:lang w:val="en-US" w:eastAsia="zh-CN"/>
                    </w:rPr>
                  </w:pPr>
                  <w:r>
                    <w:rPr>
                      <w:rFonts w:hint="eastAsia" w:ascii="Times New Roman" w:hAnsi="Times New Roman" w:cs="Times New Roman"/>
                      <w:b/>
                      <w:bCs/>
                      <w:color w:val="auto"/>
                      <w:spacing w:val="-8"/>
                      <w:sz w:val="21"/>
                      <w:szCs w:val="21"/>
                      <w:lang w:val="en-US" w:eastAsia="zh-CN"/>
                    </w:rPr>
                    <w:t>占地面积m</w:t>
                  </w:r>
                  <w:r>
                    <w:rPr>
                      <w:rFonts w:hint="eastAsia" w:ascii="Times New Roman" w:hAnsi="Times New Roman" w:cs="Times New Roman"/>
                      <w:b/>
                      <w:bCs/>
                      <w:color w:val="auto"/>
                      <w:spacing w:val="-8"/>
                      <w:sz w:val="21"/>
                      <w:szCs w:val="21"/>
                      <w:vertAlign w:val="superscript"/>
                      <w:lang w:val="en-US" w:eastAsia="zh-CN"/>
                    </w:rPr>
                    <w:t>2</w:t>
                  </w:r>
                </w:p>
              </w:tc>
            </w:tr>
            <w:tr w14:paraId="0A7BA7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8" w:hRule="atLeast"/>
                <w:jc w:val="center"/>
              </w:trPr>
              <w:tc>
                <w:tcPr>
                  <w:tcW w:w="1408" w:type="dxa"/>
                  <w:vMerge w:val="continue"/>
                  <w:tcBorders>
                    <w:tl2br w:val="nil"/>
                    <w:tr2bl w:val="nil"/>
                  </w:tcBorders>
                  <w:vAlign w:val="center"/>
                </w:tcPr>
                <w:p w14:paraId="74C2720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cs="Times New Roman"/>
                      <w:b/>
                      <w:bCs/>
                      <w:color w:val="auto"/>
                      <w:spacing w:val="-7"/>
                      <w:sz w:val="21"/>
                      <w:szCs w:val="21"/>
                      <w:lang w:val="en-US" w:eastAsia="zh-CN"/>
                    </w:rPr>
                  </w:pPr>
                </w:p>
              </w:tc>
              <w:tc>
                <w:tcPr>
                  <w:tcW w:w="2004" w:type="dxa"/>
                  <w:tcBorders>
                    <w:tl2br w:val="nil"/>
                    <w:tr2bl w:val="nil"/>
                  </w:tcBorders>
                  <w:vAlign w:val="center"/>
                </w:tcPr>
                <w:p w14:paraId="5C9B91A9">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b/>
                      <w:bCs/>
                      <w:color w:val="auto"/>
                      <w:spacing w:val="-8"/>
                      <w:sz w:val="21"/>
                      <w:szCs w:val="21"/>
                      <w:lang w:val="en-US" w:eastAsia="zh-CN"/>
                    </w:rPr>
                  </w:pPr>
                  <w:r>
                    <w:rPr>
                      <w:rFonts w:hint="eastAsia" w:ascii="Times New Roman" w:hAnsi="Times New Roman" w:cs="Times New Roman"/>
                      <w:b/>
                      <w:bCs/>
                      <w:color w:val="auto"/>
                      <w:spacing w:val="-8"/>
                      <w:sz w:val="21"/>
                      <w:szCs w:val="21"/>
                      <w:lang w:val="en-US" w:eastAsia="zh-CN"/>
                    </w:rPr>
                    <w:t>X</w:t>
                  </w:r>
                </w:p>
              </w:tc>
              <w:tc>
                <w:tcPr>
                  <w:tcW w:w="2005" w:type="dxa"/>
                  <w:tcBorders>
                    <w:tl2br w:val="nil"/>
                    <w:tr2bl w:val="nil"/>
                  </w:tcBorders>
                  <w:vAlign w:val="center"/>
                </w:tcPr>
                <w:p w14:paraId="3143567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b/>
                      <w:bCs/>
                      <w:color w:val="auto"/>
                      <w:spacing w:val="-8"/>
                      <w:sz w:val="21"/>
                      <w:szCs w:val="21"/>
                      <w:lang w:val="en-US" w:eastAsia="zh-CN"/>
                    </w:rPr>
                  </w:pPr>
                  <w:r>
                    <w:rPr>
                      <w:rFonts w:hint="eastAsia" w:ascii="Times New Roman" w:hAnsi="Times New Roman" w:cs="Times New Roman"/>
                      <w:b/>
                      <w:bCs/>
                      <w:color w:val="auto"/>
                      <w:spacing w:val="-8"/>
                      <w:sz w:val="21"/>
                      <w:szCs w:val="21"/>
                      <w:lang w:val="en-US" w:eastAsia="zh-CN"/>
                    </w:rPr>
                    <w:t>Y</w:t>
                  </w:r>
                </w:p>
              </w:tc>
              <w:tc>
                <w:tcPr>
                  <w:tcW w:w="1177" w:type="dxa"/>
                  <w:vMerge w:val="continue"/>
                  <w:tcBorders>
                    <w:tl2br w:val="nil"/>
                    <w:tr2bl w:val="nil"/>
                  </w:tcBorders>
                  <w:vAlign w:val="center"/>
                </w:tcPr>
                <w:p w14:paraId="085FF0E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b/>
                      <w:bCs/>
                      <w:color w:val="auto"/>
                      <w:spacing w:val="-8"/>
                      <w:sz w:val="21"/>
                      <w:szCs w:val="21"/>
                    </w:rPr>
                  </w:pPr>
                </w:p>
              </w:tc>
              <w:tc>
                <w:tcPr>
                  <w:tcW w:w="1310" w:type="dxa"/>
                  <w:vMerge w:val="continue"/>
                  <w:tcBorders>
                    <w:tl2br w:val="nil"/>
                    <w:tr2bl w:val="nil"/>
                  </w:tcBorders>
                  <w:vAlign w:val="center"/>
                </w:tcPr>
                <w:p w14:paraId="0248F62D">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b/>
                      <w:bCs/>
                      <w:color w:val="auto"/>
                      <w:spacing w:val="-8"/>
                      <w:sz w:val="21"/>
                      <w:szCs w:val="21"/>
                    </w:rPr>
                  </w:pPr>
                </w:p>
              </w:tc>
            </w:tr>
            <w:tr w14:paraId="4EB762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08" w:type="dxa"/>
                  <w:tcBorders>
                    <w:tl2br w:val="nil"/>
                    <w:tr2bl w:val="nil"/>
                  </w:tcBorders>
                  <w:vAlign w:val="center"/>
                </w:tcPr>
                <w:p w14:paraId="162F0464">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BJ-TB-25</w:t>
                  </w:r>
                  <w:r>
                    <w:rPr>
                      <w:rFonts w:hint="eastAsia" w:ascii="Times New Roman" w:hAnsi="Times New Roman" w:cs="Times New Roman"/>
                      <w:color w:val="auto"/>
                      <w:sz w:val="21"/>
                      <w:szCs w:val="21"/>
                      <w:lang w:val="en-US" w:eastAsia="zh-CN"/>
                    </w:rPr>
                    <w:t>（1#）</w:t>
                  </w:r>
                </w:p>
              </w:tc>
              <w:tc>
                <w:tcPr>
                  <w:tcW w:w="2004" w:type="dxa"/>
                  <w:tcBorders>
                    <w:tl2br w:val="nil"/>
                    <w:tr2bl w:val="nil"/>
                  </w:tcBorders>
                  <w:vAlign w:val="center"/>
                </w:tcPr>
                <w:p w14:paraId="08800EB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107.189032</w:t>
                  </w:r>
                </w:p>
              </w:tc>
              <w:tc>
                <w:tcPr>
                  <w:tcW w:w="2005" w:type="dxa"/>
                  <w:tcBorders>
                    <w:tl2br w:val="nil"/>
                    <w:tr2bl w:val="nil"/>
                  </w:tcBorders>
                  <w:vAlign w:val="center"/>
                </w:tcPr>
                <w:p w14:paraId="31D67D1B">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33.930199</w:t>
                  </w:r>
                </w:p>
              </w:tc>
              <w:tc>
                <w:tcPr>
                  <w:tcW w:w="1177" w:type="dxa"/>
                  <w:tcBorders>
                    <w:tl2br w:val="nil"/>
                    <w:tr2bl w:val="nil"/>
                  </w:tcBorders>
                  <w:vAlign w:val="center"/>
                </w:tcPr>
                <w:p w14:paraId="6BDCB836">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23287</w:t>
                  </w:r>
                </w:p>
              </w:tc>
              <w:tc>
                <w:tcPr>
                  <w:tcW w:w="1310" w:type="dxa"/>
                  <w:tcBorders>
                    <w:tl2br w:val="nil"/>
                    <w:tr2bl w:val="nil"/>
                  </w:tcBorders>
                  <w:vAlign w:val="center"/>
                </w:tcPr>
                <w:p w14:paraId="061AA919">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3756</w:t>
                  </w:r>
                </w:p>
              </w:tc>
            </w:tr>
            <w:tr w14:paraId="545666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408" w:type="dxa"/>
                  <w:tcBorders>
                    <w:tl2br w:val="nil"/>
                    <w:tr2bl w:val="nil"/>
                  </w:tcBorders>
                  <w:vAlign w:val="center"/>
                </w:tcPr>
                <w:p w14:paraId="1743846B">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BJ-TB-26</w:t>
                  </w:r>
                  <w:r>
                    <w:rPr>
                      <w:rFonts w:hint="eastAsia" w:ascii="Times New Roman" w:hAnsi="Times New Roman" w:cs="Times New Roman"/>
                      <w:color w:val="auto"/>
                      <w:sz w:val="21"/>
                      <w:szCs w:val="21"/>
                      <w:lang w:val="en-US" w:eastAsia="zh-CN"/>
                    </w:rPr>
                    <w:t>（4#）</w:t>
                  </w:r>
                </w:p>
              </w:tc>
              <w:tc>
                <w:tcPr>
                  <w:tcW w:w="2004" w:type="dxa"/>
                  <w:tcBorders>
                    <w:tl2br w:val="nil"/>
                    <w:tr2bl w:val="nil"/>
                  </w:tcBorders>
                  <w:vAlign w:val="center"/>
                </w:tcPr>
                <w:p w14:paraId="246C94E6">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lang w:val="en-US" w:eastAsia="zh-CN"/>
                    </w:rPr>
                    <w:t>07.197781</w:t>
                  </w:r>
                </w:p>
              </w:tc>
              <w:tc>
                <w:tcPr>
                  <w:tcW w:w="2005" w:type="dxa"/>
                  <w:tcBorders>
                    <w:tl2br w:val="nil"/>
                    <w:tr2bl w:val="nil"/>
                  </w:tcBorders>
                  <w:vAlign w:val="center"/>
                </w:tcPr>
                <w:p w14:paraId="1C5CA6F5">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33.930166</w:t>
                  </w:r>
                </w:p>
              </w:tc>
              <w:tc>
                <w:tcPr>
                  <w:tcW w:w="1177" w:type="dxa"/>
                  <w:tcBorders>
                    <w:tl2br w:val="nil"/>
                    <w:tr2bl w:val="nil"/>
                  </w:tcBorders>
                  <w:vAlign w:val="center"/>
                </w:tcPr>
                <w:p w14:paraId="45DDCDFE">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9620</w:t>
                  </w:r>
                </w:p>
              </w:tc>
              <w:tc>
                <w:tcPr>
                  <w:tcW w:w="1310" w:type="dxa"/>
                  <w:tcBorders>
                    <w:tl2br w:val="nil"/>
                    <w:tr2bl w:val="nil"/>
                  </w:tcBorders>
                  <w:vAlign w:val="center"/>
                </w:tcPr>
                <w:p w14:paraId="6B3A0524">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2277</w:t>
                  </w:r>
                </w:p>
              </w:tc>
            </w:tr>
            <w:tr w14:paraId="184828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408" w:type="dxa"/>
                  <w:tcBorders>
                    <w:tl2br w:val="nil"/>
                    <w:tr2bl w:val="nil"/>
                  </w:tcBorders>
                  <w:vAlign w:val="center"/>
                </w:tcPr>
                <w:p w14:paraId="4CCD9684">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BJ-TB-27</w:t>
                  </w:r>
                  <w:r>
                    <w:rPr>
                      <w:rFonts w:hint="eastAsia" w:ascii="Times New Roman" w:hAnsi="Times New Roman" w:cs="Times New Roman"/>
                      <w:color w:val="auto"/>
                      <w:sz w:val="21"/>
                      <w:szCs w:val="21"/>
                      <w:lang w:val="en-US" w:eastAsia="zh-CN"/>
                    </w:rPr>
                    <w:t>（2#）</w:t>
                  </w:r>
                </w:p>
              </w:tc>
              <w:tc>
                <w:tcPr>
                  <w:tcW w:w="2004" w:type="dxa"/>
                  <w:tcBorders>
                    <w:tl2br w:val="nil"/>
                    <w:tr2bl w:val="nil"/>
                  </w:tcBorders>
                  <w:vAlign w:val="center"/>
                </w:tcPr>
                <w:p w14:paraId="4BA868AD">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107.188607</w:t>
                  </w:r>
                </w:p>
              </w:tc>
              <w:tc>
                <w:tcPr>
                  <w:tcW w:w="2005" w:type="dxa"/>
                  <w:tcBorders>
                    <w:tl2br w:val="nil"/>
                    <w:tr2bl w:val="nil"/>
                  </w:tcBorders>
                  <w:vAlign w:val="center"/>
                </w:tcPr>
                <w:p w14:paraId="2D79B6BC">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33.928943</w:t>
                  </w:r>
                </w:p>
              </w:tc>
              <w:tc>
                <w:tcPr>
                  <w:tcW w:w="1177" w:type="dxa"/>
                  <w:tcBorders>
                    <w:tl2br w:val="nil"/>
                    <w:tr2bl w:val="nil"/>
                  </w:tcBorders>
                  <w:vAlign w:val="center"/>
                </w:tcPr>
                <w:p w14:paraId="3BB6474C">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5643</w:t>
                  </w:r>
                </w:p>
              </w:tc>
              <w:tc>
                <w:tcPr>
                  <w:tcW w:w="1310" w:type="dxa"/>
                  <w:tcBorders>
                    <w:tl2br w:val="nil"/>
                    <w:tr2bl w:val="nil"/>
                  </w:tcBorders>
                  <w:vAlign w:val="center"/>
                </w:tcPr>
                <w:p w14:paraId="68C71D15">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372.11</w:t>
                  </w:r>
                </w:p>
              </w:tc>
            </w:tr>
            <w:tr w14:paraId="241CD5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408" w:type="dxa"/>
                  <w:tcBorders>
                    <w:tl2br w:val="nil"/>
                    <w:tr2bl w:val="nil"/>
                  </w:tcBorders>
                  <w:vAlign w:val="center"/>
                </w:tcPr>
                <w:p w14:paraId="597F5152">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BJ-TB-28</w:t>
                  </w:r>
                  <w:r>
                    <w:rPr>
                      <w:rFonts w:hint="eastAsia" w:ascii="Times New Roman" w:hAnsi="Times New Roman" w:cs="Times New Roman"/>
                      <w:color w:val="auto"/>
                      <w:sz w:val="21"/>
                      <w:szCs w:val="21"/>
                      <w:lang w:val="en-US" w:eastAsia="zh-CN"/>
                    </w:rPr>
                    <w:t>（3#）</w:t>
                  </w:r>
                </w:p>
              </w:tc>
              <w:tc>
                <w:tcPr>
                  <w:tcW w:w="2004" w:type="dxa"/>
                  <w:tcBorders>
                    <w:tl2br w:val="nil"/>
                    <w:tr2bl w:val="nil"/>
                  </w:tcBorders>
                  <w:vAlign w:val="center"/>
                </w:tcPr>
                <w:p w14:paraId="3B4B1A8D">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107.188233</w:t>
                  </w:r>
                </w:p>
              </w:tc>
              <w:tc>
                <w:tcPr>
                  <w:tcW w:w="2005" w:type="dxa"/>
                  <w:tcBorders>
                    <w:tl2br w:val="nil"/>
                    <w:tr2bl w:val="nil"/>
                  </w:tcBorders>
                  <w:vAlign w:val="center"/>
                </w:tcPr>
                <w:p w14:paraId="6656D423">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33.928414</w:t>
                  </w:r>
                </w:p>
              </w:tc>
              <w:tc>
                <w:tcPr>
                  <w:tcW w:w="1177" w:type="dxa"/>
                  <w:tcBorders>
                    <w:tl2br w:val="nil"/>
                    <w:tr2bl w:val="nil"/>
                  </w:tcBorders>
                  <w:vAlign w:val="center"/>
                </w:tcPr>
                <w:p w14:paraId="5CC82008">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7920</w:t>
                  </w:r>
                </w:p>
              </w:tc>
              <w:tc>
                <w:tcPr>
                  <w:tcW w:w="1310" w:type="dxa"/>
                  <w:tcBorders>
                    <w:tl2br w:val="nil"/>
                    <w:tr2bl w:val="nil"/>
                  </w:tcBorders>
                  <w:vAlign w:val="center"/>
                </w:tcPr>
                <w:p w14:paraId="1ECFA03A">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eastAsia="zh-CN"/>
                    </w:rPr>
                    <w:t>8</w:t>
                  </w:r>
                  <w:r>
                    <w:rPr>
                      <w:rFonts w:hint="eastAsia" w:ascii="Times New Roman" w:hAnsi="Times New Roman" w:cs="Times New Roman"/>
                      <w:color w:val="auto"/>
                      <w:sz w:val="21"/>
                      <w:szCs w:val="21"/>
                      <w:lang w:val="en-US" w:eastAsia="zh-CN"/>
                    </w:rPr>
                    <w:t>02.40</w:t>
                  </w:r>
                </w:p>
              </w:tc>
            </w:tr>
            <w:tr w14:paraId="6BAF6E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5" w:hRule="atLeast"/>
                <w:jc w:val="center"/>
              </w:trPr>
              <w:tc>
                <w:tcPr>
                  <w:tcW w:w="1408" w:type="dxa"/>
                  <w:tcBorders>
                    <w:tl2br w:val="nil"/>
                    <w:tr2bl w:val="nil"/>
                  </w:tcBorders>
                  <w:vAlign w:val="center"/>
                </w:tcPr>
                <w:p w14:paraId="4B803C8E">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合计</w:t>
                  </w:r>
                </w:p>
              </w:tc>
              <w:tc>
                <w:tcPr>
                  <w:tcW w:w="2004" w:type="dxa"/>
                  <w:tcBorders>
                    <w:tl2br w:val="nil"/>
                    <w:tr2bl w:val="nil"/>
                  </w:tcBorders>
                  <w:vAlign w:val="center"/>
                </w:tcPr>
                <w:p w14:paraId="42A47CB8">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2005" w:type="dxa"/>
                  <w:tcBorders>
                    <w:tl2br w:val="nil"/>
                    <w:tr2bl w:val="nil"/>
                  </w:tcBorders>
                  <w:vAlign w:val="center"/>
                </w:tcPr>
                <w:p w14:paraId="3B73B914">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177" w:type="dxa"/>
                  <w:tcBorders>
                    <w:tl2br w:val="nil"/>
                    <w:tr2bl w:val="nil"/>
                  </w:tcBorders>
                  <w:vAlign w:val="center"/>
                </w:tcPr>
                <w:p w14:paraId="41112717">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46470</w:t>
                  </w:r>
                </w:p>
              </w:tc>
              <w:tc>
                <w:tcPr>
                  <w:tcW w:w="1310" w:type="dxa"/>
                  <w:tcBorders>
                    <w:tl2br w:val="nil"/>
                    <w:tr2bl w:val="nil"/>
                  </w:tcBorders>
                  <w:vAlign w:val="center"/>
                </w:tcPr>
                <w:p w14:paraId="5491E904">
                  <w:pPr>
                    <w:pStyle w:val="23"/>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sum(E3:E6)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7207.51</w:t>
                  </w:r>
                  <w:r>
                    <w:rPr>
                      <w:rFonts w:hint="default" w:ascii="Times New Roman" w:hAnsi="Times New Roman" w:eastAsia="宋体" w:cs="Times New Roman"/>
                      <w:color w:val="auto"/>
                      <w:sz w:val="21"/>
                      <w:szCs w:val="21"/>
                      <w:lang w:val="en-US" w:eastAsia="zh-CN"/>
                    </w:rPr>
                    <w:fldChar w:fldCharType="end"/>
                  </w:r>
                </w:p>
              </w:tc>
            </w:tr>
          </w:tbl>
          <w:p w14:paraId="53657F99">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val="0"/>
                <w:bCs w:val="0"/>
                <w:color w:val="auto"/>
                <w:sz w:val="24"/>
                <w:szCs w:val="24"/>
                <w:highlight w:val="none"/>
                <w:lang w:val="en-US" w:eastAsia="zh-CN"/>
              </w:rPr>
            </w:pPr>
          </w:p>
          <w:p w14:paraId="325D9DBF">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废渣定性判定</w:t>
            </w:r>
          </w:p>
          <w:p w14:paraId="75F898BB">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根据陕西省地质矿产实验研究所有限公司出具的检测报告（25H030、25H031），本项目各渣堆废渣浸出液中各项检测指标详见表</w:t>
            </w:r>
            <w:r>
              <w:rPr>
                <w:rFonts w:hint="eastAsia" w:cs="Times New Roman"/>
                <w:b w:val="0"/>
                <w:bCs w:val="0"/>
                <w:color w:val="auto"/>
                <w:sz w:val="24"/>
                <w:szCs w:val="24"/>
                <w:highlight w:val="none"/>
                <w:lang w:val="en-US" w:eastAsia="zh-CN"/>
              </w:rPr>
              <w:t>2-4。</w:t>
            </w:r>
          </w:p>
          <w:p w14:paraId="00EA05C4">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表2-4  各废渣堆浸出毒性检测结果与GB 8978一级标准限值对标一览表</w:t>
            </w:r>
          </w:p>
          <w:tbl>
            <w:tblPr>
              <w:tblStyle w:val="14"/>
              <w:tblW w:w="809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073"/>
              <w:gridCol w:w="1003"/>
              <w:gridCol w:w="1003"/>
              <w:gridCol w:w="1003"/>
              <w:gridCol w:w="1003"/>
              <w:gridCol w:w="1003"/>
              <w:gridCol w:w="1003"/>
              <w:gridCol w:w="1003"/>
            </w:tblGrid>
            <w:tr w14:paraId="444E2A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9" w:hRule="atLeast"/>
                <w:jc w:val="center"/>
              </w:trPr>
              <w:tc>
                <w:tcPr>
                  <w:tcW w:w="1073" w:type="dxa"/>
                  <w:tcBorders>
                    <w:tl2br w:val="nil"/>
                    <w:tr2bl w:val="nil"/>
                  </w:tcBorders>
                  <w:shd w:val="clear" w:color="auto" w:fill="auto"/>
                  <w:vAlign w:val="center"/>
                </w:tcPr>
                <w:p w14:paraId="747BE8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测指标</w:t>
                  </w:r>
                </w:p>
              </w:tc>
              <w:tc>
                <w:tcPr>
                  <w:tcW w:w="1003" w:type="dxa"/>
                  <w:tcBorders>
                    <w:tl2br w:val="nil"/>
                    <w:tr2bl w:val="nil"/>
                  </w:tcBorders>
                  <w:shd w:val="clear" w:color="auto" w:fill="auto"/>
                  <w:vAlign w:val="center"/>
                </w:tcPr>
                <w:p w14:paraId="13B5CC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单位</w:t>
                  </w:r>
                </w:p>
              </w:tc>
              <w:tc>
                <w:tcPr>
                  <w:tcW w:w="1003" w:type="dxa"/>
                  <w:tcBorders>
                    <w:tl2br w:val="nil"/>
                    <w:tr2bl w:val="nil"/>
                  </w:tcBorders>
                  <w:shd w:val="clear" w:color="auto" w:fill="auto"/>
                  <w:vAlign w:val="center"/>
                </w:tcPr>
                <w:p w14:paraId="003163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GB 8978</w:t>
                  </w:r>
                  <w:r>
                    <w:rPr>
                      <w:rStyle w:val="31"/>
                      <w:color w:val="auto"/>
                      <w:sz w:val="21"/>
                      <w:szCs w:val="21"/>
                      <w:lang w:val="en-US" w:eastAsia="zh-CN" w:bidi="ar"/>
                    </w:rPr>
                    <w:t>一级标准限值</w:t>
                  </w:r>
                </w:p>
              </w:tc>
              <w:tc>
                <w:tcPr>
                  <w:tcW w:w="1003" w:type="dxa"/>
                  <w:tcBorders>
                    <w:tl2br w:val="nil"/>
                    <w:tr2bl w:val="nil"/>
                  </w:tcBorders>
                  <w:shd w:val="clear" w:color="auto" w:fill="auto"/>
                  <w:vAlign w:val="center"/>
                </w:tcPr>
                <w:p w14:paraId="72C8CC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BJ-TB-25(1#)Z1#</w:t>
                  </w:r>
                </w:p>
              </w:tc>
              <w:tc>
                <w:tcPr>
                  <w:tcW w:w="1003" w:type="dxa"/>
                  <w:tcBorders>
                    <w:tl2br w:val="nil"/>
                    <w:tr2bl w:val="nil"/>
                  </w:tcBorders>
                  <w:shd w:val="clear" w:color="auto" w:fill="auto"/>
                  <w:vAlign w:val="center"/>
                </w:tcPr>
                <w:p w14:paraId="1D1B8B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BJ-TB-27(2#)Z2#</w:t>
                  </w:r>
                </w:p>
              </w:tc>
              <w:tc>
                <w:tcPr>
                  <w:tcW w:w="1003" w:type="dxa"/>
                  <w:tcBorders>
                    <w:tl2br w:val="nil"/>
                    <w:tr2bl w:val="nil"/>
                  </w:tcBorders>
                  <w:shd w:val="clear" w:color="auto" w:fill="auto"/>
                  <w:vAlign w:val="center"/>
                </w:tcPr>
                <w:p w14:paraId="160D8C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BJ-TB-28(3#)Z3#</w:t>
                  </w:r>
                </w:p>
              </w:tc>
              <w:tc>
                <w:tcPr>
                  <w:tcW w:w="1003" w:type="dxa"/>
                  <w:tcBorders>
                    <w:tl2br w:val="nil"/>
                    <w:tr2bl w:val="nil"/>
                  </w:tcBorders>
                  <w:shd w:val="clear" w:color="auto" w:fill="auto"/>
                  <w:vAlign w:val="center"/>
                </w:tcPr>
                <w:p w14:paraId="2E10D1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BJ-TB-26(4#)Z4#</w:t>
                  </w:r>
                </w:p>
              </w:tc>
              <w:tc>
                <w:tcPr>
                  <w:tcW w:w="1003" w:type="dxa"/>
                  <w:tcBorders>
                    <w:tl2br w:val="nil"/>
                    <w:tr2bl w:val="nil"/>
                  </w:tcBorders>
                  <w:shd w:val="clear" w:color="auto" w:fill="auto"/>
                  <w:vAlign w:val="center"/>
                </w:tcPr>
                <w:p w14:paraId="1A84D6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单项判定</w:t>
                  </w:r>
                </w:p>
              </w:tc>
            </w:tr>
            <w:tr w14:paraId="0A0E3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68F988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1003" w:type="dxa"/>
                  <w:tcBorders>
                    <w:tl2br w:val="nil"/>
                    <w:tr2bl w:val="nil"/>
                  </w:tcBorders>
                  <w:shd w:val="clear" w:color="auto" w:fill="auto"/>
                  <w:vAlign w:val="center"/>
                </w:tcPr>
                <w:p w14:paraId="23B9A0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无量纲</w:t>
                  </w:r>
                </w:p>
              </w:tc>
              <w:tc>
                <w:tcPr>
                  <w:tcW w:w="1003" w:type="dxa"/>
                  <w:tcBorders>
                    <w:tl2br w:val="nil"/>
                    <w:tr2bl w:val="nil"/>
                  </w:tcBorders>
                  <w:shd w:val="clear" w:color="auto" w:fill="auto"/>
                  <w:vAlign w:val="center"/>
                </w:tcPr>
                <w:p w14:paraId="3745E2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Style w:val="31"/>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1003" w:type="dxa"/>
                  <w:tcBorders>
                    <w:tl2br w:val="nil"/>
                    <w:tr2bl w:val="nil"/>
                  </w:tcBorders>
                  <w:shd w:val="clear" w:color="auto" w:fill="auto"/>
                  <w:vAlign w:val="center"/>
                </w:tcPr>
                <w:p w14:paraId="6CEEA3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8.78</w:t>
                  </w:r>
                </w:p>
              </w:tc>
              <w:tc>
                <w:tcPr>
                  <w:tcW w:w="1003" w:type="dxa"/>
                  <w:tcBorders>
                    <w:tl2br w:val="nil"/>
                    <w:tr2bl w:val="nil"/>
                  </w:tcBorders>
                  <w:shd w:val="clear" w:color="auto" w:fill="auto"/>
                  <w:vAlign w:val="center"/>
                </w:tcPr>
                <w:p w14:paraId="6401C9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8.74</w:t>
                  </w:r>
                </w:p>
              </w:tc>
              <w:tc>
                <w:tcPr>
                  <w:tcW w:w="1003" w:type="dxa"/>
                  <w:tcBorders>
                    <w:tl2br w:val="nil"/>
                    <w:tr2bl w:val="nil"/>
                  </w:tcBorders>
                  <w:shd w:val="clear" w:color="auto" w:fill="auto"/>
                  <w:vAlign w:val="center"/>
                </w:tcPr>
                <w:p w14:paraId="106454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1003" w:type="dxa"/>
                  <w:tcBorders>
                    <w:tl2br w:val="nil"/>
                    <w:tr2bl w:val="nil"/>
                  </w:tcBorders>
                  <w:shd w:val="clear" w:color="auto" w:fill="auto"/>
                  <w:vAlign w:val="center"/>
                </w:tcPr>
                <w:p w14:paraId="03D218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8.16</w:t>
                  </w:r>
                </w:p>
              </w:tc>
              <w:tc>
                <w:tcPr>
                  <w:tcW w:w="1003" w:type="dxa"/>
                  <w:tcBorders>
                    <w:tl2br w:val="nil"/>
                    <w:tr2bl w:val="nil"/>
                  </w:tcBorders>
                  <w:shd w:val="clear" w:color="auto" w:fill="auto"/>
                  <w:vAlign w:val="center"/>
                </w:tcPr>
                <w:p w14:paraId="669E89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52AE54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33A36F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银（</w:t>
                  </w:r>
                  <w:r>
                    <w:rPr>
                      <w:rFonts w:hint="default" w:ascii="Times New Roman" w:hAnsi="Times New Roman" w:eastAsia="宋体" w:cs="Times New Roman"/>
                      <w:i w:val="0"/>
                      <w:iCs w:val="0"/>
                      <w:color w:val="auto"/>
                      <w:kern w:val="0"/>
                      <w:sz w:val="21"/>
                      <w:szCs w:val="21"/>
                      <w:u w:val="none"/>
                      <w:lang w:val="en-US" w:eastAsia="zh-CN" w:bidi="ar"/>
                    </w:rPr>
                    <w:t>Ag</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5C9794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6EFD5D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1003" w:type="dxa"/>
                  <w:tcBorders>
                    <w:tl2br w:val="nil"/>
                    <w:tr2bl w:val="nil"/>
                  </w:tcBorders>
                  <w:shd w:val="clear" w:color="auto" w:fill="auto"/>
                  <w:vAlign w:val="center"/>
                </w:tcPr>
                <w:p w14:paraId="60D106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0.0029ND</w:t>
                  </w:r>
                </w:p>
              </w:tc>
              <w:tc>
                <w:tcPr>
                  <w:tcW w:w="1003" w:type="dxa"/>
                  <w:tcBorders>
                    <w:tl2br w:val="nil"/>
                    <w:tr2bl w:val="nil"/>
                  </w:tcBorders>
                  <w:shd w:val="clear" w:color="auto" w:fill="auto"/>
                  <w:vAlign w:val="center"/>
                </w:tcPr>
                <w:p w14:paraId="63C662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0.0029ND</w:t>
                  </w:r>
                </w:p>
              </w:tc>
              <w:tc>
                <w:tcPr>
                  <w:tcW w:w="1003" w:type="dxa"/>
                  <w:tcBorders>
                    <w:tl2br w:val="nil"/>
                    <w:tr2bl w:val="nil"/>
                  </w:tcBorders>
                  <w:shd w:val="clear" w:color="auto" w:fill="auto"/>
                  <w:vAlign w:val="center"/>
                </w:tcPr>
                <w:p w14:paraId="61BD3E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0.0029ND</w:t>
                  </w:r>
                </w:p>
              </w:tc>
              <w:tc>
                <w:tcPr>
                  <w:tcW w:w="1003" w:type="dxa"/>
                  <w:tcBorders>
                    <w:tl2br w:val="nil"/>
                    <w:tr2bl w:val="nil"/>
                  </w:tcBorders>
                  <w:shd w:val="clear" w:color="auto" w:fill="auto"/>
                  <w:vAlign w:val="center"/>
                </w:tcPr>
                <w:p w14:paraId="5AA75F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0.0029ND</w:t>
                  </w:r>
                </w:p>
              </w:tc>
              <w:tc>
                <w:tcPr>
                  <w:tcW w:w="1003" w:type="dxa"/>
                  <w:tcBorders>
                    <w:tl2br w:val="nil"/>
                    <w:tr2bl w:val="nil"/>
                  </w:tcBorders>
                  <w:shd w:val="clear" w:color="auto" w:fill="auto"/>
                  <w:vAlign w:val="center"/>
                </w:tcPr>
                <w:p w14:paraId="790D74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5FDD73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4BDD0D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砷（</w:t>
                  </w:r>
                  <w:r>
                    <w:rPr>
                      <w:rFonts w:hint="default" w:ascii="Times New Roman" w:hAnsi="Times New Roman" w:eastAsia="宋体" w:cs="Times New Roman"/>
                      <w:i w:val="0"/>
                      <w:iCs w:val="0"/>
                      <w:color w:val="auto"/>
                      <w:kern w:val="0"/>
                      <w:sz w:val="21"/>
                      <w:szCs w:val="21"/>
                      <w:u w:val="none"/>
                      <w:lang w:val="en-US" w:eastAsia="zh-CN" w:bidi="ar"/>
                    </w:rPr>
                    <w:t>As</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78F46E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1ED623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1003" w:type="dxa"/>
                  <w:tcBorders>
                    <w:tl2br w:val="nil"/>
                    <w:tr2bl w:val="nil"/>
                  </w:tcBorders>
                  <w:shd w:val="clear" w:color="auto" w:fill="auto"/>
                  <w:vAlign w:val="center"/>
                </w:tcPr>
                <w:p w14:paraId="6E3A37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0.016</w:t>
                  </w:r>
                </w:p>
              </w:tc>
              <w:tc>
                <w:tcPr>
                  <w:tcW w:w="1003" w:type="dxa"/>
                  <w:tcBorders>
                    <w:tl2br w:val="nil"/>
                    <w:tr2bl w:val="nil"/>
                  </w:tcBorders>
                  <w:shd w:val="clear" w:color="auto" w:fill="auto"/>
                  <w:vAlign w:val="center"/>
                </w:tcPr>
                <w:p w14:paraId="6CFD66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w:t>
                  </w:r>
                </w:p>
              </w:tc>
              <w:tc>
                <w:tcPr>
                  <w:tcW w:w="1003" w:type="dxa"/>
                  <w:tcBorders>
                    <w:tl2br w:val="nil"/>
                    <w:tr2bl w:val="nil"/>
                  </w:tcBorders>
                  <w:shd w:val="clear" w:color="auto" w:fill="auto"/>
                  <w:vAlign w:val="center"/>
                </w:tcPr>
                <w:p w14:paraId="7C67C5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0.014</w:t>
                  </w:r>
                </w:p>
              </w:tc>
              <w:tc>
                <w:tcPr>
                  <w:tcW w:w="1003" w:type="dxa"/>
                  <w:tcBorders>
                    <w:tl2br w:val="nil"/>
                    <w:tr2bl w:val="nil"/>
                  </w:tcBorders>
                  <w:shd w:val="clear" w:color="auto" w:fill="auto"/>
                  <w:vAlign w:val="center"/>
                </w:tcPr>
                <w:p w14:paraId="477763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0.0028</w:t>
                  </w:r>
                </w:p>
              </w:tc>
              <w:tc>
                <w:tcPr>
                  <w:tcW w:w="1003" w:type="dxa"/>
                  <w:tcBorders>
                    <w:tl2br w:val="nil"/>
                    <w:tr2bl w:val="nil"/>
                  </w:tcBorders>
                  <w:shd w:val="clear" w:color="auto" w:fill="auto"/>
                  <w:vAlign w:val="center"/>
                </w:tcPr>
                <w:p w14:paraId="37AD07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57AE00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587656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钡（</w:t>
                  </w:r>
                  <w:r>
                    <w:rPr>
                      <w:rFonts w:hint="default" w:ascii="Times New Roman" w:hAnsi="Times New Roman" w:eastAsia="宋体" w:cs="Times New Roman"/>
                      <w:i w:val="0"/>
                      <w:iCs w:val="0"/>
                      <w:color w:val="auto"/>
                      <w:kern w:val="0"/>
                      <w:sz w:val="21"/>
                      <w:szCs w:val="21"/>
                      <w:u w:val="none"/>
                      <w:lang w:val="en-US" w:eastAsia="zh-CN" w:bidi="ar"/>
                    </w:rPr>
                    <w:t>Ba</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51F200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7CA8A4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003" w:type="dxa"/>
                  <w:tcBorders>
                    <w:tl2br w:val="nil"/>
                    <w:tr2bl w:val="nil"/>
                  </w:tcBorders>
                  <w:shd w:val="clear" w:color="auto" w:fill="auto"/>
                  <w:vAlign w:val="center"/>
                </w:tcPr>
                <w:p w14:paraId="13F73B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0.0007ND</w:t>
                  </w:r>
                </w:p>
              </w:tc>
              <w:tc>
                <w:tcPr>
                  <w:tcW w:w="1003" w:type="dxa"/>
                  <w:tcBorders>
                    <w:tl2br w:val="nil"/>
                    <w:tr2bl w:val="nil"/>
                  </w:tcBorders>
                  <w:shd w:val="clear" w:color="auto" w:fill="auto"/>
                  <w:vAlign w:val="center"/>
                </w:tcPr>
                <w:p w14:paraId="1E84EE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0.0007ND</w:t>
                  </w:r>
                </w:p>
              </w:tc>
              <w:tc>
                <w:tcPr>
                  <w:tcW w:w="1003" w:type="dxa"/>
                  <w:tcBorders>
                    <w:tl2br w:val="nil"/>
                    <w:tr2bl w:val="nil"/>
                  </w:tcBorders>
                  <w:shd w:val="clear" w:color="auto" w:fill="auto"/>
                  <w:vAlign w:val="center"/>
                </w:tcPr>
                <w:p w14:paraId="0F6BD4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0.0007ND</w:t>
                  </w:r>
                </w:p>
              </w:tc>
              <w:tc>
                <w:tcPr>
                  <w:tcW w:w="1003" w:type="dxa"/>
                  <w:tcBorders>
                    <w:tl2br w:val="nil"/>
                    <w:tr2bl w:val="nil"/>
                  </w:tcBorders>
                  <w:shd w:val="clear" w:color="auto" w:fill="auto"/>
                  <w:vAlign w:val="center"/>
                </w:tcPr>
                <w:p w14:paraId="6C5AE9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0.0007ND</w:t>
                  </w:r>
                </w:p>
              </w:tc>
              <w:tc>
                <w:tcPr>
                  <w:tcW w:w="1003" w:type="dxa"/>
                  <w:tcBorders>
                    <w:tl2br w:val="nil"/>
                    <w:tr2bl w:val="nil"/>
                  </w:tcBorders>
                  <w:shd w:val="clear" w:color="auto" w:fill="auto"/>
                  <w:vAlign w:val="center"/>
                </w:tcPr>
                <w:p w14:paraId="5334AD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4ED0F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77FD7F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铍（</w:t>
                  </w:r>
                  <w:r>
                    <w:rPr>
                      <w:rFonts w:hint="default" w:ascii="Times New Roman" w:hAnsi="Times New Roman" w:eastAsia="宋体" w:cs="Times New Roman"/>
                      <w:i w:val="0"/>
                      <w:iCs w:val="0"/>
                      <w:color w:val="auto"/>
                      <w:kern w:val="0"/>
                      <w:sz w:val="21"/>
                      <w:szCs w:val="21"/>
                      <w:u w:val="none"/>
                      <w:lang w:val="en-US" w:eastAsia="zh-CN" w:bidi="ar"/>
                    </w:rPr>
                    <w:t>Be</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2CFC20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338609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0.005</w:t>
                  </w:r>
                </w:p>
              </w:tc>
              <w:tc>
                <w:tcPr>
                  <w:tcW w:w="1003" w:type="dxa"/>
                  <w:tcBorders>
                    <w:tl2br w:val="nil"/>
                    <w:tr2bl w:val="nil"/>
                  </w:tcBorders>
                  <w:shd w:val="clear" w:color="auto" w:fill="auto"/>
                  <w:vAlign w:val="center"/>
                </w:tcPr>
                <w:p w14:paraId="33E921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2CFE93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4C3B8A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3E0EC1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276A44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427A1C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7013F1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镉（</w:t>
                  </w:r>
                  <w:r>
                    <w:rPr>
                      <w:rFonts w:hint="default" w:ascii="Times New Roman" w:hAnsi="Times New Roman" w:eastAsia="宋体" w:cs="Times New Roman"/>
                      <w:i w:val="0"/>
                      <w:iCs w:val="0"/>
                      <w:color w:val="auto"/>
                      <w:kern w:val="0"/>
                      <w:sz w:val="21"/>
                      <w:szCs w:val="21"/>
                      <w:u w:val="none"/>
                      <w:lang w:val="en-US" w:eastAsia="zh-CN" w:bidi="ar"/>
                    </w:rPr>
                    <w:t>Cd</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34B038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3B3F7E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1003" w:type="dxa"/>
                  <w:tcBorders>
                    <w:tl2br w:val="nil"/>
                    <w:tr2bl w:val="nil"/>
                  </w:tcBorders>
                  <w:shd w:val="clear" w:color="auto" w:fill="auto"/>
                  <w:vAlign w:val="center"/>
                </w:tcPr>
                <w:p w14:paraId="5FDAFA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0.004ND</w:t>
                  </w:r>
                </w:p>
              </w:tc>
              <w:tc>
                <w:tcPr>
                  <w:tcW w:w="1003" w:type="dxa"/>
                  <w:tcBorders>
                    <w:tl2br w:val="nil"/>
                    <w:tr2bl w:val="nil"/>
                  </w:tcBorders>
                  <w:shd w:val="clear" w:color="auto" w:fill="auto"/>
                  <w:vAlign w:val="center"/>
                </w:tcPr>
                <w:p w14:paraId="541D2C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0.004ND</w:t>
                  </w:r>
                </w:p>
              </w:tc>
              <w:tc>
                <w:tcPr>
                  <w:tcW w:w="1003" w:type="dxa"/>
                  <w:tcBorders>
                    <w:tl2br w:val="nil"/>
                    <w:tr2bl w:val="nil"/>
                  </w:tcBorders>
                  <w:shd w:val="clear" w:color="auto" w:fill="auto"/>
                  <w:vAlign w:val="center"/>
                </w:tcPr>
                <w:p w14:paraId="2E3D3B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0.004ND</w:t>
                  </w:r>
                </w:p>
              </w:tc>
              <w:tc>
                <w:tcPr>
                  <w:tcW w:w="1003" w:type="dxa"/>
                  <w:tcBorders>
                    <w:tl2br w:val="nil"/>
                    <w:tr2bl w:val="nil"/>
                  </w:tcBorders>
                  <w:shd w:val="clear" w:color="auto" w:fill="auto"/>
                  <w:vAlign w:val="center"/>
                </w:tcPr>
                <w:p w14:paraId="07A849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0.004ND</w:t>
                  </w:r>
                </w:p>
              </w:tc>
              <w:tc>
                <w:tcPr>
                  <w:tcW w:w="1003" w:type="dxa"/>
                  <w:tcBorders>
                    <w:tl2br w:val="nil"/>
                    <w:tr2bl w:val="nil"/>
                  </w:tcBorders>
                  <w:shd w:val="clear" w:color="auto" w:fill="auto"/>
                  <w:vAlign w:val="center"/>
                </w:tcPr>
                <w:p w14:paraId="7CA9CC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2227A5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1BCE00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铬（</w:t>
                  </w:r>
                  <w:r>
                    <w:rPr>
                      <w:rFonts w:hint="default" w:ascii="Times New Roman" w:hAnsi="Times New Roman" w:eastAsia="宋体" w:cs="Times New Roman"/>
                      <w:i w:val="0"/>
                      <w:iCs w:val="0"/>
                      <w:color w:val="auto"/>
                      <w:kern w:val="0"/>
                      <w:sz w:val="21"/>
                      <w:szCs w:val="21"/>
                      <w:u w:val="none"/>
                      <w:lang w:val="en-US" w:eastAsia="zh-CN" w:bidi="ar"/>
                    </w:rPr>
                    <w:t>Cr</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54707B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3B9D09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003" w:type="dxa"/>
                  <w:tcBorders>
                    <w:tl2br w:val="nil"/>
                    <w:tr2bl w:val="nil"/>
                  </w:tcBorders>
                  <w:shd w:val="clear" w:color="auto" w:fill="auto"/>
                  <w:vAlign w:val="center"/>
                </w:tcPr>
                <w:p w14:paraId="151AFF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0.002ND</w:t>
                  </w:r>
                </w:p>
              </w:tc>
              <w:tc>
                <w:tcPr>
                  <w:tcW w:w="1003" w:type="dxa"/>
                  <w:tcBorders>
                    <w:tl2br w:val="nil"/>
                    <w:tr2bl w:val="nil"/>
                  </w:tcBorders>
                  <w:shd w:val="clear" w:color="auto" w:fill="auto"/>
                  <w:vAlign w:val="center"/>
                </w:tcPr>
                <w:p w14:paraId="3D37AC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0.002ND</w:t>
                  </w:r>
                </w:p>
              </w:tc>
              <w:tc>
                <w:tcPr>
                  <w:tcW w:w="1003" w:type="dxa"/>
                  <w:tcBorders>
                    <w:tl2br w:val="nil"/>
                    <w:tr2bl w:val="nil"/>
                  </w:tcBorders>
                  <w:shd w:val="clear" w:color="auto" w:fill="auto"/>
                  <w:vAlign w:val="center"/>
                </w:tcPr>
                <w:p w14:paraId="12E32D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0.002ND</w:t>
                  </w:r>
                </w:p>
              </w:tc>
              <w:tc>
                <w:tcPr>
                  <w:tcW w:w="1003" w:type="dxa"/>
                  <w:tcBorders>
                    <w:tl2br w:val="nil"/>
                    <w:tr2bl w:val="nil"/>
                  </w:tcBorders>
                  <w:shd w:val="clear" w:color="auto" w:fill="auto"/>
                  <w:vAlign w:val="center"/>
                </w:tcPr>
                <w:p w14:paraId="77155A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0.002ND</w:t>
                  </w:r>
                </w:p>
              </w:tc>
              <w:tc>
                <w:tcPr>
                  <w:tcW w:w="1003" w:type="dxa"/>
                  <w:tcBorders>
                    <w:tl2br w:val="nil"/>
                    <w:tr2bl w:val="nil"/>
                  </w:tcBorders>
                  <w:shd w:val="clear" w:color="auto" w:fill="auto"/>
                  <w:vAlign w:val="center"/>
                </w:tcPr>
                <w:p w14:paraId="35327F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196BF9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18" w:hRule="atLeast"/>
                <w:jc w:val="center"/>
              </w:trPr>
              <w:tc>
                <w:tcPr>
                  <w:tcW w:w="1073" w:type="dxa"/>
                  <w:tcBorders>
                    <w:tl2br w:val="nil"/>
                    <w:tr2bl w:val="nil"/>
                  </w:tcBorders>
                  <w:shd w:val="clear" w:color="auto" w:fill="auto"/>
                  <w:vAlign w:val="center"/>
                </w:tcPr>
                <w:p w14:paraId="041079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六价铬（</w:t>
                  </w:r>
                  <w:r>
                    <w:rPr>
                      <w:rFonts w:hint="default" w:ascii="Times New Roman" w:hAnsi="Times New Roman" w:eastAsia="宋体" w:cs="Times New Roman"/>
                      <w:i w:val="0"/>
                      <w:iCs w:val="0"/>
                      <w:color w:val="auto"/>
                      <w:kern w:val="0"/>
                      <w:sz w:val="21"/>
                      <w:szCs w:val="21"/>
                      <w:u w:val="none"/>
                      <w:lang w:val="en-US" w:eastAsia="zh-CN" w:bidi="ar"/>
                    </w:rPr>
                    <w:t>Cr</w:t>
                  </w:r>
                  <w:r>
                    <w:rPr>
                      <w:rFonts w:hint="default" w:ascii="Times New Roman" w:hAnsi="Times New Roman" w:eastAsia="宋体" w:cs="Times New Roman"/>
                      <w:i w:val="0"/>
                      <w:iCs w:val="0"/>
                      <w:color w:val="auto"/>
                      <w:kern w:val="0"/>
                      <w:sz w:val="21"/>
                      <w:szCs w:val="21"/>
                      <w:u w:val="none"/>
                      <w:vertAlign w:val="superscript"/>
                      <w:lang w:val="en-US" w:eastAsia="zh-CN" w:bidi="ar"/>
                    </w:rPr>
                    <w:t>6+</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5D75BC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2876DF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1003" w:type="dxa"/>
                  <w:tcBorders>
                    <w:tl2br w:val="nil"/>
                    <w:tr2bl w:val="nil"/>
                  </w:tcBorders>
                  <w:shd w:val="clear" w:color="auto" w:fill="auto"/>
                  <w:vAlign w:val="center"/>
                </w:tcPr>
                <w:p w14:paraId="783520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5840BF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571605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03DA2E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0.0012ND</w:t>
                  </w:r>
                </w:p>
              </w:tc>
              <w:tc>
                <w:tcPr>
                  <w:tcW w:w="1003" w:type="dxa"/>
                  <w:tcBorders>
                    <w:tl2br w:val="nil"/>
                    <w:tr2bl w:val="nil"/>
                  </w:tcBorders>
                  <w:shd w:val="clear" w:color="auto" w:fill="auto"/>
                  <w:vAlign w:val="center"/>
                </w:tcPr>
                <w:p w14:paraId="17449E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156E7D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5A8864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铜（</w:t>
                  </w:r>
                  <w:r>
                    <w:rPr>
                      <w:rFonts w:hint="default" w:ascii="Times New Roman" w:hAnsi="Times New Roman" w:eastAsia="宋体" w:cs="Times New Roman"/>
                      <w:i w:val="0"/>
                      <w:iCs w:val="0"/>
                      <w:color w:val="auto"/>
                      <w:kern w:val="0"/>
                      <w:sz w:val="21"/>
                      <w:szCs w:val="21"/>
                      <w:u w:val="none"/>
                      <w:lang w:val="en-US" w:eastAsia="zh-CN" w:bidi="ar"/>
                    </w:rPr>
                    <w:t>Cu</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3980AF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16D82F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1003" w:type="dxa"/>
                  <w:tcBorders>
                    <w:tl2br w:val="nil"/>
                    <w:tr2bl w:val="nil"/>
                  </w:tcBorders>
                  <w:shd w:val="clear" w:color="auto" w:fill="auto"/>
                  <w:vAlign w:val="center"/>
                </w:tcPr>
                <w:p w14:paraId="2A9822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0.0025ND</w:t>
                  </w:r>
                </w:p>
              </w:tc>
              <w:tc>
                <w:tcPr>
                  <w:tcW w:w="1003" w:type="dxa"/>
                  <w:tcBorders>
                    <w:tl2br w:val="nil"/>
                    <w:tr2bl w:val="nil"/>
                  </w:tcBorders>
                  <w:shd w:val="clear" w:color="auto" w:fill="auto"/>
                  <w:vAlign w:val="center"/>
                </w:tcPr>
                <w:p w14:paraId="4F57B7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0.0025ND</w:t>
                  </w:r>
                </w:p>
              </w:tc>
              <w:tc>
                <w:tcPr>
                  <w:tcW w:w="1003" w:type="dxa"/>
                  <w:tcBorders>
                    <w:tl2br w:val="nil"/>
                    <w:tr2bl w:val="nil"/>
                  </w:tcBorders>
                  <w:shd w:val="clear" w:color="auto" w:fill="auto"/>
                  <w:vAlign w:val="center"/>
                </w:tcPr>
                <w:p w14:paraId="1352BE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0.0025ND</w:t>
                  </w:r>
                </w:p>
              </w:tc>
              <w:tc>
                <w:tcPr>
                  <w:tcW w:w="1003" w:type="dxa"/>
                  <w:tcBorders>
                    <w:tl2br w:val="nil"/>
                    <w:tr2bl w:val="nil"/>
                  </w:tcBorders>
                  <w:shd w:val="clear" w:color="auto" w:fill="auto"/>
                  <w:vAlign w:val="center"/>
                </w:tcPr>
                <w:p w14:paraId="4CBE0E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0.0025ND</w:t>
                  </w:r>
                </w:p>
              </w:tc>
              <w:tc>
                <w:tcPr>
                  <w:tcW w:w="1003" w:type="dxa"/>
                  <w:tcBorders>
                    <w:tl2br w:val="nil"/>
                    <w:tr2bl w:val="nil"/>
                  </w:tcBorders>
                  <w:shd w:val="clear" w:color="auto" w:fill="auto"/>
                  <w:vAlign w:val="center"/>
                </w:tcPr>
                <w:p w14:paraId="610580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43F396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3" w:hRule="atLeast"/>
                <w:jc w:val="center"/>
              </w:trPr>
              <w:tc>
                <w:tcPr>
                  <w:tcW w:w="1073" w:type="dxa"/>
                  <w:tcBorders>
                    <w:tl2br w:val="nil"/>
                    <w:tr2bl w:val="nil"/>
                  </w:tcBorders>
                  <w:shd w:val="clear" w:color="auto" w:fill="auto"/>
                  <w:vAlign w:val="center"/>
                </w:tcPr>
                <w:p w14:paraId="74001D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r>
                    <w:rPr>
                      <w:rFonts w:hint="default" w:ascii="Times New Roman" w:hAnsi="Times New Roman" w:eastAsia="宋体" w:cs="Times New Roman"/>
                      <w:i w:val="0"/>
                      <w:iCs w:val="0"/>
                      <w:color w:val="auto"/>
                      <w:kern w:val="0"/>
                      <w:sz w:val="21"/>
                      <w:szCs w:val="21"/>
                      <w:u w:val="none"/>
                      <w:lang w:val="en-US" w:eastAsia="zh-CN" w:bidi="ar"/>
                    </w:rPr>
                    <w:t>F⁻</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33FE70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0A4E6B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003" w:type="dxa"/>
                  <w:tcBorders>
                    <w:tl2br w:val="nil"/>
                    <w:tr2bl w:val="nil"/>
                  </w:tcBorders>
                  <w:shd w:val="clear" w:color="auto" w:fill="auto"/>
                  <w:vAlign w:val="center"/>
                </w:tcPr>
                <w:p w14:paraId="26DDD5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w:t>
                  </w:r>
                </w:p>
              </w:tc>
              <w:tc>
                <w:tcPr>
                  <w:tcW w:w="1003" w:type="dxa"/>
                  <w:tcBorders>
                    <w:tl2br w:val="nil"/>
                    <w:tr2bl w:val="nil"/>
                  </w:tcBorders>
                  <w:shd w:val="clear" w:color="auto" w:fill="auto"/>
                  <w:vAlign w:val="center"/>
                </w:tcPr>
                <w:p w14:paraId="5B7C7C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0.51</w:t>
                  </w:r>
                </w:p>
              </w:tc>
              <w:tc>
                <w:tcPr>
                  <w:tcW w:w="1003" w:type="dxa"/>
                  <w:tcBorders>
                    <w:tl2br w:val="nil"/>
                    <w:tr2bl w:val="nil"/>
                  </w:tcBorders>
                  <w:shd w:val="clear" w:color="auto" w:fill="auto"/>
                  <w:vAlign w:val="center"/>
                </w:tcPr>
                <w:p w14:paraId="10C605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0.46</w:t>
                  </w:r>
                </w:p>
              </w:tc>
              <w:tc>
                <w:tcPr>
                  <w:tcW w:w="1003" w:type="dxa"/>
                  <w:tcBorders>
                    <w:tl2br w:val="nil"/>
                    <w:tr2bl w:val="nil"/>
                  </w:tcBorders>
                  <w:shd w:val="clear" w:color="auto" w:fill="auto"/>
                  <w:vAlign w:val="center"/>
                </w:tcPr>
                <w:p w14:paraId="5A705F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0.34</w:t>
                  </w:r>
                </w:p>
              </w:tc>
              <w:tc>
                <w:tcPr>
                  <w:tcW w:w="1003" w:type="dxa"/>
                  <w:tcBorders>
                    <w:tl2br w:val="nil"/>
                    <w:tr2bl w:val="nil"/>
                  </w:tcBorders>
                  <w:shd w:val="clear" w:color="auto" w:fill="auto"/>
                  <w:vAlign w:val="center"/>
                </w:tcPr>
                <w:p w14:paraId="3F1C35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409936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2A75E2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汞（</w:t>
                  </w:r>
                  <w:r>
                    <w:rPr>
                      <w:rFonts w:hint="default" w:ascii="Times New Roman" w:hAnsi="Times New Roman" w:eastAsia="宋体" w:cs="Times New Roman"/>
                      <w:i w:val="0"/>
                      <w:iCs w:val="0"/>
                      <w:color w:val="auto"/>
                      <w:kern w:val="0"/>
                      <w:sz w:val="21"/>
                      <w:szCs w:val="21"/>
                      <w:u w:val="none"/>
                      <w:lang w:val="en-US" w:eastAsia="zh-CN" w:bidi="ar"/>
                    </w:rPr>
                    <w:t>Hg</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1434BE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3FEE51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1003" w:type="dxa"/>
                  <w:tcBorders>
                    <w:tl2br w:val="nil"/>
                    <w:tr2bl w:val="nil"/>
                  </w:tcBorders>
                  <w:shd w:val="clear" w:color="auto" w:fill="auto"/>
                  <w:vAlign w:val="center"/>
                </w:tcPr>
                <w:p w14:paraId="57D603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0.00002ND</w:t>
                  </w:r>
                </w:p>
              </w:tc>
              <w:tc>
                <w:tcPr>
                  <w:tcW w:w="1003" w:type="dxa"/>
                  <w:tcBorders>
                    <w:tl2br w:val="nil"/>
                    <w:tr2bl w:val="nil"/>
                  </w:tcBorders>
                  <w:shd w:val="clear" w:color="auto" w:fill="auto"/>
                  <w:vAlign w:val="center"/>
                </w:tcPr>
                <w:p w14:paraId="0089CD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0.00002ND</w:t>
                  </w:r>
                </w:p>
              </w:tc>
              <w:tc>
                <w:tcPr>
                  <w:tcW w:w="1003" w:type="dxa"/>
                  <w:tcBorders>
                    <w:tl2br w:val="nil"/>
                    <w:tr2bl w:val="nil"/>
                  </w:tcBorders>
                  <w:shd w:val="clear" w:color="auto" w:fill="auto"/>
                  <w:vAlign w:val="center"/>
                </w:tcPr>
                <w:p w14:paraId="4EB9EE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0.00002ND</w:t>
                  </w:r>
                </w:p>
              </w:tc>
              <w:tc>
                <w:tcPr>
                  <w:tcW w:w="1003" w:type="dxa"/>
                  <w:tcBorders>
                    <w:tl2br w:val="nil"/>
                    <w:tr2bl w:val="nil"/>
                  </w:tcBorders>
                  <w:shd w:val="clear" w:color="auto" w:fill="auto"/>
                  <w:vAlign w:val="center"/>
                </w:tcPr>
                <w:p w14:paraId="34FC19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0.00002ND</w:t>
                  </w:r>
                </w:p>
              </w:tc>
              <w:tc>
                <w:tcPr>
                  <w:tcW w:w="1003" w:type="dxa"/>
                  <w:tcBorders>
                    <w:tl2br w:val="nil"/>
                    <w:tr2bl w:val="nil"/>
                  </w:tcBorders>
                  <w:shd w:val="clear" w:color="auto" w:fill="auto"/>
                  <w:vAlign w:val="center"/>
                </w:tcPr>
                <w:p w14:paraId="060E9B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09C329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4066C5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锰（</w:t>
                  </w:r>
                  <w:r>
                    <w:rPr>
                      <w:rFonts w:hint="default" w:ascii="Times New Roman" w:hAnsi="Times New Roman" w:eastAsia="宋体" w:cs="Times New Roman"/>
                      <w:i w:val="0"/>
                      <w:iCs w:val="0"/>
                      <w:color w:val="auto"/>
                      <w:kern w:val="0"/>
                      <w:sz w:val="21"/>
                      <w:szCs w:val="21"/>
                      <w:u w:val="none"/>
                      <w:lang w:val="en-US" w:eastAsia="zh-CN" w:bidi="ar"/>
                    </w:rPr>
                    <w:t>Mn</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01B797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0A5EEB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03" w:type="dxa"/>
                  <w:tcBorders>
                    <w:tl2br w:val="nil"/>
                    <w:tr2bl w:val="nil"/>
                  </w:tcBorders>
                  <w:shd w:val="clear" w:color="auto" w:fill="auto"/>
                  <w:vAlign w:val="center"/>
                </w:tcPr>
                <w:p w14:paraId="288FF5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0.0073</w:t>
                  </w:r>
                </w:p>
              </w:tc>
              <w:tc>
                <w:tcPr>
                  <w:tcW w:w="1003" w:type="dxa"/>
                  <w:tcBorders>
                    <w:tl2br w:val="nil"/>
                    <w:tr2bl w:val="nil"/>
                  </w:tcBorders>
                  <w:shd w:val="clear" w:color="auto" w:fill="auto"/>
                  <w:vAlign w:val="center"/>
                </w:tcPr>
                <w:p w14:paraId="2AABBD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0.0079</w:t>
                  </w:r>
                </w:p>
              </w:tc>
              <w:tc>
                <w:tcPr>
                  <w:tcW w:w="1003" w:type="dxa"/>
                  <w:tcBorders>
                    <w:tl2br w:val="nil"/>
                    <w:tr2bl w:val="nil"/>
                  </w:tcBorders>
                  <w:shd w:val="clear" w:color="auto" w:fill="auto"/>
                  <w:vAlign w:val="center"/>
                </w:tcPr>
                <w:p w14:paraId="0B9B03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0.0049</w:t>
                  </w:r>
                </w:p>
              </w:tc>
              <w:tc>
                <w:tcPr>
                  <w:tcW w:w="1003" w:type="dxa"/>
                  <w:tcBorders>
                    <w:tl2br w:val="nil"/>
                    <w:tr2bl w:val="nil"/>
                  </w:tcBorders>
                  <w:shd w:val="clear" w:color="auto" w:fill="auto"/>
                  <w:vAlign w:val="center"/>
                </w:tcPr>
                <w:p w14:paraId="7A8DCB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w:t>
                  </w:r>
                </w:p>
              </w:tc>
              <w:tc>
                <w:tcPr>
                  <w:tcW w:w="1003" w:type="dxa"/>
                  <w:tcBorders>
                    <w:tl2br w:val="nil"/>
                    <w:tr2bl w:val="nil"/>
                  </w:tcBorders>
                  <w:shd w:val="clear" w:color="auto" w:fill="auto"/>
                  <w:vAlign w:val="center"/>
                </w:tcPr>
                <w:p w14:paraId="26E750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0B6602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45089F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镍（</w:t>
                  </w:r>
                  <w:r>
                    <w:rPr>
                      <w:rFonts w:hint="default" w:ascii="Times New Roman" w:hAnsi="Times New Roman" w:eastAsia="宋体" w:cs="Times New Roman"/>
                      <w:i w:val="0"/>
                      <w:iCs w:val="0"/>
                      <w:color w:val="auto"/>
                      <w:kern w:val="0"/>
                      <w:sz w:val="21"/>
                      <w:szCs w:val="21"/>
                      <w:u w:val="none"/>
                      <w:lang w:val="en-US" w:eastAsia="zh-CN" w:bidi="ar"/>
                    </w:rPr>
                    <w:t>Ni</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010622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3F5756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3" w:type="dxa"/>
                  <w:tcBorders>
                    <w:tl2br w:val="nil"/>
                    <w:tr2bl w:val="nil"/>
                  </w:tcBorders>
                  <w:shd w:val="clear" w:color="auto" w:fill="auto"/>
                  <w:vAlign w:val="center"/>
                </w:tcPr>
                <w:p w14:paraId="16DF9E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0.0038ND</w:t>
                  </w:r>
                </w:p>
              </w:tc>
              <w:tc>
                <w:tcPr>
                  <w:tcW w:w="1003" w:type="dxa"/>
                  <w:tcBorders>
                    <w:tl2br w:val="nil"/>
                    <w:tr2bl w:val="nil"/>
                  </w:tcBorders>
                  <w:shd w:val="clear" w:color="auto" w:fill="auto"/>
                  <w:vAlign w:val="center"/>
                </w:tcPr>
                <w:p w14:paraId="41F4D3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0.0038ND</w:t>
                  </w:r>
                </w:p>
              </w:tc>
              <w:tc>
                <w:tcPr>
                  <w:tcW w:w="1003" w:type="dxa"/>
                  <w:tcBorders>
                    <w:tl2br w:val="nil"/>
                    <w:tr2bl w:val="nil"/>
                  </w:tcBorders>
                  <w:shd w:val="clear" w:color="auto" w:fill="auto"/>
                  <w:vAlign w:val="center"/>
                </w:tcPr>
                <w:p w14:paraId="336121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0.0038ND</w:t>
                  </w:r>
                </w:p>
              </w:tc>
              <w:tc>
                <w:tcPr>
                  <w:tcW w:w="1003" w:type="dxa"/>
                  <w:tcBorders>
                    <w:tl2br w:val="nil"/>
                    <w:tr2bl w:val="nil"/>
                  </w:tcBorders>
                  <w:shd w:val="clear" w:color="auto" w:fill="auto"/>
                  <w:vAlign w:val="center"/>
                </w:tcPr>
                <w:p w14:paraId="3F14CC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0.0038ND</w:t>
                  </w:r>
                </w:p>
              </w:tc>
              <w:tc>
                <w:tcPr>
                  <w:tcW w:w="1003" w:type="dxa"/>
                  <w:tcBorders>
                    <w:tl2br w:val="nil"/>
                    <w:tr2bl w:val="nil"/>
                  </w:tcBorders>
                  <w:shd w:val="clear" w:color="auto" w:fill="auto"/>
                  <w:vAlign w:val="center"/>
                </w:tcPr>
                <w:p w14:paraId="74A252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66746A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14EB01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铅（</w:t>
                  </w:r>
                  <w:r>
                    <w:rPr>
                      <w:rFonts w:hint="default" w:ascii="Times New Roman" w:hAnsi="Times New Roman" w:eastAsia="宋体" w:cs="Times New Roman"/>
                      <w:i w:val="0"/>
                      <w:iCs w:val="0"/>
                      <w:color w:val="auto"/>
                      <w:kern w:val="0"/>
                      <w:sz w:val="21"/>
                      <w:szCs w:val="21"/>
                      <w:u w:val="none"/>
                      <w:lang w:val="en-US" w:eastAsia="zh-CN" w:bidi="ar"/>
                    </w:rPr>
                    <w:t>Pb</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71D2F2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59E4ED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3" w:type="dxa"/>
                  <w:tcBorders>
                    <w:tl2br w:val="nil"/>
                    <w:tr2bl w:val="nil"/>
                  </w:tcBorders>
                  <w:shd w:val="clear" w:color="auto" w:fill="auto"/>
                  <w:vAlign w:val="center"/>
                </w:tcPr>
                <w:p w14:paraId="7A950D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0.032</w:t>
                  </w:r>
                </w:p>
              </w:tc>
              <w:tc>
                <w:tcPr>
                  <w:tcW w:w="1003" w:type="dxa"/>
                  <w:tcBorders>
                    <w:tl2br w:val="nil"/>
                    <w:tr2bl w:val="nil"/>
                  </w:tcBorders>
                  <w:shd w:val="clear" w:color="auto" w:fill="auto"/>
                  <w:vAlign w:val="center"/>
                </w:tcPr>
                <w:p w14:paraId="77AA94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1003" w:type="dxa"/>
                  <w:tcBorders>
                    <w:tl2br w:val="nil"/>
                    <w:tr2bl w:val="nil"/>
                  </w:tcBorders>
                  <w:shd w:val="clear" w:color="auto" w:fill="auto"/>
                  <w:vAlign w:val="center"/>
                </w:tcPr>
                <w:p w14:paraId="12952A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0.017</w:t>
                  </w:r>
                </w:p>
              </w:tc>
              <w:tc>
                <w:tcPr>
                  <w:tcW w:w="1003" w:type="dxa"/>
                  <w:tcBorders>
                    <w:tl2br w:val="nil"/>
                    <w:tr2bl w:val="nil"/>
                  </w:tcBorders>
                  <w:shd w:val="clear" w:color="auto" w:fill="auto"/>
                  <w:vAlign w:val="center"/>
                </w:tcPr>
                <w:p w14:paraId="3FC6C1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0.016</w:t>
                  </w:r>
                </w:p>
              </w:tc>
              <w:tc>
                <w:tcPr>
                  <w:tcW w:w="1003" w:type="dxa"/>
                  <w:tcBorders>
                    <w:tl2br w:val="nil"/>
                    <w:tr2bl w:val="nil"/>
                  </w:tcBorders>
                  <w:shd w:val="clear" w:color="auto" w:fill="auto"/>
                  <w:vAlign w:val="center"/>
                </w:tcPr>
                <w:p w14:paraId="444883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7D223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629942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硒（</w:t>
                  </w:r>
                  <w:r>
                    <w:rPr>
                      <w:rFonts w:hint="default" w:ascii="Times New Roman" w:hAnsi="Times New Roman" w:eastAsia="宋体" w:cs="Times New Roman"/>
                      <w:i w:val="0"/>
                      <w:iCs w:val="0"/>
                      <w:color w:val="auto"/>
                      <w:kern w:val="0"/>
                      <w:sz w:val="21"/>
                      <w:szCs w:val="21"/>
                      <w:u w:val="none"/>
                      <w:lang w:val="en-US" w:eastAsia="zh-CN" w:bidi="ar"/>
                    </w:rPr>
                    <w:t>Se</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161AC0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7320AE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1003" w:type="dxa"/>
                  <w:tcBorders>
                    <w:tl2br w:val="nil"/>
                    <w:tr2bl w:val="nil"/>
                  </w:tcBorders>
                  <w:shd w:val="clear" w:color="auto" w:fill="auto"/>
                  <w:vAlign w:val="center"/>
                </w:tcPr>
                <w:p w14:paraId="3103BC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2F1BFF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2C7A76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640E50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014188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6829A9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jc w:val="center"/>
              </w:trPr>
              <w:tc>
                <w:tcPr>
                  <w:tcW w:w="1073" w:type="dxa"/>
                  <w:tcBorders>
                    <w:tl2br w:val="nil"/>
                    <w:tr2bl w:val="nil"/>
                  </w:tcBorders>
                  <w:shd w:val="clear" w:color="auto" w:fill="auto"/>
                  <w:vAlign w:val="center"/>
                </w:tcPr>
                <w:p w14:paraId="29E320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铊（</w:t>
                  </w:r>
                  <w:r>
                    <w:rPr>
                      <w:rFonts w:hint="default" w:ascii="Times New Roman" w:hAnsi="Times New Roman" w:eastAsia="宋体" w:cs="Times New Roman"/>
                      <w:i w:val="0"/>
                      <w:iCs w:val="0"/>
                      <w:color w:val="auto"/>
                      <w:kern w:val="0"/>
                      <w:sz w:val="21"/>
                      <w:szCs w:val="21"/>
                      <w:u w:val="none"/>
                      <w:lang w:val="en-US" w:eastAsia="zh-CN" w:bidi="ar"/>
                    </w:rPr>
                    <w:t>Tl</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7DC01F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17B084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1003" w:type="dxa"/>
                  <w:tcBorders>
                    <w:tl2br w:val="nil"/>
                    <w:tr2bl w:val="nil"/>
                  </w:tcBorders>
                  <w:shd w:val="clear" w:color="auto" w:fill="auto"/>
                  <w:vAlign w:val="center"/>
                </w:tcPr>
                <w:p w14:paraId="5662EE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1C62DF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655FAE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0.0013ND</w:t>
                  </w:r>
                </w:p>
              </w:tc>
              <w:tc>
                <w:tcPr>
                  <w:tcW w:w="1003" w:type="dxa"/>
                  <w:tcBorders>
                    <w:tl2br w:val="nil"/>
                    <w:tr2bl w:val="nil"/>
                  </w:tcBorders>
                  <w:shd w:val="clear" w:color="auto" w:fill="auto"/>
                  <w:vAlign w:val="center"/>
                </w:tcPr>
                <w:p w14:paraId="7D98C1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0.0036</w:t>
                  </w:r>
                </w:p>
              </w:tc>
              <w:tc>
                <w:tcPr>
                  <w:tcW w:w="1003" w:type="dxa"/>
                  <w:tcBorders>
                    <w:tl2br w:val="nil"/>
                    <w:tr2bl w:val="nil"/>
                  </w:tcBorders>
                  <w:shd w:val="clear" w:color="auto" w:fill="auto"/>
                  <w:vAlign w:val="center"/>
                </w:tcPr>
                <w:p w14:paraId="67A08D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r w14:paraId="7EADBC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4" w:hRule="atLeast"/>
                <w:jc w:val="center"/>
              </w:trPr>
              <w:tc>
                <w:tcPr>
                  <w:tcW w:w="1073" w:type="dxa"/>
                  <w:tcBorders>
                    <w:tl2br w:val="nil"/>
                    <w:tr2bl w:val="nil"/>
                  </w:tcBorders>
                  <w:shd w:val="clear" w:color="auto" w:fill="auto"/>
                  <w:vAlign w:val="center"/>
                </w:tcPr>
                <w:p w14:paraId="02A107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锌（</w:t>
                  </w:r>
                  <w:r>
                    <w:rPr>
                      <w:rFonts w:hint="default" w:ascii="Times New Roman" w:hAnsi="Times New Roman" w:eastAsia="宋体" w:cs="Times New Roman"/>
                      <w:i w:val="0"/>
                      <w:iCs w:val="0"/>
                      <w:color w:val="auto"/>
                      <w:kern w:val="0"/>
                      <w:sz w:val="21"/>
                      <w:szCs w:val="21"/>
                      <w:u w:val="none"/>
                      <w:lang w:val="en-US" w:eastAsia="zh-CN" w:bidi="ar"/>
                    </w:rPr>
                    <w:t>Zn</w:t>
                  </w:r>
                  <w:r>
                    <w:rPr>
                      <w:rStyle w:val="31"/>
                      <w:color w:val="auto"/>
                      <w:sz w:val="21"/>
                      <w:szCs w:val="21"/>
                      <w:lang w:val="en-US" w:eastAsia="zh-CN" w:bidi="ar"/>
                    </w:rPr>
                    <w:t>）</w:t>
                  </w:r>
                </w:p>
              </w:tc>
              <w:tc>
                <w:tcPr>
                  <w:tcW w:w="1003" w:type="dxa"/>
                  <w:tcBorders>
                    <w:tl2br w:val="nil"/>
                    <w:tr2bl w:val="nil"/>
                  </w:tcBorders>
                  <w:shd w:val="clear" w:color="auto" w:fill="auto"/>
                  <w:vAlign w:val="center"/>
                </w:tcPr>
                <w:p w14:paraId="411BE9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1003" w:type="dxa"/>
                  <w:tcBorders>
                    <w:tl2br w:val="nil"/>
                    <w:tr2bl w:val="nil"/>
                  </w:tcBorders>
                  <w:shd w:val="clear" w:color="auto" w:fill="auto"/>
                  <w:vAlign w:val="center"/>
                </w:tcPr>
                <w:p w14:paraId="7B72EB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03" w:type="dxa"/>
                  <w:tcBorders>
                    <w:tl2br w:val="nil"/>
                    <w:tr2bl w:val="nil"/>
                  </w:tcBorders>
                  <w:shd w:val="clear" w:color="auto" w:fill="auto"/>
                  <w:vAlign w:val="center"/>
                </w:tcPr>
                <w:p w14:paraId="695A19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1003" w:type="dxa"/>
                  <w:tcBorders>
                    <w:tl2br w:val="nil"/>
                    <w:tr2bl w:val="nil"/>
                  </w:tcBorders>
                  <w:shd w:val="clear" w:color="auto" w:fill="auto"/>
                  <w:vAlign w:val="center"/>
                </w:tcPr>
                <w:p w14:paraId="4972B2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0.071</w:t>
                  </w:r>
                </w:p>
              </w:tc>
              <w:tc>
                <w:tcPr>
                  <w:tcW w:w="1003" w:type="dxa"/>
                  <w:tcBorders>
                    <w:tl2br w:val="nil"/>
                    <w:tr2bl w:val="nil"/>
                  </w:tcBorders>
                  <w:shd w:val="clear" w:color="auto" w:fill="auto"/>
                  <w:vAlign w:val="center"/>
                </w:tcPr>
                <w:p w14:paraId="37DADE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003" w:type="dxa"/>
                  <w:tcBorders>
                    <w:tl2br w:val="nil"/>
                    <w:tr2bl w:val="nil"/>
                  </w:tcBorders>
                  <w:shd w:val="clear" w:color="auto" w:fill="auto"/>
                  <w:vAlign w:val="center"/>
                </w:tcPr>
                <w:p w14:paraId="7459AA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w:t>
                  </w:r>
                </w:p>
              </w:tc>
              <w:tc>
                <w:tcPr>
                  <w:tcW w:w="1003" w:type="dxa"/>
                  <w:tcBorders>
                    <w:tl2br w:val="nil"/>
                    <w:tr2bl w:val="nil"/>
                  </w:tcBorders>
                  <w:shd w:val="clear" w:color="auto" w:fill="auto"/>
                  <w:vAlign w:val="center"/>
                </w:tcPr>
                <w:p w14:paraId="172E2D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w:t>
                  </w:r>
                </w:p>
              </w:tc>
            </w:tr>
          </w:tbl>
          <w:p w14:paraId="4EAE9DE9">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根据表2-4对标分析结果，本项目4处历史遗留铅锌金矿废渣堆（BJ-TB-25、BJ-TB-27、BJ-TB-28、BJ-TB-26）的浸出液中：</w:t>
            </w:r>
          </w:p>
          <w:p w14:paraId="61511587">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①pH值在8.16～8.96之间，全部处于6～9的允许范围之内；</w:t>
            </w:r>
          </w:p>
          <w:p w14:paraId="1420FD4C">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②所有检测指标中，有明确GB8978一级标准限值的污染物，检测值均未超过该限值（部分有检出但远低于标准，部分低于检出限）。</w:t>
            </w:r>
          </w:p>
          <w:p w14:paraId="4E8C4DEE">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综合以上两项判定条件，完全满足《一般工业固体废物贮存和填埋污染控制标准》（GB18599-2020）第3.6条对第I类一般工业固体废物的定义要求。</w:t>
            </w:r>
          </w:p>
          <w:p w14:paraId="14CF0607">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因此，本项目4处废渣堆均属于第I类一般工业固体废物，可按照GB18599-2020中I类场的技术要求进行原位封存处置。本项目选用“原位封存阻隔+生态恢复”的治理工艺路线，与该固废类别对应的处置要求相匹配，技术路线选择合理可行。</w:t>
            </w:r>
          </w:p>
          <w:p w14:paraId="77473BBC">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lang w:val="en-US" w:eastAsia="zh-CN"/>
              </w:rPr>
              <w:t>劳动定员</w:t>
            </w:r>
          </w:p>
          <w:p w14:paraId="0FF8987B">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高峰施工人员约20人，</w:t>
            </w:r>
            <w:r>
              <w:rPr>
                <w:rFonts w:hint="eastAsia" w:cs="Times New Roman"/>
                <w:b w:val="0"/>
                <w:bCs w:val="0"/>
                <w:color w:val="auto"/>
                <w:sz w:val="24"/>
                <w:szCs w:val="24"/>
                <w:highlight w:val="none"/>
                <w:lang w:val="en-US" w:eastAsia="zh-CN"/>
              </w:rPr>
              <w:t>主体工程施工期为12个月</w:t>
            </w:r>
            <w:r>
              <w:rPr>
                <w:rFonts w:hint="default" w:ascii="Times New Roman" w:hAnsi="Times New Roman" w:cs="Times New Roman"/>
                <w:b w:val="0"/>
                <w:bCs w:val="0"/>
                <w:color w:val="auto"/>
                <w:sz w:val="24"/>
                <w:szCs w:val="24"/>
                <w:highlight w:val="none"/>
                <w:lang w:val="en-US" w:eastAsia="zh-CN"/>
              </w:rPr>
              <w:t>，施工时段8:00-20:00。</w:t>
            </w:r>
          </w:p>
          <w:p w14:paraId="4E2E69BF">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lang w:val="en-US" w:eastAsia="zh-CN"/>
              </w:rPr>
              <w:t>公用工程</w:t>
            </w:r>
          </w:p>
          <w:p w14:paraId="51D99FAE">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项目公用工程包括供水和供电工程内容。</w:t>
            </w:r>
          </w:p>
          <w:p w14:paraId="547359F3">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cs="Times New Roman"/>
                <w:b w:val="0"/>
                <w:bCs w:val="0"/>
                <w:color w:val="auto"/>
                <w:sz w:val="24"/>
                <w:szCs w:val="24"/>
                <w:highlight w:val="none"/>
                <w:lang w:val="en-US" w:eastAsia="zh-CN"/>
              </w:rPr>
              <w:t>供电工程</w:t>
            </w:r>
          </w:p>
          <w:p w14:paraId="5EC7D260">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项目施工用电</w:t>
            </w:r>
            <w:r>
              <w:rPr>
                <w:rFonts w:hint="eastAsia" w:cs="Times New Roman"/>
                <w:b w:val="0"/>
                <w:bCs w:val="0"/>
                <w:color w:val="auto"/>
                <w:sz w:val="24"/>
                <w:szCs w:val="24"/>
                <w:highlight w:val="none"/>
                <w:lang w:val="en-US" w:eastAsia="zh-CN"/>
              </w:rPr>
              <w:t>接到</w:t>
            </w:r>
            <w:r>
              <w:rPr>
                <w:rFonts w:hint="default" w:ascii="Times New Roman" w:hAnsi="Times New Roman" w:cs="Times New Roman"/>
                <w:b w:val="0"/>
                <w:bCs w:val="0"/>
                <w:color w:val="auto"/>
                <w:sz w:val="24"/>
                <w:szCs w:val="24"/>
                <w:highlight w:val="none"/>
                <w:lang w:val="en-US" w:eastAsia="zh-CN"/>
              </w:rPr>
              <w:t>附近的电网。</w:t>
            </w:r>
          </w:p>
          <w:p w14:paraId="3962DBDA">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供水工程</w:t>
            </w:r>
          </w:p>
          <w:p w14:paraId="0F3FDC81">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项目施工用水由附近拉运，生活用水依托附近村民用水。</w:t>
            </w:r>
          </w:p>
          <w:p w14:paraId="56D1F54C">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cs="Times New Roman"/>
                <w:b w:val="0"/>
                <w:bCs w:val="0"/>
                <w:color w:val="auto"/>
                <w:sz w:val="24"/>
                <w:szCs w:val="24"/>
                <w:highlight w:val="none"/>
                <w:lang w:val="en-US" w:eastAsia="zh-CN"/>
              </w:rPr>
              <w:t>排水工程</w:t>
            </w:r>
          </w:p>
          <w:p w14:paraId="06E37CC8">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sz w:val="24"/>
                <w:szCs w:val="24"/>
                <w:highlight w:val="none"/>
                <w:lang w:val="en-US" w:eastAsia="zh-CN"/>
              </w:rPr>
              <w:t>项目采用雨污分流制。雨水由排水沟导排至场外，生活污水依托当地污水处理设施。</w:t>
            </w:r>
          </w:p>
        </w:tc>
      </w:tr>
      <w:tr w14:paraId="707BF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10" w:type="dxa"/>
            <w:tcBorders>
              <w:tl2br w:val="nil"/>
              <w:tr2bl w:val="nil"/>
            </w:tcBorders>
            <w:noWrap w:val="0"/>
            <w:vAlign w:val="center"/>
          </w:tcPr>
          <w:p w14:paraId="4B20C3CD">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总平面及现场布置</w:t>
            </w:r>
          </w:p>
        </w:tc>
        <w:tc>
          <w:tcPr>
            <w:tcW w:w="8380" w:type="dxa"/>
            <w:tcBorders>
              <w:tl2br w:val="nil"/>
              <w:tr2bl w:val="nil"/>
            </w:tcBorders>
            <w:noWrap w:val="0"/>
            <w:vAlign w:val="center"/>
          </w:tcPr>
          <w:p w14:paraId="1C8D0648">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cs="Times New Roman"/>
                <w:b w:val="0"/>
                <w:bCs w:val="0"/>
                <w:color w:val="auto"/>
                <w:sz w:val="24"/>
                <w:szCs w:val="24"/>
                <w:highlight w:val="none"/>
                <w:lang w:val="en-US" w:eastAsia="zh-CN"/>
              </w:rPr>
              <w:t>临时施工场地</w:t>
            </w:r>
          </w:p>
          <w:p w14:paraId="516B7B07">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eastAsia"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临时施工场地主要为施工工场及堆料场、仓库及工棚，占地面积</w:t>
            </w:r>
            <w:r>
              <w:rPr>
                <w:rFonts w:hint="eastAsia"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val="en-US" w:eastAsia="zh-CN"/>
              </w:rPr>
              <w:t>00m</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lang w:val="en-US" w:eastAsia="zh-CN"/>
              </w:rPr>
              <w:t>，占地位于1#和</w:t>
            </w:r>
            <w:r>
              <w:rPr>
                <w:rFonts w:hint="eastAsia"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#废渣场。生活区租赁附近民房，设休息区和食堂。生活污水依托民房原有化粪池收集处理后清掏还田</w:t>
            </w:r>
            <w:r>
              <w:rPr>
                <w:rFonts w:hint="eastAsia" w:cs="Times New Roman"/>
                <w:b w:val="0"/>
                <w:bCs w:val="0"/>
                <w:color w:val="auto"/>
                <w:sz w:val="24"/>
                <w:szCs w:val="24"/>
                <w:highlight w:val="none"/>
                <w:lang w:val="en-US" w:eastAsia="zh-CN"/>
              </w:rPr>
              <w:t>。</w:t>
            </w:r>
          </w:p>
          <w:p w14:paraId="17582EE7">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施工便道</w:t>
            </w:r>
          </w:p>
          <w:p w14:paraId="01B264D0">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根据建设单位提供资料可知，修筑施工临时道路约1270m，道路宽为4m，主要用于矿硐封堵工作</w:t>
            </w:r>
            <w:r>
              <w:rPr>
                <w:rFonts w:hint="eastAsia" w:cs="Times New Roman"/>
                <w:b w:val="0"/>
                <w:bCs w:val="0"/>
                <w:color w:val="auto"/>
                <w:sz w:val="24"/>
                <w:szCs w:val="24"/>
                <w:highlight w:val="none"/>
                <w:lang w:val="en-US" w:eastAsia="zh-CN"/>
              </w:rPr>
              <w:t>。</w:t>
            </w:r>
          </w:p>
          <w:p w14:paraId="0E68E833">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cs="Times New Roman"/>
                <w:b w:val="0"/>
                <w:bCs w:val="0"/>
                <w:color w:val="auto"/>
                <w:sz w:val="24"/>
                <w:szCs w:val="24"/>
                <w:highlight w:val="none"/>
                <w:lang w:val="en-US" w:eastAsia="zh-CN"/>
              </w:rPr>
              <w:t>工程占地</w:t>
            </w:r>
          </w:p>
          <w:p w14:paraId="58AE54F2">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项目不属于《限制用地项目目录</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2012年本</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》与《禁止用地项目目录</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2012年本</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》所列建设项目，项目区用地类型为采矿用地。</w:t>
            </w:r>
          </w:p>
          <w:p w14:paraId="172F2534">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w:t>
            </w:r>
            <w:r>
              <w:rPr>
                <w:rFonts w:hint="default" w:ascii="Times New Roman" w:hAnsi="Times New Roman" w:cs="Times New Roman"/>
                <w:b w:val="0"/>
                <w:bCs w:val="0"/>
                <w:color w:val="auto"/>
                <w:sz w:val="24"/>
                <w:szCs w:val="24"/>
                <w:highlight w:val="none"/>
                <w:lang w:val="en-US" w:eastAsia="zh-CN"/>
              </w:rPr>
              <w:t>土石方平衡</w:t>
            </w:r>
          </w:p>
          <w:p w14:paraId="02F1C9F4">
            <w:pPr>
              <w:pStyle w:val="12"/>
              <w:keepNext w:val="0"/>
              <w:keepLines w:val="0"/>
              <w:pageBreakBefore w:val="0"/>
              <w:widowControl w:val="0"/>
              <w:numPr>
                <w:ilvl w:val="0"/>
                <w:numId w:val="0"/>
              </w:numPr>
              <w:kinsoku/>
              <w:wordWrap/>
              <w:overflowPunct/>
              <w:topLinePunct w:val="0"/>
              <w:autoSpaceDE/>
              <w:autoSpaceDN/>
              <w:bidi w:val="0"/>
              <w:snapToGrid w:val="0"/>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主要工程措施包括</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渣堆削坡、废渣回填、坡面整理、场地平整等。本项目综合治理工程边坡稳定工程设计削坡方量总计</w:t>
            </w:r>
            <w:r>
              <w:rPr>
                <w:rFonts w:hint="eastAsia" w:cs="Times New Roman"/>
                <w:b w:val="0"/>
                <w:bCs w:val="0"/>
                <w:color w:val="auto"/>
                <w:sz w:val="24"/>
                <w:szCs w:val="24"/>
                <w:highlight w:val="none"/>
                <w:lang w:val="en-US" w:eastAsia="zh-CN"/>
              </w:rPr>
              <w:t>14463.36</w:t>
            </w:r>
            <w:r>
              <w:rPr>
                <w:rFonts w:hint="default" w:ascii="Times New Roman" w:hAnsi="Times New Roman" w:cs="Times New Roman"/>
                <w:b w:val="0"/>
                <w:bCs w:val="0"/>
                <w:color w:val="auto"/>
                <w:sz w:val="24"/>
                <w:szCs w:val="24"/>
                <w:highlight w:val="no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lang w:val="en-US" w:eastAsia="zh-CN"/>
              </w:rPr>
              <w:t>，渣方回填，夯实方量总计</w:t>
            </w:r>
            <w:r>
              <w:rPr>
                <w:rFonts w:hint="eastAsia" w:cs="Times New Roman"/>
                <w:b w:val="0"/>
                <w:bCs w:val="0"/>
                <w:color w:val="auto"/>
                <w:sz w:val="24"/>
                <w:szCs w:val="24"/>
                <w:highlight w:val="none"/>
                <w:lang w:val="en-US" w:eastAsia="zh-CN"/>
              </w:rPr>
              <w:t>14673.15</w:t>
            </w:r>
            <w:r>
              <w:rPr>
                <w:rFonts w:hint="default" w:ascii="Times New Roman" w:hAnsi="Times New Roman" w:cs="Times New Roman"/>
                <w:b w:val="0"/>
                <w:bCs w:val="0"/>
                <w:color w:val="auto"/>
                <w:sz w:val="24"/>
                <w:szCs w:val="24"/>
                <w:highlight w:val="no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lang w:val="en-US" w:eastAsia="zh-CN"/>
              </w:rPr>
              <w:t>。各渣堆整形工程挖填方工程量详见表</w:t>
            </w:r>
            <w:r>
              <w:rPr>
                <w:rFonts w:hint="eastAsia" w:cs="Times New Roman"/>
                <w:b w:val="0"/>
                <w:bCs w:val="0"/>
                <w:color w:val="auto"/>
                <w:sz w:val="24"/>
                <w:szCs w:val="24"/>
                <w:highlight w:val="none"/>
                <w:lang w:val="en-US" w:eastAsia="zh-CN"/>
              </w:rPr>
              <w:t>2-5</w:t>
            </w:r>
            <w:r>
              <w:rPr>
                <w:rFonts w:hint="default" w:ascii="Times New Roman" w:hAnsi="Times New Roman" w:cs="Times New Roman"/>
                <w:b w:val="0"/>
                <w:bCs w:val="0"/>
                <w:color w:val="auto"/>
                <w:sz w:val="24"/>
                <w:szCs w:val="24"/>
                <w:highlight w:val="none"/>
                <w:lang w:val="en-US" w:eastAsia="zh-CN"/>
              </w:rPr>
              <w:t>。</w:t>
            </w:r>
          </w:p>
          <w:p w14:paraId="3DAE34BD">
            <w:pPr>
              <w:jc w:val="center"/>
              <w:rPr>
                <w:rFonts w:hint="eastAsia" w:cs="Times New Roman"/>
                <w:b/>
                <w:bCs/>
                <w:color w:val="auto"/>
                <w:highlight w:val="none"/>
                <w:lang w:val="en-US" w:eastAsia="zh-CN"/>
              </w:rPr>
            </w:pPr>
            <w:r>
              <w:rPr>
                <w:rFonts w:hint="eastAsia" w:cs="Times New Roman"/>
                <w:b/>
                <w:bCs/>
                <w:color w:val="auto"/>
                <w:highlight w:val="none"/>
                <w:lang w:val="en-US" w:eastAsia="zh-CN"/>
              </w:rPr>
              <w:t>表2-5 项目土石方平衡一览表</w:t>
            </w:r>
          </w:p>
          <w:tbl>
            <w:tblPr>
              <w:tblStyle w:val="15"/>
              <w:tblW w:w="82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988"/>
              <w:gridCol w:w="991"/>
              <w:gridCol w:w="863"/>
              <w:gridCol w:w="687"/>
              <w:gridCol w:w="896"/>
              <w:gridCol w:w="929"/>
              <w:gridCol w:w="671"/>
              <w:gridCol w:w="651"/>
            </w:tblGrid>
            <w:tr w14:paraId="54ABA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596" w:type="dxa"/>
                  <w:tcBorders>
                    <w:tl2br w:val="nil"/>
                    <w:tr2bl w:val="nil"/>
                  </w:tcBorders>
                  <w:vAlign w:val="center"/>
                </w:tcPr>
                <w:p w14:paraId="2489391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渣堆名称</w:t>
                  </w:r>
                </w:p>
              </w:tc>
              <w:tc>
                <w:tcPr>
                  <w:tcW w:w="988" w:type="dxa"/>
                  <w:tcBorders>
                    <w:tl2br w:val="nil"/>
                    <w:tr2bl w:val="nil"/>
                  </w:tcBorders>
                  <w:vAlign w:val="center"/>
                </w:tcPr>
                <w:p w14:paraId="29FECB1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挖方</w:t>
                  </w:r>
                </w:p>
              </w:tc>
              <w:tc>
                <w:tcPr>
                  <w:tcW w:w="991" w:type="dxa"/>
                  <w:tcBorders>
                    <w:tl2br w:val="nil"/>
                    <w:tr2bl w:val="nil"/>
                  </w:tcBorders>
                  <w:vAlign w:val="center"/>
                </w:tcPr>
                <w:p w14:paraId="6A52A00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填方</w:t>
                  </w:r>
                </w:p>
              </w:tc>
              <w:tc>
                <w:tcPr>
                  <w:tcW w:w="863" w:type="dxa"/>
                  <w:tcBorders>
                    <w:tl2br w:val="nil"/>
                    <w:tr2bl w:val="nil"/>
                  </w:tcBorders>
                  <w:vAlign w:val="center"/>
                </w:tcPr>
                <w:p w14:paraId="1E8A2F4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借方</w:t>
                  </w:r>
                </w:p>
              </w:tc>
              <w:tc>
                <w:tcPr>
                  <w:tcW w:w="687" w:type="dxa"/>
                  <w:tcBorders>
                    <w:tl2br w:val="nil"/>
                    <w:tr2bl w:val="nil"/>
                  </w:tcBorders>
                  <w:vAlign w:val="center"/>
                </w:tcPr>
                <w:p w14:paraId="1EDBEAD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调出</w:t>
                  </w:r>
                </w:p>
              </w:tc>
              <w:tc>
                <w:tcPr>
                  <w:tcW w:w="896" w:type="dxa"/>
                  <w:tcBorders>
                    <w:tl2br w:val="nil"/>
                    <w:tr2bl w:val="nil"/>
                  </w:tcBorders>
                  <w:vAlign w:val="center"/>
                </w:tcPr>
                <w:p w14:paraId="4AE9F37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去向</w:t>
                  </w:r>
                </w:p>
              </w:tc>
              <w:tc>
                <w:tcPr>
                  <w:tcW w:w="929" w:type="dxa"/>
                  <w:tcBorders>
                    <w:tl2br w:val="nil"/>
                    <w:tr2bl w:val="nil"/>
                  </w:tcBorders>
                  <w:vAlign w:val="center"/>
                </w:tcPr>
                <w:p w14:paraId="630938B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调入</w:t>
                  </w:r>
                </w:p>
              </w:tc>
              <w:tc>
                <w:tcPr>
                  <w:tcW w:w="671" w:type="dxa"/>
                  <w:tcBorders>
                    <w:tl2br w:val="nil"/>
                    <w:tr2bl w:val="nil"/>
                  </w:tcBorders>
                  <w:vAlign w:val="center"/>
                </w:tcPr>
                <w:p w14:paraId="267D7E4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来源</w:t>
                  </w:r>
                </w:p>
              </w:tc>
              <w:tc>
                <w:tcPr>
                  <w:tcW w:w="651" w:type="dxa"/>
                  <w:tcBorders>
                    <w:tl2br w:val="nil"/>
                    <w:tr2bl w:val="nil"/>
                  </w:tcBorders>
                  <w:vAlign w:val="center"/>
                </w:tcPr>
                <w:p w14:paraId="37D1598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弃方</w:t>
                  </w:r>
                </w:p>
              </w:tc>
            </w:tr>
            <w:tr w14:paraId="213DD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596" w:type="dxa"/>
                  <w:tcBorders>
                    <w:tl2br w:val="nil"/>
                    <w:tr2bl w:val="nil"/>
                  </w:tcBorders>
                  <w:vAlign w:val="center"/>
                </w:tcPr>
                <w:p w14:paraId="122E114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BJ-TB-25（1#）</w:t>
                  </w:r>
                </w:p>
              </w:tc>
              <w:tc>
                <w:tcPr>
                  <w:tcW w:w="988" w:type="dxa"/>
                  <w:tcBorders>
                    <w:tl2br w:val="nil"/>
                    <w:tr2bl w:val="nil"/>
                  </w:tcBorders>
                  <w:vAlign w:val="center"/>
                </w:tcPr>
                <w:p w14:paraId="20D3A2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7235.25</w:t>
                  </w:r>
                </w:p>
              </w:tc>
              <w:tc>
                <w:tcPr>
                  <w:tcW w:w="991" w:type="dxa"/>
                  <w:tcBorders>
                    <w:tl2br w:val="nil"/>
                    <w:tr2bl w:val="nil"/>
                  </w:tcBorders>
                  <w:vAlign w:val="center"/>
                </w:tcPr>
                <w:p w14:paraId="635FA70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8447.57</w:t>
                  </w:r>
                </w:p>
              </w:tc>
              <w:tc>
                <w:tcPr>
                  <w:tcW w:w="863" w:type="dxa"/>
                  <w:tcBorders>
                    <w:tl2br w:val="nil"/>
                    <w:tr2bl w:val="nil"/>
                  </w:tcBorders>
                  <w:vAlign w:val="center"/>
                </w:tcPr>
                <w:p w14:paraId="7E9A3EB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209.79</w:t>
                  </w:r>
                </w:p>
              </w:tc>
              <w:tc>
                <w:tcPr>
                  <w:tcW w:w="687" w:type="dxa"/>
                  <w:tcBorders>
                    <w:tl2br w:val="nil"/>
                    <w:tr2bl w:val="nil"/>
                  </w:tcBorders>
                  <w:vAlign w:val="center"/>
                </w:tcPr>
                <w:p w14:paraId="7D8385E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896" w:type="dxa"/>
                  <w:tcBorders>
                    <w:tl2br w:val="nil"/>
                    <w:tr2bl w:val="nil"/>
                  </w:tcBorders>
                  <w:vAlign w:val="center"/>
                </w:tcPr>
                <w:p w14:paraId="4802C1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929" w:type="dxa"/>
                  <w:tcBorders>
                    <w:tl2br w:val="nil"/>
                    <w:tr2bl w:val="nil"/>
                  </w:tcBorders>
                  <w:vAlign w:val="center"/>
                </w:tcPr>
                <w:p w14:paraId="3A2A8BA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1002.53</w:t>
                  </w:r>
                </w:p>
              </w:tc>
              <w:tc>
                <w:tcPr>
                  <w:tcW w:w="671" w:type="dxa"/>
                  <w:tcBorders>
                    <w:tl2br w:val="nil"/>
                    <w:tr2bl w:val="nil"/>
                  </w:tcBorders>
                  <w:vAlign w:val="center"/>
                </w:tcPr>
                <w:p w14:paraId="7C101D4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651" w:type="dxa"/>
                  <w:tcBorders>
                    <w:tl2br w:val="nil"/>
                    <w:tr2bl w:val="nil"/>
                  </w:tcBorders>
                  <w:vAlign w:val="center"/>
                </w:tcPr>
                <w:p w14:paraId="7E51724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r>
            <w:tr w14:paraId="16A2D6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Borders>
                    <w:tl2br w:val="nil"/>
                    <w:tr2bl w:val="nil"/>
                  </w:tcBorders>
                  <w:vAlign w:val="center"/>
                </w:tcPr>
                <w:p w14:paraId="7FF0661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BJ-TB-26（4#）</w:t>
                  </w:r>
                </w:p>
              </w:tc>
              <w:tc>
                <w:tcPr>
                  <w:tcW w:w="988" w:type="dxa"/>
                  <w:tcBorders>
                    <w:tl2br w:val="nil"/>
                    <w:tr2bl w:val="nil"/>
                  </w:tcBorders>
                  <w:vAlign w:val="center"/>
                </w:tcPr>
                <w:p w14:paraId="7E24AFC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3907.48</w:t>
                  </w:r>
                </w:p>
              </w:tc>
              <w:tc>
                <w:tcPr>
                  <w:tcW w:w="991" w:type="dxa"/>
                  <w:tcBorders>
                    <w:tl2br w:val="nil"/>
                    <w:tr2bl w:val="nil"/>
                  </w:tcBorders>
                  <w:vAlign w:val="center"/>
                </w:tcPr>
                <w:p w14:paraId="3DAC864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3942.77</w:t>
                  </w:r>
                </w:p>
              </w:tc>
              <w:tc>
                <w:tcPr>
                  <w:tcW w:w="863" w:type="dxa"/>
                  <w:tcBorders>
                    <w:tl2br w:val="nil"/>
                    <w:tr2bl w:val="nil"/>
                  </w:tcBorders>
                  <w:vAlign w:val="center"/>
                </w:tcPr>
                <w:p w14:paraId="56F5AA3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687" w:type="dxa"/>
                  <w:tcBorders>
                    <w:tl2br w:val="nil"/>
                    <w:tr2bl w:val="nil"/>
                  </w:tcBorders>
                  <w:vAlign w:val="center"/>
                </w:tcPr>
                <w:p w14:paraId="62E1A3C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896" w:type="dxa"/>
                  <w:tcBorders>
                    <w:tl2br w:val="nil"/>
                    <w:tr2bl w:val="nil"/>
                  </w:tcBorders>
                  <w:vAlign w:val="center"/>
                </w:tcPr>
                <w:p w14:paraId="3623637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929" w:type="dxa"/>
                  <w:tcBorders>
                    <w:tl2br w:val="nil"/>
                    <w:tr2bl w:val="nil"/>
                  </w:tcBorders>
                  <w:vAlign w:val="center"/>
                </w:tcPr>
                <w:p w14:paraId="750E83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35.29</w:t>
                  </w:r>
                </w:p>
              </w:tc>
              <w:tc>
                <w:tcPr>
                  <w:tcW w:w="671" w:type="dxa"/>
                  <w:tcBorders>
                    <w:tl2br w:val="nil"/>
                    <w:tr2bl w:val="nil"/>
                  </w:tcBorders>
                  <w:vAlign w:val="center"/>
                </w:tcPr>
                <w:p w14:paraId="3F96D9D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651" w:type="dxa"/>
                  <w:tcBorders>
                    <w:tl2br w:val="nil"/>
                    <w:tr2bl w:val="nil"/>
                  </w:tcBorders>
                  <w:vAlign w:val="center"/>
                </w:tcPr>
                <w:p w14:paraId="565EE19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r>
            <w:tr w14:paraId="23DC76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596" w:type="dxa"/>
                  <w:tcBorders>
                    <w:tl2br w:val="nil"/>
                    <w:tr2bl w:val="nil"/>
                  </w:tcBorders>
                  <w:vAlign w:val="center"/>
                </w:tcPr>
                <w:p w14:paraId="63E98FF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BJ-TB-27（2#）</w:t>
                  </w:r>
                </w:p>
              </w:tc>
              <w:tc>
                <w:tcPr>
                  <w:tcW w:w="988" w:type="dxa"/>
                  <w:tcBorders>
                    <w:tl2br w:val="nil"/>
                    <w:tr2bl w:val="nil"/>
                  </w:tcBorders>
                  <w:vAlign w:val="center"/>
                </w:tcPr>
                <w:p w14:paraId="7241D3A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1531.33</w:t>
                  </w:r>
                </w:p>
              </w:tc>
              <w:tc>
                <w:tcPr>
                  <w:tcW w:w="991" w:type="dxa"/>
                  <w:tcBorders>
                    <w:tl2br w:val="nil"/>
                    <w:tr2bl w:val="nil"/>
                  </w:tcBorders>
                  <w:vAlign w:val="center"/>
                </w:tcPr>
                <w:p w14:paraId="2E046ED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1532.51</w:t>
                  </w:r>
                </w:p>
              </w:tc>
              <w:tc>
                <w:tcPr>
                  <w:tcW w:w="863" w:type="dxa"/>
                  <w:tcBorders>
                    <w:tl2br w:val="nil"/>
                    <w:tr2bl w:val="nil"/>
                  </w:tcBorders>
                  <w:vAlign w:val="center"/>
                </w:tcPr>
                <w:p w14:paraId="27BB51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687" w:type="dxa"/>
                  <w:tcBorders>
                    <w:tl2br w:val="nil"/>
                    <w:tr2bl w:val="nil"/>
                  </w:tcBorders>
                  <w:vAlign w:val="center"/>
                </w:tcPr>
                <w:p w14:paraId="6B08827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896" w:type="dxa"/>
                  <w:tcBorders>
                    <w:tl2br w:val="nil"/>
                    <w:tr2bl w:val="nil"/>
                  </w:tcBorders>
                  <w:vAlign w:val="center"/>
                </w:tcPr>
                <w:p w14:paraId="70F15A7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929" w:type="dxa"/>
                  <w:tcBorders>
                    <w:tl2br w:val="nil"/>
                    <w:tr2bl w:val="nil"/>
                  </w:tcBorders>
                  <w:vAlign w:val="center"/>
                </w:tcPr>
                <w:p w14:paraId="64009DB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1.18</w:t>
                  </w:r>
                </w:p>
              </w:tc>
              <w:tc>
                <w:tcPr>
                  <w:tcW w:w="671" w:type="dxa"/>
                  <w:tcBorders>
                    <w:tl2br w:val="nil"/>
                    <w:tr2bl w:val="nil"/>
                  </w:tcBorders>
                  <w:vAlign w:val="center"/>
                </w:tcPr>
                <w:p w14:paraId="7703CE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651" w:type="dxa"/>
                  <w:tcBorders>
                    <w:tl2br w:val="nil"/>
                    <w:tr2bl w:val="nil"/>
                  </w:tcBorders>
                  <w:vAlign w:val="center"/>
                </w:tcPr>
                <w:p w14:paraId="7DE34C6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r>
            <w:tr w14:paraId="491B08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Borders>
                    <w:tl2br w:val="nil"/>
                    <w:tr2bl w:val="nil"/>
                  </w:tcBorders>
                  <w:vAlign w:val="center"/>
                </w:tcPr>
                <w:p w14:paraId="034416E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BJ-TB-28（3#）</w:t>
                  </w:r>
                </w:p>
              </w:tc>
              <w:tc>
                <w:tcPr>
                  <w:tcW w:w="988" w:type="dxa"/>
                  <w:tcBorders>
                    <w:tl2br w:val="nil"/>
                    <w:tr2bl w:val="nil"/>
                  </w:tcBorders>
                  <w:vAlign w:val="center"/>
                </w:tcPr>
                <w:p w14:paraId="2246FCF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1789.30</w:t>
                  </w:r>
                </w:p>
              </w:tc>
              <w:tc>
                <w:tcPr>
                  <w:tcW w:w="991" w:type="dxa"/>
                  <w:tcBorders>
                    <w:tl2br w:val="nil"/>
                    <w:tr2bl w:val="nil"/>
                  </w:tcBorders>
                  <w:vAlign w:val="center"/>
                </w:tcPr>
                <w:p w14:paraId="5CCD59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750.3</w:t>
                  </w:r>
                </w:p>
              </w:tc>
              <w:tc>
                <w:tcPr>
                  <w:tcW w:w="863" w:type="dxa"/>
                  <w:tcBorders>
                    <w:tl2br w:val="nil"/>
                    <w:tr2bl w:val="nil"/>
                  </w:tcBorders>
                  <w:vAlign w:val="center"/>
                </w:tcPr>
                <w:p w14:paraId="3D96C18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687" w:type="dxa"/>
                  <w:tcBorders>
                    <w:tl2br w:val="nil"/>
                    <w:tr2bl w:val="nil"/>
                  </w:tcBorders>
                  <w:vAlign w:val="center"/>
                </w:tcPr>
                <w:p w14:paraId="28455A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1039</w:t>
                  </w:r>
                </w:p>
              </w:tc>
              <w:tc>
                <w:tcPr>
                  <w:tcW w:w="896" w:type="dxa"/>
                  <w:tcBorders>
                    <w:tl2br w:val="nil"/>
                    <w:tr2bl w:val="nil"/>
                  </w:tcBorders>
                  <w:vAlign w:val="center"/>
                </w:tcPr>
                <w:p w14:paraId="0E381C0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1#、4#、2#</w:t>
                  </w:r>
                </w:p>
              </w:tc>
              <w:tc>
                <w:tcPr>
                  <w:tcW w:w="929" w:type="dxa"/>
                  <w:tcBorders>
                    <w:tl2br w:val="nil"/>
                    <w:tr2bl w:val="nil"/>
                  </w:tcBorders>
                  <w:vAlign w:val="center"/>
                </w:tcPr>
                <w:p w14:paraId="03DF72D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c>
                <w:tcPr>
                  <w:tcW w:w="671" w:type="dxa"/>
                  <w:tcBorders>
                    <w:tl2br w:val="nil"/>
                    <w:tr2bl w:val="nil"/>
                  </w:tcBorders>
                  <w:vAlign w:val="center"/>
                </w:tcPr>
                <w:p w14:paraId="0CCDAD7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651" w:type="dxa"/>
                  <w:tcBorders>
                    <w:tl2br w:val="nil"/>
                    <w:tr2bl w:val="nil"/>
                  </w:tcBorders>
                  <w:vAlign w:val="center"/>
                </w:tcPr>
                <w:p w14:paraId="21950FA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r>
            <w:tr w14:paraId="6AC68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tcBorders>
                    <w:tl2br w:val="nil"/>
                    <w:tr2bl w:val="nil"/>
                  </w:tcBorders>
                  <w:vAlign w:val="center"/>
                </w:tcPr>
                <w:p w14:paraId="004570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合计</w:t>
                  </w:r>
                </w:p>
              </w:tc>
              <w:tc>
                <w:tcPr>
                  <w:tcW w:w="988" w:type="dxa"/>
                  <w:tcBorders>
                    <w:tl2br w:val="nil"/>
                    <w:tr2bl w:val="nil"/>
                  </w:tcBorders>
                  <w:vAlign w:val="center"/>
                </w:tcPr>
                <w:p w14:paraId="73203AE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14463.36</w:t>
                  </w:r>
                </w:p>
              </w:tc>
              <w:tc>
                <w:tcPr>
                  <w:tcW w:w="991" w:type="dxa"/>
                  <w:tcBorders>
                    <w:tl2br w:val="nil"/>
                    <w:tr2bl w:val="nil"/>
                  </w:tcBorders>
                  <w:vAlign w:val="center"/>
                </w:tcPr>
                <w:p w14:paraId="43F5C8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14673.15</w:t>
                  </w:r>
                </w:p>
              </w:tc>
              <w:tc>
                <w:tcPr>
                  <w:tcW w:w="863" w:type="dxa"/>
                  <w:tcBorders>
                    <w:tl2br w:val="nil"/>
                    <w:tr2bl w:val="nil"/>
                  </w:tcBorders>
                  <w:vAlign w:val="center"/>
                </w:tcPr>
                <w:p w14:paraId="2835D4F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279.79</w:t>
                  </w:r>
                </w:p>
              </w:tc>
              <w:tc>
                <w:tcPr>
                  <w:tcW w:w="687" w:type="dxa"/>
                  <w:tcBorders>
                    <w:tl2br w:val="nil"/>
                    <w:tr2bl w:val="nil"/>
                  </w:tcBorders>
                  <w:vAlign w:val="center"/>
                </w:tcPr>
                <w:p w14:paraId="2870EEA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1039</w:t>
                  </w:r>
                </w:p>
              </w:tc>
              <w:tc>
                <w:tcPr>
                  <w:tcW w:w="896" w:type="dxa"/>
                  <w:tcBorders>
                    <w:tl2br w:val="nil"/>
                    <w:tr2bl w:val="nil"/>
                  </w:tcBorders>
                  <w:vAlign w:val="center"/>
                </w:tcPr>
                <w:p w14:paraId="4EF61C8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929" w:type="dxa"/>
                  <w:tcBorders>
                    <w:tl2br w:val="nil"/>
                    <w:tr2bl w:val="nil"/>
                  </w:tcBorders>
                  <w:vAlign w:val="center"/>
                </w:tcPr>
                <w:p w14:paraId="56F4919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1039</w:t>
                  </w:r>
                </w:p>
              </w:tc>
              <w:tc>
                <w:tcPr>
                  <w:tcW w:w="671" w:type="dxa"/>
                  <w:tcBorders>
                    <w:tl2br w:val="nil"/>
                    <w:tr2bl w:val="nil"/>
                  </w:tcBorders>
                  <w:vAlign w:val="center"/>
                </w:tcPr>
                <w:p w14:paraId="717AE25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651" w:type="dxa"/>
                  <w:tcBorders>
                    <w:tl2br w:val="nil"/>
                    <w:tr2bl w:val="nil"/>
                  </w:tcBorders>
                  <w:vAlign w:val="center"/>
                </w:tcPr>
                <w:p w14:paraId="4B79BC0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w:t>
                  </w:r>
                </w:p>
              </w:tc>
            </w:tr>
          </w:tbl>
          <w:p w14:paraId="3833AAB3">
            <w:pPr>
              <w:jc w:val="center"/>
              <w:rPr>
                <w:rFonts w:hint="default" w:cs="Times New Roman"/>
                <w:b/>
                <w:bCs/>
                <w:color w:val="auto"/>
                <w:highlight w:val="none"/>
                <w:lang w:val="en-US" w:eastAsia="zh-CN"/>
              </w:rPr>
            </w:pPr>
          </w:p>
        </w:tc>
      </w:tr>
      <w:tr w14:paraId="1CBAC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10" w:type="dxa"/>
            <w:tcBorders>
              <w:tl2br w:val="nil"/>
              <w:tr2bl w:val="nil"/>
            </w:tcBorders>
            <w:noWrap w:val="0"/>
            <w:vAlign w:val="center"/>
          </w:tcPr>
          <w:p w14:paraId="2D4A8B6D">
            <w:pPr>
              <w:adjustRightInd w:val="0"/>
              <w:snapToGrid w:val="0"/>
              <w:jc w:val="center"/>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施工方案</w:t>
            </w:r>
          </w:p>
        </w:tc>
        <w:tc>
          <w:tcPr>
            <w:tcW w:w="8380" w:type="dxa"/>
            <w:tcBorders>
              <w:tl2br w:val="nil"/>
              <w:tr2bl w:val="nil"/>
            </w:tcBorders>
            <w:noWrap w:val="0"/>
            <w:vAlign w:val="center"/>
          </w:tcPr>
          <w:p w14:paraId="61B0E2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1.施工方案</w:t>
            </w:r>
          </w:p>
          <w:p w14:paraId="423BF67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本次工程设计结合废渣堆实际情况，采用“原位封存阻隔+生态恢复”方式进行处理</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项目施工路线见图</w:t>
            </w:r>
            <w:r>
              <w:rPr>
                <w:rFonts w:hint="eastAsia" w:cs="Times New Roman"/>
                <w:b w:val="0"/>
                <w:bCs w:val="0"/>
                <w:color w:val="auto"/>
                <w:sz w:val="24"/>
                <w:szCs w:val="24"/>
                <w:highlight w:val="none"/>
                <w:lang w:val="en-US" w:eastAsia="zh-CN"/>
              </w:rPr>
              <w:t>2-1</w:t>
            </w:r>
            <w:r>
              <w:rPr>
                <w:rFonts w:hint="default" w:cs="Times New Roman"/>
                <w:b w:val="0"/>
                <w:bCs w:val="0"/>
                <w:color w:val="auto"/>
                <w:sz w:val="24"/>
                <w:szCs w:val="24"/>
                <w:highlight w:val="none"/>
                <w:lang w:val="en-US" w:eastAsia="zh-CN"/>
              </w:rPr>
              <w:t>。</w:t>
            </w:r>
          </w:p>
          <w:p w14:paraId="18E730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Times New Roman"/>
                <w:b w:val="0"/>
                <w:bCs w:val="0"/>
                <w:color w:val="auto"/>
                <w:sz w:val="24"/>
                <w:szCs w:val="24"/>
                <w:highlight w:val="none"/>
                <w:lang w:val="en-US" w:eastAsia="zh-CN"/>
              </w:rPr>
            </w:pPr>
            <w:r>
              <w:rPr>
                <w:color w:val="auto"/>
              </w:rPr>
              <w:drawing>
                <wp:inline distT="0" distB="0" distL="114300" distR="114300">
                  <wp:extent cx="4323715" cy="4574540"/>
                  <wp:effectExtent l="0" t="0" r="63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4323715" cy="4574540"/>
                          </a:xfrm>
                          <a:prstGeom prst="rect">
                            <a:avLst/>
                          </a:prstGeom>
                          <a:noFill/>
                          <a:ln>
                            <a:noFill/>
                          </a:ln>
                        </pic:spPr>
                      </pic:pic>
                    </a:graphicData>
                  </a:graphic>
                </wp:inline>
              </w:drawing>
            </w:r>
          </w:p>
          <w:p w14:paraId="0BE2DFFA">
            <w:pPr>
              <w:keepNext w:val="0"/>
              <w:keepLines w:val="0"/>
              <w:widowControl/>
              <w:suppressLineNumbers w:val="0"/>
              <w:jc w:val="center"/>
              <w:rPr>
                <w:color w:val="auto"/>
              </w:rPr>
            </w:pPr>
            <w:r>
              <w:rPr>
                <w:rFonts w:hint="eastAsia" w:cs="Times New Roman"/>
                <w:b/>
                <w:bCs/>
                <w:color w:val="auto"/>
                <w:sz w:val="21"/>
                <w:szCs w:val="21"/>
                <w:highlight w:val="none"/>
                <w:lang w:val="en-US" w:eastAsia="zh-CN"/>
              </w:rPr>
              <w:t xml:space="preserve">图2-9   </w:t>
            </w:r>
            <w:r>
              <w:rPr>
                <w:rFonts w:hint="eastAsia" w:ascii="宋体" w:hAnsi="宋体" w:eastAsia="宋体" w:cs="宋体"/>
                <w:b/>
                <w:bCs/>
                <w:color w:val="auto"/>
                <w:kern w:val="0"/>
                <w:sz w:val="21"/>
                <w:szCs w:val="21"/>
                <w:lang w:val="en-US" w:eastAsia="zh-CN" w:bidi="ar"/>
              </w:rPr>
              <w:t>施工期工艺流程</w:t>
            </w:r>
          </w:p>
          <w:p w14:paraId="7FDC6AA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（1）渣堆整形工程</w:t>
            </w:r>
          </w:p>
          <w:p w14:paraId="6A2C623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遵循自上而下分层开挖、分级设置稳定平台、随挖随填、分层压实、当日裸露当日覆盖原则，严禁逆坡掏挖、一次性大面积开挖，同步配套临时截排水，减少雨水冲刷引发水土流失与重金属径流。</w:t>
            </w:r>
          </w:p>
          <w:p w14:paraId="7A152BF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w:t>
            </w:r>
            <w:r>
              <w:rPr>
                <w:rFonts w:hint="default" w:cs="Times New Roman"/>
                <w:b w:val="0"/>
                <w:bCs w:val="0"/>
                <w:color w:val="auto"/>
                <w:sz w:val="24"/>
                <w:szCs w:val="24"/>
                <w:highlight w:val="none"/>
                <w:lang w:val="en-US" w:eastAsia="zh-CN"/>
              </w:rPr>
              <w:t>前期放线清障</w:t>
            </w:r>
          </w:p>
          <w:p w14:paraId="05C62F9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施工前采用全站仪划定渣堆治理红线、分级台阶边线、坡脚挡墙控制线；人工清除坡面危石、松动浮渣、表层杂草；在渣堆顶部外缘开挖环形临时截水沟，阻断上部山体汇水直灌渣体，避免雨水软化坡体，降低滑坡风险。</w:t>
            </w:r>
          </w:p>
          <w:p w14:paraId="419373C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w:t>
            </w:r>
            <w:r>
              <w:rPr>
                <w:rFonts w:hint="default" w:cs="Times New Roman"/>
                <w:b w:val="0"/>
                <w:bCs w:val="0"/>
                <w:color w:val="auto"/>
                <w:sz w:val="24"/>
                <w:szCs w:val="24"/>
                <w:highlight w:val="none"/>
                <w:lang w:val="en-US" w:eastAsia="zh-CN"/>
              </w:rPr>
              <w:t>分层削坡放缓坡度</w:t>
            </w:r>
          </w:p>
          <w:p w14:paraId="0322F12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现状渣堆原始边坡35°~45°，采用长臂挖掘机自上而下分层开挖，单次开挖厚度控制2</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3m，逐级削放缓至设计稳定坡比1:1.5~1.75；每级坡面之间设置2m宽向内反坡平台（反坡</w:t>
            </w:r>
            <w:r>
              <w:rPr>
                <w:rFonts w:hint="eastAsia" w:cs="Times New Roman"/>
                <w:b w:val="0"/>
                <w:bCs w:val="0"/>
                <w:color w:val="auto"/>
                <w:sz w:val="24"/>
                <w:szCs w:val="24"/>
                <w:highlight w:val="none"/>
                <w:lang w:val="en-US" w:eastAsia="zh-CN"/>
              </w:rPr>
              <w:t>2%～5%</w:t>
            </w:r>
            <w:r>
              <w:rPr>
                <w:rFonts w:hint="default" w:cs="Times New Roman"/>
                <w:b w:val="0"/>
                <w:bCs w:val="0"/>
                <w:color w:val="auto"/>
                <w:sz w:val="24"/>
                <w:szCs w:val="24"/>
                <w:highlight w:val="none"/>
                <w:lang w:val="en-US" w:eastAsia="zh-CN"/>
              </w:rPr>
              <w:t>），平台内侧配套小型截水沟，汇集坡面径流外排至场外主排水沟；高陡悬空危渣采用人工配合机械清撬，杜绝大块废渣一次性垮落。</w:t>
            </w:r>
          </w:p>
          <w:p w14:paraId="6DDF401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w:t>
            </w:r>
            <w:r>
              <w:rPr>
                <w:rFonts w:hint="default" w:cs="Times New Roman"/>
                <w:b w:val="0"/>
                <w:bCs w:val="0"/>
                <w:color w:val="auto"/>
                <w:sz w:val="24"/>
                <w:szCs w:val="24"/>
                <w:highlight w:val="none"/>
                <w:lang w:val="en-US" w:eastAsia="zh-CN"/>
              </w:rPr>
              <w:t>场内调运回填、分层压实</w:t>
            </w:r>
          </w:p>
          <w:p w14:paraId="37C85D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削坡产生废渣全部场内就近调运至渣堆低洼、坡脚位置回填，不场外弃渣；回填区域分层铺筑，单层厚度≤30cm，振动碾压机逐层夯实，压实度满足渣堆整体稳定设计要求；局部松散渣体换大块废石反压固坡，消除局部空洞、冲沟。</w:t>
            </w:r>
          </w:p>
          <w:p w14:paraId="479C538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④</w:t>
            </w:r>
            <w:r>
              <w:rPr>
                <w:rFonts w:hint="default" w:cs="Times New Roman"/>
                <w:b w:val="0"/>
                <w:bCs w:val="0"/>
                <w:color w:val="auto"/>
                <w:sz w:val="24"/>
                <w:szCs w:val="24"/>
                <w:highlight w:val="none"/>
                <w:lang w:val="en-US" w:eastAsia="zh-CN"/>
              </w:rPr>
              <w:t>坡面精细修整+坡脚配套</w:t>
            </w:r>
          </w:p>
          <w:p w14:paraId="33B2AD9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削填完成后推土机顺坡推平，人工修整凹凸坑洼、陡坎；坡脚清理至完整稳定基岩面，平整后砌筑MU30毛石挡渣墙，墙后同步回填削坡废渣形成反压体，抵消坡体下滑推力。</w:t>
            </w:r>
          </w:p>
          <w:p w14:paraId="7B91424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⑤</w:t>
            </w:r>
            <w:r>
              <w:rPr>
                <w:rFonts w:hint="default" w:cs="Times New Roman"/>
                <w:b w:val="0"/>
                <w:bCs w:val="0"/>
                <w:color w:val="auto"/>
                <w:sz w:val="24"/>
                <w:szCs w:val="24"/>
                <w:highlight w:val="none"/>
                <w:lang w:val="en-US" w:eastAsia="zh-CN"/>
              </w:rPr>
              <w:t>临时同步防护</w:t>
            </w:r>
          </w:p>
          <w:p w14:paraId="31F8505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当日开挖裸露坡面、临时堆渣</w:t>
            </w:r>
            <w:r>
              <w:rPr>
                <w:rFonts w:hint="eastAsia" w:cs="Times New Roman"/>
                <w:b w:val="0"/>
                <w:bCs w:val="0"/>
                <w:color w:val="auto"/>
                <w:sz w:val="24"/>
                <w:szCs w:val="24"/>
                <w:highlight w:val="none"/>
                <w:lang w:val="en-US" w:eastAsia="zh-CN"/>
              </w:rPr>
              <w:t>全部</w:t>
            </w:r>
            <w:r>
              <w:rPr>
                <w:rFonts w:hint="default" w:cs="Times New Roman"/>
                <w:b w:val="0"/>
                <w:bCs w:val="0"/>
                <w:color w:val="auto"/>
                <w:sz w:val="24"/>
                <w:szCs w:val="24"/>
                <w:highlight w:val="none"/>
                <w:lang w:val="en-US" w:eastAsia="zh-CN"/>
              </w:rPr>
              <w:t>覆盖加厚防尘土工布；雨天全面停止削坡开挖作业，已成型坡面加盖防雨土工膜，防止雨水入渗降低渣体稳定性</w:t>
            </w:r>
          </w:p>
          <w:p w14:paraId="34E9F94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主要工程措施包括</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渣堆削坡、废渣回填、坡面整理、场地平整等</w:t>
            </w:r>
          </w:p>
          <w:p w14:paraId="52D0F0C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（2）挡土墙工程</w:t>
            </w:r>
          </w:p>
          <w:p w14:paraId="6DDF308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整理后的废渣堆渣体坡脚根据渣堆实际情况修筑挡渣墙，墙高8.0m，地面以上墙高5.0m，顶宽1.637m</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墙面坡比1:015，墙背坡比1:0.3，墙底坡比为1:0.25，基础埋深1.0m，基底采用0.5m厚的C20素混凝土垫层。BJ-TB-25、BJ-TB-26、BJ-TB-27、BJ-TB-28等4处废渣堆I型挡渣墙总计长度145.53m。选取BJ-TB-25，挡墙一计算，在底部设置一道拦渣坝。拦渣坝长15m，高8m，顶宽1.637m。</w:t>
            </w:r>
          </w:p>
          <w:p w14:paraId="25DAC8D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①拦渣坝地基与基础</w:t>
            </w:r>
          </w:p>
          <w:p w14:paraId="1894E18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拦渣坝底部嵌入千枚岩深度不小于0.5m。拦渣坝两侧山体纵坡不宜大于5%，当大于5%时，应在纵向将基础做成台阶式，每阶高度不大于0.5m。</w:t>
            </w:r>
          </w:p>
          <w:p w14:paraId="179463C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w:t>
            </w:r>
            <w:r>
              <w:rPr>
                <w:rFonts w:hint="default" w:cs="Times New Roman"/>
                <w:b w:val="0"/>
                <w:bCs w:val="0"/>
                <w:color w:val="auto"/>
                <w:sz w:val="24"/>
                <w:szCs w:val="24"/>
                <w:highlight w:val="none"/>
                <w:lang w:val="en-US" w:eastAsia="zh-CN"/>
              </w:rPr>
              <w:t>拦渣坝构造和防、排水设施拦渣坝每隔15m设置一道变形缝</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伸缩、沉降缝</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当拦渣坝高度不一、坝后荷载变化较大或地基条件较差时，应采用较小的变形缝间隔。另在地基岩性变化处、坝高突变处应设沉降缝。变形缝宽为30mm，缝内沿墙的内、外、顶三边填塞沥青麻筋或涂沥青木板，塞入深度不宜小于200mm。坝顶用大于或等于M7.5级的水泥砂浆抹平，厚度不小于20mm。拦渣坝上沿墙高和墙长每隔2-3m布置一个直径10cm的泄水孔。</w:t>
            </w:r>
          </w:p>
          <w:p w14:paraId="1C9800A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w:t>
            </w:r>
            <w:r>
              <w:rPr>
                <w:rFonts w:hint="default" w:cs="Times New Roman"/>
                <w:b w:val="0"/>
                <w:bCs w:val="0"/>
                <w:color w:val="auto"/>
                <w:sz w:val="24"/>
                <w:szCs w:val="24"/>
                <w:highlight w:val="none"/>
                <w:lang w:val="en-US" w:eastAsia="zh-CN"/>
              </w:rPr>
              <w:t>拦渣坝材料</w:t>
            </w:r>
          </w:p>
          <w:p w14:paraId="7450FE6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太白县地震烈度为7度，地震加速度为0.10g，分组为第三组。拦渣坝高度大于5m，采用拦渣墙均采用MU30浆砌片石，M10混合砂浆砌筑，砌体的自重必须达到23kN/m，浆砌片石按所使用的行业相关规范要求。</w:t>
            </w:r>
          </w:p>
          <w:p w14:paraId="0B2607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cs="Times New Roman"/>
                <w:b w:val="0"/>
                <w:bCs w:val="0"/>
                <w:color w:val="auto"/>
                <w:sz w:val="24"/>
                <w:szCs w:val="24"/>
                <w:highlight w:val="none"/>
                <w:lang w:val="en-US" w:eastAsia="zh-CN"/>
              </w:rPr>
            </w:pPr>
            <w:r>
              <w:rPr>
                <w:color w:val="auto"/>
              </w:rPr>
              <w:drawing>
                <wp:inline distT="0" distB="0" distL="114300" distR="114300">
                  <wp:extent cx="4170045" cy="4535805"/>
                  <wp:effectExtent l="0" t="0" r="1905" b="171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6"/>
                          <a:stretch>
                            <a:fillRect/>
                          </a:stretch>
                        </pic:blipFill>
                        <pic:spPr>
                          <a:xfrm>
                            <a:off x="0" y="0"/>
                            <a:ext cx="4170045" cy="4535805"/>
                          </a:xfrm>
                          <a:prstGeom prst="rect">
                            <a:avLst/>
                          </a:prstGeom>
                          <a:noFill/>
                          <a:ln>
                            <a:noFill/>
                          </a:ln>
                        </pic:spPr>
                      </pic:pic>
                    </a:graphicData>
                  </a:graphic>
                </wp:inline>
              </w:drawing>
            </w:r>
          </w:p>
          <w:p w14:paraId="1909A4D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图2-10  拦渣坝剖面详图</w:t>
            </w:r>
          </w:p>
          <w:p w14:paraId="07CBB81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（3）水平阻隔工程</w:t>
            </w:r>
          </w:p>
          <w:p w14:paraId="572E32B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本项目工程采用土工膜衬层防渗方案，以减少雨水的下渗量，进而减少渗滤液产生量。阻隔防渗层主要采用黏土+土工膜，土工膜衬层采用“两布一膜”的模式，“两布”指设于土工膜上下各一层的土工布，规格600g/m</w:t>
            </w:r>
            <w:r>
              <w:rPr>
                <w:rFonts w:hint="default" w:cs="Times New Roman"/>
                <w:b w:val="0"/>
                <w:bCs w:val="0"/>
                <w:color w:val="auto"/>
                <w:sz w:val="24"/>
                <w:szCs w:val="24"/>
                <w:highlight w:val="none"/>
                <w:vertAlign w:val="superscript"/>
                <w:lang w:val="en-US" w:eastAsia="zh-CN"/>
              </w:rPr>
              <w:t>2</w:t>
            </w:r>
            <w:r>
              <w:rPr>
                <w:rFonts w:hint="default" w:cs="Times New Roman"/>
                <w:b w:val="0"/>
                <w:bCs w:val="0"/>
                <w:color w:val="auto"/>
                <w:sz w:val="24"/>
                <w:szCs w:val="24"/>
                <w:highlight w:val="none"/>
                <w:lang w:val="en-US" w:eastAsia="zh-CN"/>
              </w:rPr>
              <w:t>，“一膜”即HDPE防渗膜，厚1.5mm，渗透系数小于10-12cm/s。阻隔防渗工程措施包括土工布铺设、HDPE膜铺设、压实黏土层。考虑铺设过程中的损耗等，封场工程量均按照地块投影面积的1.2倍计算。</w:t>
            </w:r>
          </w:p>
          <w:p w14:paraId="052A2CF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本工程的防渗设计从上至下结构如下</w:t>
            </w:r>
            <w:r>
              <w:rPr>
                <w:rFonts w:hint="eastAsia" w:cs="Times New Roman"/>
                <w:b w:val="0"/>
                <w:bCs w:val="0"/>
                <w:color w:val="auto"/>
                <w:sz w:val="24"/>
                <w:szCs w:val="24"/>
                <w:highlight w:val="none"/>
                <w:lang w:val="en-US" w:eastAsia="zh-CN"/>
              </w:rPr>
              <w:t>：</w:t>
            </w:r>
          </w:p>
          <w:p w14:paraId="58544C8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a.</w:t>
            </w:r>
            <w:r>
              <w:rPr>
                <w:rFonts w:hint="default" w:cs="Times New Roman"/>
                <w:b w:val="0"/>
                <w:bCs w:val="0"/>
                <w:color w:val="auto"/>
                <w:sz w:val="24"/>
                <w:szCs w:val="24"/>
                <w:highlight w:val="none"/>
                <w:lang w:val="en-US" w:eastAsia="zh-CN"/>
              </w:rPr>
              <w:t>黏土层</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200mm压实黏土</w:t>
            </w:r>
            <w:r>
              <w:rPr>
                <w:rFonts w:hint="eastAsia" w:cs="Times New Roman"/>
                <w:b w:val="0"/>
                <w:bCs w:val="0"/>
                <w:color w:val="auto"/>
                <w:sz w:val="24"/>
                <w:szCs w:val="24"/>
                <w:highlight w:val="none"/>
                <w:lang w:val="en-US" w:eastAsia="zh-CN"/>
              </w:rPr>
              <w:t>；</w:t>
            </w:r>
          </w:p>
          <w:p w14:paraId="62262A6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b.无纺土工布</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600g/m</w:t>
            </w:r>
            <w:r>
              <w:rPr>
                <w:rFonts w:hint="default" w:cs="Times New Roman"/>
                <w:b w:val="0"/>
                <w:bCs w:val="0"/>
                <w:color w:val="auto"/>
                <w:sz w:val="24"/>
                <w:szCs w:val="24"/>
                <w:highlight w:val="none"/>
                <w:vertAlign w:val="superscript"/>
                <w:lang w:val="en-US" w:eastAsia="zh-CN"/>
              </w:rPr>
              <w:t>2</w:t>
            </w:r>
            <w:r>
              <w:rPr>
                <w:rFonts w:hint="default" w:cs="Times New Roman"/>
                <w:b w:val="0"/>
                <w:bCs w:val="0"/>
                <w:color w:val="auto"/>
                <w:sz w:val="24"/>
                <w:szCs w:val="24"/>
                <w:highlight w:val="none"/>
                <w:lang w:val="en-US" w:eastAsia="zh-CN"/>
              </w:rPr>
              <w:t>的无纺土工布</w:t>
            </w:r>
          </w:p>
          <w:p w14:paraId="2865B3D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c.HDPE防渗膜</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1.5mm厚双糙防渗膜</w:t>
            </w:r>
            <w:r>
              <w:rPr>
                <w:rFonts w:hint="eastAsia" w:cs="Times New Roman"/>
                <w:b w:val="0"/>
                <w:bCs w:val="0"/>
                <w:color w:val="auto"/>
                <w:sz w:val="24"/>
                <w:szCs w:val="24"/>
                <w:highlight w:val="none"/>
                <w:lang w:val="en-US" w:eastAsia="zh-CN"/>
              </w:rPr>
              <w:t>；</w:t>
            </w:r>
          </w:p>
          <w:p w14:paraId="3F9E17F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d.无纺土工布</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600g/m</w:t>
            </w:r>
            <w:r>
              <w:rPr>
                <w:rFonts w:hint="default" w:cs="Times New Roman"/>
                <w:b w:val="0"/>
                <w:bCs w:val="0"/>
                <w:color w:val="auto"/>
                <w:sz w:val="24"/>
                <w:szCs w:val="24"/>
                <w:highlight w:val="none"/>
                <w:vertAlign w:val="superscript"/>
                <w:lang w:val="en-US" w:eastAsia="zh-CN"/>
              </w:rPr>
              <w:t>2</w:t>
            </w:r>
            <w:r>
              <w:rPr>
                <w:rFonts w:hint="default" w:cs="Times New Roman"/>
                <w:b w:val="0"/>
                <w:bCs w:val="0"/>
                <w:color w:val="auto"/>
                <w:sz w:val="24"/>
                <w:szCs w:val="24"/>
                <w:highlight w:val="none"/>
                <w:lang w:val="en-US" w:eastAsia="zh-CN"/>
              </w:rPr>
              <w:t>的无纺土工布</w:t>
            </w:r>
            <w:r>
              <w:rPr>
                <w:rFonts w:hint="eastAsia" w:cs="Times New Roman"/>
                <w:b w:val="0"/>
                <w:bCs w:val="0"/>
                <w:color w:val="auto"/>
                <w:sz w:val="24"/>
                <w:szCs w:val="24"/>
                <w:highlight w:val="none"/>
                <w:lang w:val="en-US" w:eastAsia="zh-CN"/>
              </w:rPr>
              <w:t>；</w:t>
            </w:r>
          </w:p>
          <w:p w14:paraId="411BBB2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default" w:cs="Times New Roman"/>
                <w:b w:val="0"/>
                <w:bCs w:val="0"/>
                <w:color w:val="auto"/>
                <w:sz w:val="24"/>
                <w:szCs w:val="24"/>
                <w:highlight w:val="none"/>
                <w:lang w:val="en-US" w:eastAsia="zh-CN"/>
              </w:rPr>
              <w:t>e.黏土层</w:t>
            </w:r>
            <w:r>
              <w:rPr>
                <w:rFonts w:hint="eastAsia" w:cs="Times New Roman"/>
                <w:b w:val="0"/>
                <w:bCs w:val="0"/>
                <w:color w:val="auto"/>
                <w:sz w:val="24"/>
                <w:szCs w:val="24"/>
                <w:highlight w:val="none"/>
                <w:lang w:val="en-US" w:eastAsia="zh-CN"/>
              </w:rPr>
              <w:t>：</w:t>
            </w:r>
            <w:r>
              <w:rPr>
                <w:rFonts w:hint="default" w:cs="Times New Roman"/>
                <w:b w:val="0"/>
                <w:bCs w:val="0"/>
                <w:color w:val="auto"/>
                <w:sz w:val="24"/>
                <w:szCs w:val="24"/>
                <w:highlight w:val="none"/>
                <w:lang w:val="en-US" w:eastAsia="zh-CN"/>
              </w:rPr>
              <w:t>200mm压实黏土</w:t>
            </w:r>
            <w:r>
              <w:rPr>
                <w:rFonts w:hint="eastAsia" w:cs="Times New Roman"/>
                <w:b w:val="0"/>
                <w:bCs w:val="0"/>
                <w:color w:val="auto"/>
                <w:sz w:val="24"/>
                <w:szCs w:val="24"/>
                <w:highlight w:val="none"/>
                <w:lang w:val="en-US" w:eastAsia="zh-CN"/>
              </w:rPr>
              <w:t>。</w:t>
            </w:r>
          </w:p>
          <w:p w14:paraId="54DE206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4"/>
                <w:szCs w:val="24"/>
                <w:highlight w:val="none"/>
                <w:lang w:val="en-US" w:eastAsia="zh-CN"/>
              </w:rPr>
            </w:pPr>
            <w:r>
              <w:rPr>
                <w:color w:val="auto"/>
              </w:rPr>
              <w:drawing>
                <wp:inline distT="0" distB="0" distL="114300" distR="114300">
                  <wp:extent cx="4400550" cy="3450590"/>
                  <wp:effectExtent l="0" t="0" r="0" b="1651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7"/>
                          <a:stretch>
                            <a:fillRect/>
                          </a:stretch>
                        </pic:blipFill>
                        <pic:spPr>
                          <a:xfrm>
                            <a:off x="0" y="0"/>
                            <a:ext cx="4400550" cy="3450590"/>
                          </a:xfrm>
                          <a:prstGeom prst="rect">
                            <a:avLst/>
                          </a:prstGeom>
                          <a:noFill/>
                          <a:ln>
                            <a:noFill/>
                          </a:ln>
                        </pic:spPr>
                      </pic:pic>
                    </a:graphicData>
                  </a:graphic>
                </wp:inline>
              </w:drawing>
            </w:r>
          </w:p>
          <w:p w14:paraId="3F64D59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val="0"/>
                <w:bCs w:val="0"/>
                <w:color w:val="auto"/>
                <w:sz w:val="24"/>
                <w:szCs w:val="24"/>
                <w:highlight w:val="none"/>
                <w:lang w:val="en-US" w:eastAsia="zh-CN"/>
              </w:rPr>
            </w:pPr>
            <w:r>
              <w:rPr>
                <w:rFonts w:hint="eastAsia" w:cs="Times New Roman"/>
                <w:b/>
                <w:bCs/>
                <w:color w:val="auto"/>
                <w:sz w:val="21"/>
                <w:szCs w:val="21"/>
                <w:highlight w:val="none"/>
                <w:lang w:val="en-US" w:eastAsia="zh-CN"/>
              </w:rPr>
              <w:t>图2-11  防渗隔层断面图</w:t>
            </w:r>
          </w:p>
          <w:p w14:paraId="62D16F9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（3）截排水渠设计</w:t>
            </w:r>
          </w:p>
          <w:p w14:paraId="0700D9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次综合治理管控工程场区周围一圈布设环形排水沟拦截场外山体高处流向低处的雨水及山坡汇水，并将其导引至下游，防止外部水流侵入渣堆内部。25、27、28号渣堆排水沟断面呈梯形，口宽1.8m，底宽1.5m，净深1.5m，壁厚0.2m；26号渣堆排水沟断面呈矩形，口宽0.5m，底宽0.5m，净深0.5m，壁厚0.2m，基础采用砂砾石垫层进行处理，渠身采用浆砌片石、水泥砂浆，总长度837.43m。</w:t>
            </w:r>
          </w:p>
          <w:p w14:paraId="01D680D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整理后的渣坡平台楼梯坡脚处布设截水沟，收集从边坡坡面流下来的雨水，并将其迅速排出，避免水在坡脚积聚。截水沟断面呈矩形，口宽0.4m，底宽0.4m，净深0.4m，壁厚0.2m，基础采用砂砾石垫层进行处理，渠身采用浆砌片石、水泥砂浆，总长度368.36m。</w:t>
            </w:r>
          </w:p>
          <w:p w14:paraId="3C7B8F1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表2-6  历史遗留废渣堆截排水工程量</w:t>
            </w:r>
          </w:p>
          <w:tbl>
            <w:tblPr>
              <w:tblStyle w:val="15"/>
              <w:tblW w:w="81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21"/>
              <w:gridCol w:w="2721"/>
              <w:gridCol w:w="2722"/>
            </w:tblGrid>
            <w:tr w14:paraId="27A0DA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721" w:type="dxa"/>
                  <w:tcBorders>
                    <w:tl2br w:val="nil"/>
                    <w:tr2bl w:val="nil"/>
                  </w:tcBorders>
                  <w:vAlign w:val="center"/>
                </w:tcPr>
                <w:p w14:paraId="0875C93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渣堆名称</w:t>
                  </w:r>
                </w:p>
              </w:tc>
              <w:tc>
                <w:tcPr>
                  <w:tcW w:w="2721" w:type="dxa"/>
                  <w:tcBorders>
                    <w:tl2br w:val="nil"/>
                    <w:tr2bl w:val="nil"/>
                  </w:tcBorders>
                  <w:vAlign w:val="center"/>
                </w:tcPr>
                <w:p w14:paraId="3DC71EE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环形排水渠m</w:t>
                  </w:r>
                </w:p>
              </w:tc>
              <w:tc>
                <w:tcPr>
                  <w:tcW w:w="2722" w:type="dxa"/>
                  <w:tcBorders>
                    <w:tl2br w:val="nil"/>
                    <w:tr2bl w:val="nil"/>
                  </w:tcBorders>
                  <w:vAlign w:val="center"/>
                </w:tcPr>
                <w:p w14:paraId="39CEE38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截排水渠m</w:t>
                  </w:r>
                </w:p>
              </w:tc>
            </w:tr>
            <w:tr w14:paraId="24488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1" w:type="dxa"/>
                  <w:tcBorders>
                    <w:tl2br w:val="nil"/>
                    <w:tr2bl w:val="nil"/>
                  </w:tcBorders>
                  <w:vAlign w:val="center"/>
                </w:tcPr>
                <w:p w14:paraId="0D6F6D4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BJ-TB-25</w:t>
                  </w:r>
                </w:p>
              </w:tc>
              <w:tc>
                <w:tcPr>
                  <w:tcW w:w="2721" w:type="dxa"/>
                  <w:vMerge w:val="restart"/>
                  <w:tcBorders>
                    <w:tl2br w:val="nil"/>
                    <w:tr2bl w:val="nil"/>
                  </w:tcBorders>
                  <w:vAlign w:val="center"/>
                </w:tcPr>
                <w:p w14:paraId="2F97C97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615.78</w:t>
                  </w:r>
                </w:p>
              </w:tc>
              <w:tc>
                <w:tcPr>
                  <w:tcW w:w="2722" w:type="dxa"/>
                  <w:vMerge w:val="restart"/>
                  <w:tcBorders>
                    <w:tl2br w:val="nil"/>
                    <w:tr2bl w:val="nil"/>
                  </w:tcBorders>
                  <w:vAlign w:val="center"/>
                </w:tcPr>
                <w:p w14:paraId="4BF60A6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368.36</w:t>
                  </w:r>
                </w:p>
              </w:tc>
            </w:tr>
            <w:tr w14:paraId="0644CF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721" w:type="dxa"/>
                  <w:tcBorders>
                    <w:tl2br w:val="nil"/>
                    <w:tr2bl w:val="nil"/>
                  </w:tcBorders>
                  <w:vAlign w:val="center"/>
                </w:tcPr>
                <w:p w14:paraId="547DC3E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BJ-TB-27</w:t>
                  </w:r>
                </w:p>
              </w:tc>
              <w:tc>
                <w:tcPr>
                  <w:tcW w:w="2721" w:type="dxa"/>
                  <w:vMerge w:val="continue"/>
                  <w:tcBorders>
                    <w:tl2br w:val="nil"/>
                    <w:tr2bl w:val="nil"/>
                  </w:tcBorders>
                  <w:vAlign w:val="center"/>
                </w:tcPr>
                <w:p w14:paraId="58BA38D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p>
              </w:tc>
              <w:tc>
                <w:tcPr>
                  <w:tcW w:w="2722" w:type="dxa"/>
                  <w:vMerge w:val="continue"/>
                  <w:tcBorders>
                    <w:tl2br w:val="nil"/>
                    <w:tr2bl w:val="nil"/>
                  </w:tcBorders>
                  <w:vAlign w:val="center"/>
                </w:tcPr>
                <w:p w14:paraId="1E29AEB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p>
              </w:tc>
            </w:tr>
            <w:tr w14:paraId="588EA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721" w:type="dxa"/>
                  <w:tcBorders>
                    <w:tl2br w:val="nil"/>
                    <w:tr2bl w:val="nil"/>
                  </w:tcBorders>
                  <w:vAlign w:val="center"/>
                </w:tcPr>
                <w:p w14:paraId="3E72FC8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BJ-TB-28</w:t>
                  </w:r>
                </w:p>
              </w:tc>
              <w:tc>
                <w:tcPr>
                  <w:tcW w:w="2721" w:type="dxa"/>
                  <w:vMerge w:val="continue"/>
                  <w:tcBorders>
                    <w:tl2br w:val="nil"/>
                    <w:tr2bl w:val="nil"/>
                  </w:tcBorders>
                  <w:vAlign w:val="center"/>
                </w:tcPr>
                <w:p w14:paraId="3A17F51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p>
              </w:tc>
              <w:tc>
                <w:tcPr>
                  <w:tcW w:w="2722" w:type="dxa"/>
                  <w:vMerge w:val="continue"/>
                  <w:tcBorders>
                    <w:tl2br w:val="nil"/>
                    <w:tr2bl w:val="nil"/>
                  </w:tcBorders>
                  <w:vAlign w:val="center"/>
                </w:tcPr>
                <w:p w14:paraId="4B335F2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p>
              </w:tc>
            </w:tr>
            <w:tr w14:paraId="7719D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721" w:type="dxa"/>
                  <w:tcBorders>
                    <w:tl2br w:val="nil"/>
                    <w:tr2bl w:val="nil"/>
                  </w:tcBorders>
                  <w:vAlign w:val="center"/>
                </w:tcPr>
                <w:p w14:paraId="3D65779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BJ-TB-26</w:t>
                  </w:r>
                </w:p>
              </w:tc>
              <w:tc>
                <w:tcPr>
                  <w:tcW w:w="2721" w:type="dxa"/>
                  <w:tcBorders>
                    <w:tl2br w:val="nil"/>
                    <w:tr2bl w:val="nil"/>
                  </w:tcBorders>
                  <w:vAlign w:val="center"/>
                </w:tcPr>
                <w:p w14:paraId="615B8EF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221.65</w:t>
                  </w:r>
                </w:p>
              </w:tc>
              <w:tc>
                <w:tcPr>
                  <w:tcW w:w="2722" w:type="dxa"/>
                  <w:tcBorders>
                    <w:tl2br w:val="nil"/>
                    <w:tr2bl w:val="nil"/>
                  </w:tcBorders>
                  <w:vAlign w:val="center"/>
                </w:tcPr>
                <w:p w14:paraId="2C5363D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r>
            <w:tr w14:paraId="013C1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721" w:type="dxa"/>
                  <w:tcBorders>
                    <w:tl2br w:val="nil"/>
                    <w:tr2bl w:val="nil"/>
                  </w:tcBorders>
                  <w:vAlign w:val="center"/>
                </w:tcPr>
                <w:p w14:paraId="68C0F16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合计</w:t>
                  </w:r>
                </w:p>
              </w:tc>
              <w:tc>
                <w:tcPr>
                  <w:tcW w:w="2721" w:type="dxa"/>
                  <w:tcBorders>
                    <w:tl2br w:val="nil"/>
                    <w:tr2bl w:val="nil"/>
                  </w:tcBorders>
                  <w:vAlign w:val="center"/>
                </w:tcPr>
                <w:p w14:paraId="1363ECB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837.43</w:t>
                  </w:r>
                </w:p>
              </w:tc>
              <w:tc>
                <w:tcPr>
                  <w:tcW w:w="2722" w:type="dxa"/>
                  <w:tcBorders>
                    <w:tl2br w:val="nil"/>
                    <w:tr2bl w:val="nil"/>
                  </w:tcBorders>
                  <w:vAlign w:val="center"/>
                </w:tcPr>
                <w:p w14:paraId="20B29DA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368.36</w:t>
                  </w:r>
                </w:p>
              </w:tc>
            </w:tr>
          </w:tbl>
          <w:p w14:paraId="1C6E535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（4）矿硐简易封堵设计</w:t>
            </w:r>
          </w:p>
          <w:p w14:paraId="0BBB846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工程共包含废弃采矿硐五处（详见附图6），矿硐编号分别为1-5号，其中1号矿硐硐口尺寸为洞口尺寸2.10m×2.00m（高×宽），2号矿硐硐口尺寸为洞口尺寸2.50m×1.90m（高×宽），3号矿硐硐口尺寸为洞口尺寸2.00m×1.90m（高×宽）：4号矿硐硐口尺寸为洞口尺寸2.30m×2.20m（高×宽）：5号矿硐硐口尺寸为洞口尺寸2.10m×2.20m（高×宽），均采用简易封堵方式进行封堵。简易封堵包括硐口封堵及硐边强化处理，硐口封堵采用挡墙进行封闭，挡墙采用毛石砌筑，强度等级为MU30，砂浆强度等级为M7.5，挡墙下部应至少伸入下部岩体1.5m且埋入稳定基岩中；硐边强化处理是对硐边以外3m范围内的岩体采取防水措施并利用钢筋、密目钢丝网等进行加强。</w:t>
            </w:r>
          </w:p>
          <w:p w14:paraId="00E37A3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5）矿区生态恢复</w:t>
            </w:r>
          </w:p>
          <w:p w14:paraId="0A1CA93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①整体生态修复技术路线</w:t>
            </w:r>
          </w:p>
          <w:p w14:paraId="32BBFE7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太白县咀头镇历史遗留铅锌金矿废渣综合治理工程主要的生态修复内容是对矿渣清理后裸露创面及改性固结的渣堆复绿，使其逐渐恢复自然状态。设计内容包含渣堆清理区域，绿化种植面积7207.51m</w:t>
            </w:r>
            <w:r>
              <w:rPr>
                <w:rFonts w:hint="eastAsia" w:cs="Times New Roman"/>
                <w:b w:val="0"/>
                <w:bCs w:val="0"/>
                <w:color w:val="auto"/>
                <w:sz w:val="24"/>
                <w:szCs w:val="24"/>
                <w:highlight w:val="none"/>
                <w:vertAlign w:val="superscript"/>
                <w:lang w:val="en-US" w:eastAsia="zh-CN"/>
              </w:rPr>
              <w:t>2</w:t>
            </w:r>
            <w:r>
              <w:rPr>
                <w:rFonts w:hint="eastAsia" w:cs="Times New Roman"/>
                <w:b w:val="0"/>
                <w:bCs w:val="0"/>
                <w:color w:val="auto"/>
                <w:sz w:val="24"/>
                <w:szCs w:val="24"/>
                <w:highlight w:val="none"/>
                <w:lang w:val="en-US" w:eastAsia="zh-CN"/>
              </w:rPr>
              <w:t>（投影面积）。生态恢复应充分考虑废渣堆堆存场地、清理后遗留土壤厚度、山体边坡的酸性遗留物等问题。应根据不同边坡长度、不同土壤厚度选择不同生态恢复技术。根据实际工程经验，《裸露坡面植被恢复技术规范》（GB/T38360-2019）、《矿山废弃地植被恢复技术规程》（LY/T2356-2014）设计出适合本项目的生态恢复路线。</w:t>
            </w:r>
          </w:p>
          <w:p w14:paraId="192279C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整体方案布置应在山体稳定无安全隐患的前提下进行，通过对山体整体地形坡度及地形剖面图的分析，应根据不同坡度和实际工程经验，参照《裸露坡面植被恢复技术规范（GB/T38360-2019）》，选择直接覆土绿化，在清理完废渣的裸露面上直接覆盖0.4米厚种植土，人工撒播草籽。</w:t>
            </w:r>
          </w:p>
          <w:p w14:paraId="3FBC11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②覆土绿化</w:t>
            </w:r>
          </w:p>
          <w:p w14:paraId="4405ECE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工程施工工序：松散碎石清理--基土覆盖-人工撒播草籽--养护管理</w:t>
            </w:r>
          </w:p>
          <w:p w14:paraId="0FF1A64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1）斜坡表部松散碎石清理</w:t>
            </w:r>
          </w:p>
          <w:p w14:paraId="08D97A1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消除边坡潜滑区内滑坡物，修整山体地形地貌。边坡表部松散碎石清理采用机械挖掘与人工清理相结合的方法。边坡基本顺直、完整、稳定为准。</w:t>
            </w:r>
          </w:p>
          <w:p w14:paraId="7C00DD5E">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基土覆盖</w:t>
            </w:r>
          </w:p>
          <w:p w14:paraId="6C31FC4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在处理好的坡面进行绿化种植土覆盖，覆土厚</w:t>
            </w:r>
            <w:r>
              <w:rPr>
                <w:rFonts w:hint="eastAsia" w:cs="Times New Roman"/>
                <w:b w:val="0"/>
                <w:bCs w:val="0"/>
                <w:color w:val="auto"/>
                <w:sz w:val="24"/>
                <w:szCs w:val="24"/>
                <w:highlight w:val="none"/>
                <w:lang w:val="en-US" w:eastAsia="zh-CN"/>
              </w:rPr>
              <w:t>0.4</w:t>
            </w:r>
            <w:r>
              <w:rPr>
                <w:rFonts w:hint="default" w:ascii="Times New Roman" w:hAnsi="Times New Roman" w:cs="Times New Roman"/>
                <w:b w:val="0"/>
                <w:bCs w:val="0"/>
                <w:color w:val="auto"/>
                <w:sz w:val="24"/>
                <w:szCs w:val="24"/>
                <w:highlight w:val="none"/>
                <w:lang w:val="en-US" w:eastAsia="zh-CN"/>
              </w:rPr>
              <w:t>米，为后期人工撒播草籽做好准备工作。本次取土地位于太白县咀头镇陈家坪，面积约13000m</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lang w:val="en-US" w:eastAsia="zh-CN"/>
              </w:rPr>
              <w:t>，地理坐标为东经107°14'1.71"，北纬34°1'42.89"。土壤类型为黄褐土，土层较厚，土壤保水保肥能力较强，自然肥力较强，可保证本项目覆土工程估算所需的2883m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lang w:val="en-US" w:eastAsia="zh-CN"/>
              </w:rPr>
              <w:t>土源，运距约14km。</w:t>
            </w:r>
          </w:p>
          <w:p w14:paraId="78470F2C">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绿化种植</w:t>
            </w:r>
          </w:p>
          <w:p w14:paraId="0B6FBF8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本项目生态恢复面积总计7207.51m</w:t>
            </w:r>
            <w:r>
              <w:rPr>
                <w:rFonts w:hint="eastAsia" w:cs="Times New Roman"/>
                <w:b w:val="0"/>
                <w:bCs w:val="0"/>
                <w:color w:val="auto"/>
                <w:sz w:val="24"/>
                <w:szCs w:val="24"/>
                <w:highlight w:val="none"/>
                <w:vertAlign w:val="superscript"/>
                <w:lang w:val="en-US" w:eastAsia="zh-CN"/>
              </w:rPr>
              <w:t>2</w:t>
            </w:r>
            <w:r>
              <w:rPr>
                <w:rFonts w:hint="eastAsia" w:cs="Times New Roman"/>
                <w:b w:val="0"/>
                <w:bCs w:val="0"/>
                <w:color w:val="auto"/>
                <w:sz w:val="24"/>
                <w:szCs w:val="24"/>
                <w:highlight w:val="none"/>
                <w:lang w:val="en-US" w:eastAsia="zh-CN"/>
              </w:rPr>
              <w:t>，草种为草灌混合草籽，每公顷按60kg计算，共覆土2883m</w:t>
            </w:r>
            <w:r>
              <w:rPr>
                <w:rFonts w:hint="eastAsia" w:cs="Times New Roman"/>
                <w:b w:val="0"/>
                <w:bCs w:val="0"/>
                <w:color w:val="auto"/>
                <w:sz w:val="24"/>
                <w:szCs w:val="24"/>
                <w:highlight w:val="none"/>
                <w:vertAlign w:val="superscript"/>
                <w:lang w:val="en-US" w:eastAsia="zh-CN"/>
              </w:rPr>
              <w:t>3</w:t>
            </w:r>
            <w:r>
              <w:rPr>
                <w:rFonts w:hint="eastAsia" w:cs="Times New Roman"/>
                <w:b w:val="0"/>
                <w:bCs w:val="0"/>
                <w:color w:val="auto"/>
                <w:sz w:val="24"/>
                <w:szCs w:val="24"/>
                <w:highlight w:val="none"/>
                <w:lang w:val="en-US" w:eastAsia="zh-CN"/>
              </w:rPr>
              <w:t>，共需撒播草籽43.2kg。采用人工播撒草种的方式进行播种，播撒后用耙子耙平使种子与土壤充分接触。为了提高种子的生长发芽率，保证植物的生长质量，延长绿期，可在营养土中加入保水剂，保水剂可在植物种子以及植被长成后根系附近吸水形成水凝胶，使根系及时获得水分营养，使环保草毯及周边生长基质的持水量大大提高，从而促进植物生长，同时土壤水流失量的降低也使用水量和浇水次数减少。</w:t>
            </w:r>
          </w:p>
          <w:p w14:paraId="60C2CBD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3）养护管理</w:t>
            </w:r>
          </w:p>
          <w:p w14:paraId="624FFD1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绿化后期浇水、打药等工作，来确保绿化草籽的成活量和绿化效果的展示。养护期为期一年。</w:t>
            </w:r>
          </w:p>
          <w:p w14:paraId="2790B44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（6）监测工程设计</w:t>
            </w:r>
          </w:p>
          <w:p w14:paraId="415A672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观测点的布置：观测点设在两侧坝肩及伸缩缝处，每个坝体观测点数不少于3个。为了便于观测，位移观测点布置于通视好位置，以减少搬动仪器的次数而造成的误差叠加。</w:t>
            </w:r>
          </w:p>
          <w:p w14:paraId="0F30AF0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观测点采用C20现浇观测标桩，中心采用≥</w:t>
            </w:r>
            <w:r>
              <w:rPr>
                <w:rFonts w:hint="eastAsia" w:ascii="微软雅黑" w:hAnsi="微软雅黑" w:eastAsia="微软雅黑" w:cs="微软雅黑"/>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16钢筋制作，采用后植筋锚固方式埋入观测标桩内，外露部分顶端磨成半球形，中间刻十字，并涂上防腐漆。根据观测原则要求，5#拦渣坝坝体及4#拦渣坝墙体分别布置2个及3个沉降观测点。</w:t>
            </w:r>
          </w:p>
          <w:p w14:paraId="4A44195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2.施工时序</w:t>
            </w:r>
          </w:p>
          <w:p w14:paraId="35F6C2A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b/>
                <w:bCs/>
                <w:color w:val="auto"/>
                <w:highlight w:val="none"/>
                <w:lang w:val="en-US" w:eastAsia="zh-CN"/>
              </w:rPr>
            </w:pPr>
            <w:r>
              <w:rPr>
                <w:rFonts w:hint="eastAsia" w:cs="Times New Roman"/>
                <w:b w:val="0"/>
                <w:bCs w:val="0"/>
                <w:color w:val="auto"/>
                <w:sz w:val="24"/>
                <w:szCs w:val="24"/>
                <w:highlight w:val="none"/>
                <w:lang w:val="en-US" w:eastAsia="zh-CN"/>
              </w:rPr>
              <w:t>根据项目施工设计可知，施工工期划分为三个阶段：施工准备期：准备期为4个月。主要工作为主体工程施工做必要的准备；主体工程施工期：主体工程施工期为7个月。工程主体工程施工完毕；工程收尾期：收尾期为1个月，完成竣工验收。</w:t>
            </w:r>
          </w:p>
        </w:tc>
      </w:tr>
      <w:tr w14:paraId="49DF1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10" w:type="dxa"/>
            <w:tcBorders>
              <w:tl2br w:val="nil"/>
              <w:tr2bl w:val="nil"/>
            </w:tcBorders>
            <w:noWrap w:val="0"/>
            <w:vAlign w:val="center"/>
          </w:tcPr>
          <w:p w14:paraId="07B4D3AB">
            <w:pPr>
              <w:adjustRightInd w:val="0"/>
              <w:snapToGrid w:val="0"/>
              <w:jc w:val="center"/>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其他</w:t>
            </w:r>
          </w:p>
        </w:tc>
        <w:tc>
          <w:tcPr>
            <w:tcW w:w="8380" w:type="dxa"/>
            <w:tcBorders>
              <w:tl2br w:val="nil"/>
              <w:tr2bl w:val="nil"/>
            </w:tcBorders>
            <w:noWrap w:val="0"/>
            <w:vAlign w:val="center"/>
          </w:tcPr>
          <w:p w14:paraId="5F301500">
            <w:pPr>
              <w:jc w:val="center"/>
              <w:rPr>
                <w:rFonts w:hint="default" w:cs="Times New Roman"/>
                <w:b/>
                <w:bCs/>
                <w:color w:val="auto"/>
                <w:highlight w:val="none"/>
                <w:lang w:val="en-US" w:eastAsia="zh-CN"/>
              </w:rPr>
            </w:pPr>
            <w:r>
              <w:rPr>
                <w:rFonts w:hint="eastAsia" w:cs="Times New Roman"/>
                <w:b/>
                <w:bCs/>
                <w:color w:val="auto"/>
                <w:highlight w:val="none"/>
                <w:lang w:val="en-US" w:eastAsia="zh-CN"/>
              </w:rPr>
              <w:t>无</w:t>
            </w:r>
          </w:p>
        </w:tc>
      </w:tr>
    </w:tbl>
    <w:p w14:paraId="74B5618F">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7D3537A">
      <w:pPr>
        <w:pStyle w:val="13"/>
        <w:keepNext w:val="0"/>
        <w:keepLines w:val="0"/>
        <w:pageBreakBefore w:val="0"/>
        <w:widowControl/>
        <w:kinsoku/>
        <w:wordWrap/>
        <w:overflowPunct/>
        <w:topLinePunct w:val="0"/>
        <w:autoSpaceDE/>
        <w:autoSpaceDN/>
        <w:bidi w:val="0"/>
        <w:adjustRightInd/>
        <w:snapToGrid w:val="0"/>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5" w:name="_Toc30910"/>
      <w:r>
        <w:rPr>
          <w:rFonts w:hint="default" w:ascii="Times New Roman" w:hAnsi="Times New Roman" w:eastAsia="黑体" w:cs="Times New Roman"/>
          <w:snapToGrid w:val="0"/>
          <w:color w:val="auto"/>
          <w:sz w:val="30"/>
          <w:szCs w:val="30"/>
          <w:highlight w:val="none"/>
        </w:rPr>
        <w:t>三、生态环境现状、保护目标及评价标准</w:t>
      </w:r>
      <w:bookmarkEnd w:id="5"/>
    </w:p>
    <w:tbl>
      <w:tblPr>
        <w:tblStyle w:val="14"/>
        <w:tblW w:w="91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5"/>
        <w:gridCol w:w="8302"/>
      </w:tblGrid>
      <w:tr w14:paraId="73DE5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5" w:type="dxa"/>
            <w:tcBorders>
              <w:tl2br w:val="nil"/>
              <w:tr2bl w:val="nil"/>
            </w:tcBorders>
            <w:noWrap w:val="0"/>
            <w:vAlign w:val="center"/>
          </w:tcPr>
          <w:p w14:paraId="2F2E5E81">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生态环境现状</w:t>
            </w:r>
          </w:p>
        </w:tc>
        <w:tc>
          <w:tcPr>
            <w:tcW w:w="8302" w:type="dxa"/>
            <w:tcBorders>
              <w:tl2br w:val="nil"/>
              <w:tr2bl w:val="nil"/>
            </w:tcBorders>
            <w:noWrap w:val="0"/>
            <w:vAlign w:val="center"/>
          </w:tcPr>
          <w:p w14:paraId="270890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auto"/>
                <w:kern w:val="2"/>
                <w:sz w:val="24"/>
                <w:szCs w:val="32"/>
                <w:highlight w:val="none"/>
                <w:lang w:val="en-US" w:eastAsia="zh-CN" w:bidi="ar-SA"/>
              </w:rPr>
            </w:pPr>
            <w:r>
              <w:rPr>
                <w:rFonts w:hint="eastAsia" w:cs="Times New Roman"/>
                <w:b/>
                <w:bCs/>
                <w:color w:val="auto"/>
                <w:kern w:val="2"/>
                <w:sz w:val="24"/>
                <w:szCs w:val="32"/>
                <w:highlight w:val="none"/>
                <w:lang w:val="en-US" w:eastAsia="zh-CN" w:bidi="ar-SA"/>
              </w:rPr>
              <w:t>1.</w:t>
            </w:r>
            <w:r>
              <w:rPr>
                <w:rFonts w:hint="default" w:ascii="Times New Roman" w:hAnsi="Times New Roman" w:cs="Times New Roman"/>
                <w:b/>
                <w:bCs/>
                <w:color w:val="auto"/>
                <w:kern w:val="2"/>
                <w:sz w:val="24"/>
                <w:szCs w:val="32"/>
                <w:highlight w:val="none"/>
                <w:lang w:val="en-US" w:eastAsia="zh-CN" w:bidi="ar-SA"/>
              </w:rPr>
              <w:t>生态环境现状</w:t>
            </w:r>
          </w:p>
          <w:p w14:paraId="09C854A6">
            <w:pPr>
              <w:adjustRightInd w:val="0"/>
              <w:snapToGrid w:val="0"/>
              <w:spacing w:line="360" w:lineRule="auto"/>
              <w:ind w:firstLine="480" w:firstLineChars="200"/>
              <w:rPr>
                <w:rFonts w:hint="default"/>
                <w:color w:val="auto"/>
                <w:kern w:val="0"/>
                <w:sz w:val="24"/>
                <w:highlight w:val="none"/>
                <w:lang w:val="en-US" w:eastAsia="zh-CN"/>
              </w:rPr>
            </w:pPr>
            <w:r>
              <w:rPr>
                <w:rFonts w:hint="eastAsia"/>
                <w:color w:val="auto"/>
                <w:kern w:val="0"/>
                <w:sz w:val="24"/>
                <w:highlight w:val="none"/>
                <w:lang w:val="en-US" w:eastAsia="zh-CN"/>
              </w:rPr>
              <w:t>（1）评级范围</w:t>
            </w:r>
          </w:p>
          <w:p w14:paraId="125F3BC0">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根据《环境影响评价技术导则 生态影响》（HJ 19-2022），污染影响类建设项目评价范围应涵盖直接占用区域以及污染物排放产生的间接生态影响区域</w:t>
            </w:r>
            <w:r>
              <w:rPr>
                <w:rFonts w:hint="eastAsia"/>
                <w:color w:val="auto"/>
                <w:kern w:val="0"/>
                <w:sz w:val="24"/>
                <w:highlight w:val="none"/>
                <w:lang w:val="en-US" w:eastAsia="zh-CN"/>
              </w:rPr>
              <w:fldChar w:fldCharType="begin"/>
            </w:r>
            <w:r>
              <w:rPr>
                <w:rFonts w:hint="eastAsia"/>
                <w:color w:val="auto"/>
                <w:kern w:val="0"/>
                <w:sz w:val="24"/>
                <w:highlight w:val="none"/>
                <w:lang w:val="en-US" w:eastAsia="zh-CN"/>
              </w:rPr>
              <w:instrText xml:space="preserve"> HYPERLINK "http://sthjj.naqu.gov.cn/nqssthjj/zcwj/202208/dab5a3818233492385b94b8612db375a.shtml" \t "https://chat.deepseek.com/a/chat/s/_blank" </w:instrText>
            </w:r>
            <w:r>
              <w:rPr>
                <w:rFonts w:hint="eastAsia"/>
                <w:color w:val="auto"/>
                <w:kern w:val="0"/>
                <w:sz w:val="24"/>
                <w:highlight w:val="none"/>
                <w:lang w:val="en-US" w:eastAsia="zh-CN"/>
              </w:rPr>
              <w:fldChar w:fldCharType="separate"/>
            </w:r>
            <w:r>
              <w:rPr>
                <w:rFonts w:hint="eastAsia"/>
                <w:color w:val="auto"/>
                <w:kern w:val="0"/>
                <w:sz w:val="24"/>
                <w:highlight w:val="none"/>
                <w:lang w:val="en-US" w:eastAsia="zh-CN"/>
              </w:rPr>
              <w:fldChar w:fldCharType="end"/>
            </w:r>
            <w:r>
              <w:rPr>
                <w:rFonts w:hint="eastAsia"/>
                <w:color w:val="auto"/>
                <w:kern w:val="0"/>
                <w:sz w:val="24"/>
                <w:highlight w:val="none"/>
                <w:lang w:val="en-US" w:eastAsia="zh-CN"/>
              </w:rPr>
              <w:t>。本项目为矿山修复治理工程，评价范围确定为各渣堆工程占地范围及外扩500m范围</w:t>
            </w:r>
            <w:r>
              <w:rPr>
                <w:rFonts w:hint="eastAsia"/>
                <w:color w:val="auto"/>
                <w:kern w:val="0"/>
                <w:sz w:val="24"/>
                <w:highlight w:val="none"/>
                <w:lang w:val="en-US" w:eastAsia="zh-CN"/>
              </w:rPr>
              <w:fldChar w:fldCharType="begin"/>
            </w:r>
            <w:r>
              <w:rPr>
                <w:rFonts w:hint="eastAsia"/>
                <w:color w:val="auto"/>
                <w:kern w:val="0"/>
                <w:sz w:val="24"/>
                <w:highlight w:val="none"/>
                <w:lang w:val="en-US" w:eastAsia="zh-CN"/>
              </w:rPr>
              <w:instrText xml:space="preserve"> HYPERLINK "https://hbj.ankang.gov.cn/UploadFiles/akjyhfj17/file/20250806/20250806085420_6840.pdf" \l "47#9" \t "https://chat.deepseek.com/a/chat/s/_blank" </w:instrText>
            </w:r>
            <w:r>
              <w:rPr>
                <w:rFonts w:hint="eastAsia"/>
                <w:color w:val="auto"/>
                <w:kern w:val="0"/>
                <w:sz w:val="24"/>
                <w:highlight w:val="none"/>
                <w:lang w:val="en-US" w:eastAsia="zh-CN"/>
              </w:rPr>
              <w:fldChar w:fldCharType="separate"/>
            </w:r>
            <w:r>
              <w:rPr>
                <w:rFonts w:hint="eastAsia"/>
                <w:color w:val="auto"/>
                <w:kern w:val="0"/>
                <w:sz w:val="24"/>
                <w:highlight w:val="none"/>
                <w:lang w:val="en-US" w:eastAsia="zh-CN"/>
              </w:rPr>
              <w:fldChar w:fldCharType="end"/>
            </w:r>
            <w:r>
              <w:rPr>
                <w:rFonts w:hint="eastAsia"/>
                <w:color w:val="auto"/>
                <w:kern w:val="0"/>
                <w:sz w:val="24"/>
                <w:highlight w:val="none"/>
                <w:lang w:val="en-US" w:eastAsia="zh-CN"/>
              </w:rPr>
              <w:t>。本项目不涉及生态保护红线、自然保护区等特殊敏感区，生态影响评价等级为三级。</w:t>
            </w:r>
          </w:p>
          <w:p w14:paraId="30A90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olor w:val="auto"/>
                <w:kern w:val="0"/>
                <w:sz w:val="24"/>
                <w:highlight w:val="none"/>
                <w:lang w:val="en-US" w:eastAsia="zh-CN"/>
              </w:rPr>
            </w:pPr>
            <w:r>
              <w:rPr>
                <w:color w:val="auto"/>
              </w:rPr>
              <w:drawing>
                <wp:inline distT="0" distB="0" distL="114300" distR="114300">
                  <wp:extent cx="5124450" cy="3333115"/>
                  <wp:effectExtent l="0" t="0" r="0" b="6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8"/>
                          <a:stretch>
                            <a:fillRect/>
                          </a:stretch>
                        </pic:blipFill>
                        <pic:spPr>
                          <a:xfrm>
                            <a:off x="0" y="0"/>
                            <a:ext cx="5124450" cy="3333115"/>
                          </a:xfrm>
                          <a:prstGeom prst="rect">
                            <a:avLst/>
                          </a:prstGeom>
                          <a:noFill/>
                          <a:ln>
                            <a:noFill/>
                          </a:ln>
                        </pic:spPr>
                      </pic:pic>
                    </a:graphicData>
                  </a:graphic>
                </wp:inline>
              </w:drawing>
            </w:r>
          </w:p>
          <w:p w14:paraId="3F3DC2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b/>
                <w:bCs/>
                <w:color w:val="auto"/>
                <w:kern w:val="0"/>
                <w:sz w:val="21"/>
                <w:szCs w:val="21"/>
                <w:highlight w:val="none"/>
                <w:lang w:val="en-US" w:eastAsia="zh-CN"/>
              </w:rPr>
            </w:pPr>
            <w:r>
              <w:rPr>
                <w:rFonts w:hint="eastAsia"/>
                <w:b/>
                <w:bCs/>
                <w:color w:val="auto"/>
                <w:kern w:val="0"/>
                <w:sz w:val="21"/>
                <w:szCs w:val="21"/>
                <w:highlight w:val="none"/>
                <w:lang w:val="en-US" w:eastAsia="zh-CN"/>
              </w:rPr>
              <w:t>图3-1  本项目生态评价范围图</w:t>
            </w:r>
          </w:p>
          <w:p w14:paraId="7610FD0C">
            <w:pPr>
              <w:adjustRightInd w:val="0"/>
              <w:snapToGrid w:val="0"/>
              <w:spacing w:line="360" w:lineRule="auto"/>
              <w:ind w:firstLine="480" w:firstLineChars="200"/>
              <w:rPr>
                <w:rFonts w:hint="eastAsia"/>
                <w:color w:val="auto"/>
                <w:kern w:val="0"/>
                <w:sz w:val="24"/>
                <w:highlight w:val="none"/>
                <w:lang w:val="en-US" w:eastAsia="zh-CN"/>
              </w:rPr>
            </w:pPr>
            <w:r>
              <w:rPr>
                <w:rFonts w:hint="default" w:ascii="Times New Roman" w:hAnsi="Times New Roman" w:eastAsia="宋体" w:cs="Times New Roman"/>
                <w:color w:val="auto"/>
                <w:kern w:val="0"/>
                <w:sz w:val="24"/>
                <w:szCs w:val="24"/>
                <w:highlight w:val="none"/>
              </w:rPr>
              <w:t>根</w:t>
            </w:r>
            <w:r>
              <w:rPr>
                <w:rFonts w:hint="default" w:ascii="Times New Roman" w:hAnsi="Times New Roman" w:eastAsia="宋体" w:cs="Times New Roman"/>
                <w:color w:val="auto"/>
                <w:kern w:val="0"/>
                <w:sz w:val="24"/>
                <w:szCs w:val="24"/>
                <w:highlight w:val="none"/>
                <w:lang w:val="en-US" w:eastAsia="zh-CN"/>
              </w:rPr>
              <w:t>据</w:t>
            </w:r>
            <w:r>
              <w:rPr>
                <w:rFonts w:hint="default" w:ascii="Times New Roman" w:hAnsi="Times New Roman" w:eastAsia="宋体" w:cs="Times New Roman"/>
                <w:color w:val="auto"/>
                <w:kern w:val="0"/>
                <w:sz w:val="24"/>
                <w:szCs w:val="24"/>
                <w:highlight w:val="none"/>
              </w:rPr>
              <w:t>《环境影响评价技术导则生态影响》（HJ19-2022）</w:t>
            </w:r>
            <w:r>
              <w:rPr>
                <w:rFonts w:hint="eastAsia" w:ascii="Times New Roman" w:hAnsi="Times New Roman" w:eastAsia="宋体" w:cs="Times New Roman"/>
                <w:color w:val="auto"/>
                <w:kern w:val="0"/>
                <w:sz w:val="24"/>
                <w:szCs w:val="24"/>
                <w:highlight w:val="none"/>
                <w:lang w:val="en-US" w:eastAsia="zh-CN"/>
              </w:rPr>
              <w:t>分析，</w:t>
            </w:r>
            <w:r>
              <w:rPr>
                <w:rFonts w:hint="default" w:ascii="Times New Roman" w:hAnsi="Times New Roman" w:eastAsia="宋体" w:cs="Times New Roman"/>
                <w:color w:val="auto"/>
                <w:kern w:val="0"/>
                <w:sz w:val="24"/>
                <w:szCs w:val="24"/>
                <w:highlight w:val="none"/>
              </w:rPr>
              <w:t>生态影响评价等级为</w:t>
            </w:r>
            <w:r>
              <w:rPr>
                <w:rFonts w:hint="eastAsia" w:ascii="Times New Roman" w:hAnsi="Times New Roman" w:eastAsia="宋体" w:cs="Times New Roman"/>
                <w:color w:val="auto"/>
                <w:kern w:val="0"/>
                <w:sz w:val="24"/>
                <w:szCs w:val="24"/>
                <w:highlight w:val="none"/>
                <w:lang w:val="en-US" w:eastAsia="zh-CN"/>
              </w:rPr>
              <w:t>三</w:t>
            </w:r>
            <w:r>
              <w:rPr>
                <w:rFonts w:hint="default" w:ascii="Times New Roman" w:hAnsi="Times New Roman" w:eastAsia="宋体" w:cs="Times New Roman"/>
                <w:color w:val="auto"/>
                <w:kern w:val="0"/>
                <w:sz w:val="24"/>
                <w:szCs w:val="24"/>
                <w:highlight w:val="none"/>
              </w:rPr>
              <w:t>级。</w:t>
            </w:r>
            <w:r>
              <w:rPr>
                <w:rFonts w:hint="default" w:ascii="Times New Roman" w:hAnsi="Times New Roman" w:eastAsia="宋体" w:cs="Times New Roman"/>
                <w:color w:val="auto"/>
                <w:kern w:val="0"/>
                <w:sz w:val="24"/>
                <w:szCs w:val="24"/>
                <w:highlight w:val="none"/>
                <w:lang w:val="en-US" w:eastAsia="zh-CN"/>
              </w:rPr>
              <w:t>三级</w:t>
            </w:r>
            <w:r>
              <w:rPr>
                <w:rFonts w:hint="eastAsia" w:ascii="Times New Roman" w:hAnsi="Times New Roman" w:eastAsia="宋体" w:cs="Times New Roman"/>
                <w:color w:val="auto"/>
                <w:kern w:val="0"/>
                <w:sz w:val="24"/>
                <w:szCs w:val="24"/>
                <w:highlight w:val="none"/>
                <w:lang w:val="en-US" w:eastAsia="zh-CN"/>
              </w:rPr>
              <w:t>生态</w:t>
            </w:r>
            <w:r>
              <w:rPr>
                <w:rFonts w:hint="default" w:ascii="Times New Roman" w:hAnsi="Times New Roman" w:eastAsia="宋体" w:cs="Times New Roman"/>
                <w:color w:val="auto"/>
                <w:kern w:val="0"/>
                <w:sz w:val="24"/>
                <w:szCs w:val="24"/>
                <w:highlight w:val="none"/>
                <w:lang w:val="en-US" w:eastAsia="zh-CN"/>
              </w:rPr>
              <w:t>现状调查以收集有效资料为主</w:t>
            </w:r>
            <w:r>
              <w:rPr>
                <w:rFonts w:hint="eastAsia" w:cs="Times New Roman"/>
                <w:color w:val="auto"/>
                <w:kern w:val="0"/>
                <w:sz w:val="24"/>
                <w:szCs w:val="24"/>
                <w:highlight w:val="none"/>
                <w:lang w:val="en-US" w:eastAsia="zh-CN"/>
              </w:rPr>
              <w:t>。</w:t>
            </w:r>
          </w:p>
          <w:p w14:paraId="0C2375B8">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（2）主体功能区规划</w:t>
            </w:r>
          </w:p>
          <w:p w14:paraId="34A68313">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陕西省主体功能区规划图（附图8），本项目所在区域属于国家层面限制开发区域（重点生态功能区），不宜进行大规模高强度工业化城镇开发的区域。本项目属于历史遗留弃渣污染治理修复项目，在项目弃渣库修复治理过程中应注重水土流失的控制，在加强项目区域的生态保护措施后，本项目符合陕西省主体功能区划的要求。</w:t>
            </w:r>
          </w:p>
          <w:p w14:paraId="4ACB482A">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（3）生态功能区划</w:t>
            </w:r>
          </w:p>
          <w:p w14:paraId="40C8A4F4">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根据陕西省生态功能区划图（附图9），本项目所在区域属于秦巴山落叶阔叶、常绿阔叶混交林生态区-秦岭山地水源涵养与生物多样性保育生态亚区-秦岭中高山生物多样性保护区。</w:t>
            </w:r>
          </w:p>
          <w:p w14:paraId="3A7A5E3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项目在弃渣库修复治理过程中应该注重水土流失及区域内的生态环境保护工作。本项目将按照要求编制水土保持方案，制定水土保持控制目标，采取工程措施、植物措施相结合控制水土流失量，本项目建设符合生态功能区划。</w:t>
            </w:r>
          </w:p>
          <w:p w14:paraId="397EBFCB">
            <w:pPr>
              <w:pStyle w:val="12"/>
              <w:keepNext w:val="0"/>
              <w:keepLines w:val="0"/>
              <w:pageBreakBefore w:val="0"/>
              <w:widowControl w:val="0"/>
              <w:numPr>
                <w:ilvl w:val="0"/>
                <w:numId w:val="0"/>
              </w:numPr>
              <w:kinsoku/>
              <w:wordWrap/>
              <w:overflowPunct/>
              <w:topLinePunct w:val="0"/>
              <w:autoSpaceDE/>
              <w:autoSpaceDN/>
              <w:bidi w:val="0"/>
              <w:spacing w:line="360" w:lineRule="auto"/>
              <w:ind w:leftChars="0" w:firstLine="480" w:firstLineChars="200"/>
              <w:textAlignment w:val="auto"/>
              <w:rPr>
                <w:rFonts w:hint="default" w:ascii="Times New Roman" w:hAnsi="Times New Roman" w:cs="Times New Roman"/>
                <w:color w:val="auto"/>
                <w:sz w:val="24"/>
                <w:szCs w:val="32"/>
                <w:highlight w:val="none"/>
                <w:lang w:val="en-US" w:eastAsia="zh-CN"/>
              </w:rPr>
            </w:pPr>
            <w:r>
              <w:rPr>
                <w:rFonts w:hint="eastAsia" w:cs="Times New Roman"/>
                <w:color w:val="auto"/>
                <w:sz w:val="24"/>
                <w:szCs w:val="32"/>
                <w:highlight w:val="none"/>
                <w:lang w:val="en-US" w:eastAsia="zh-CN"/>
              </w:rPr>
              <w:t>根据《宝鸡市水土流失重点防治区划分成果图》，本工程位于宝鸡市水土流失重点预防区，</w:t>
            </w:r>
            <w:r>
              <w:rPr>
                <w:rFonts w:hint="default" w:ascii="Times New Roman" w:hAnsi="Times New Roman" w:cs="Times New Roman"/>
                <w:color w:val="auto"/>
                <w:sz w:val="24"/>
                <w:szCs w:val="32"/>
                <w:highlight w:val="none"/>
                <w:lang w:val="en-US" w:eastAsia="zh-CN"/>
              </w:rPr>
              <w:t>因本工程施工期采取了严格的生态保护措施，尽量减轻水土流失，减少工程建设对沿线植被的破坏和原地貌的扰动，最大</w:t>
            </w:r>
            <w:r>
              <w:rPr>
                <w:rFonts w:hint="eastAsia" w:cs="Times New Roman"/>
                <w:color w:val="auto"/>
                <w:sz w:val="24"/>
                <w:szCs w:val="32"/>
                <w:highlight w:val="none"/>
                <w:lang w:val="en-US" w:eastAsia="zh-CN"/>
              </w:rPr>
              <w:t>限度地降低了</w:t>
            </w:r>
            <w:r>
              <w:rPr>
                <w:rFonts w:hint="default" w:ascii="Times New Roman" w:hAnsi="Times New Roman" w:cs="Times New Roman"/>
                <w:color w:val="auto"/>
                <w:sz w:val="24"/>
                <w:szCs w:val="32"/>
                <w:highlight w:val="none"/>
                <w:lang w:val="en-US" w:eastAsia="zh-CN"/>
              </w:rPr>
              <w:t>生态影响。</w:t>
            </w:r>
          </w:p>
          <w:p w14:paraId="3F77560B">
            <w:pPr>
              <w:pStyle w:val="12"/>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cs="Times New Roman"/>
                <w:color w:val="auto"/>
                <w:sz w:val="24"/>
                <w:szCs w:val="32"/>
                <w:highlight w:val="none"/>
                <w:lang w:val="en-US" w:eastAsia="zh-CN"/>
              </w:rPr>
            </w:pPr>
            <w:r>
              <w:rPr>
                <w:color w:val="auto"/>
              </w:rPr>
              <w:drawing>
                <wp:inline distT="0" distB="0" distL="114300" distR="114300">
                  <wp:extent cx="4079240" cy="2882265"/>
                  <wp:effectExtent l="0" t="0" r="16510" b="1333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9"/>
                          <a:stretch>
                            <a:fillRect/>
                          </a:stretch>
                        </pic:blipFill>
                        <pic:spPr>
                          <a:xfrm>
                            <a:off x="0" y="0"/>
                            <a:ext cx="4079240" cy="2882265"/>
                          </a:xfrm>
                          <a:prstGeom prst="rect">
                            <a:avLst/>
                          </a:prstGeom>
                          <a:noFill/>
                          <a:ln>
                            <a:noFill/>
                          </a:ln>
                        </pic:spPr>
                      </pic:pic>
                    </a:graphicData>
                  </a:graphic>
                </wp:inline>
              </w:drawing>
            </w:r>
          </w:p>
          <w:p w14:paraId="70C4CD4C">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default" w:ascii="Times New Roman" w:hAnsi="Times New Roman" w:cs="Times New Roman"/>
                <w:color w:val="auto"/>
                <w:sz w:val="24"/>
                <w:szCs w:val="32"/>
                <w:highlight w:val="none"/>
                <w:lang w:val="en-US" w:eastAsia="zh-CN"/>
              </w:rPr>
            </w:pPr>
            <w:r>
              <w:rPr>
                <w:rFonts w:hint="eastAsia" w:ascii="Times New Roman" w:hAnsi="Times New Roman" w:cs="Times New Roman"/>
                <w:b/>
                <w:bCs/>
                <w:color w:val="auto"/>
                <w:sz w:val="21"/>
                <w:szCs w:val="21"/>
                <w:highlight w:val="none"/>
                <w:lang w:val="en-US" w:eastAsia="zh-CN"/>
              </w:rPr>
              <w:t>图3-</w:t>
            </w:r>
            <w:r>
              <w:rPr>
                <w:rFonts w:hint="eastAsia" w:cs="Times New Roman"/>
                <w:b/>
                <w:bCs/>
                <w:color w:val="auto"/>
                <w:sz w:val="21"/>
                <w:szCs w:val="21"/>
                <w:highlight w:val="none"/>
                <w:lang w:val="en-US" w:eastAsia="zh-CN"/>
              </w:rPr>
              <w:t>2</w:t>
            </w:r>
            <w:r>
              <w:rPr>
                <w:rFonts w:hint="eastAsia" w:ascii="Times New Roman" w:hAnsi="Times New Roman" w:cs="Times New Roman"/>
                <w:b/>
                <w:bCs/>
                <w:color w:val="auto"/>
                <w:sz w:val="21"/>
                <w:szCs w:val="21"/>
                <w:highlight w:val="none"/>
                <w:lang w:val="en-US" w:eastAsia="zh-CN"/>
              </w:rPr>
              <w:t xml:space="preserve">  本工程在宝鸡市水土流失重点防治区的位置关系图</w:t>
            </w:r>
          </w:p>
          <w:p w14:paraId="655CA4B7">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（4）土地利用类型</w:t>
            </w:r>
          </w:p>
          <w:p w14:paraId="1FB0ED25">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现场调查，工程拟治理区域土地利用类型主要为采矿用地，区域内土壤以黄褐土和黄棕壤为主。其中黄褐土：主要分布于900m以下的坡塬地，土质黏重，结构紧实僵硬，胀缩性强，耕性和通透性差，酸碱度适中，宜种性广。黄棕壤：主要分布在海拔900m～1400m的山坡上。多数是在坡积与残积母质上发育起来的土壤。黄棕壤由于地处半湿润的低山区，光照条件好，地势比较开阔，多呈“U”型或“V”形谷坝地。</w:t>
            </w:r>
          </w:p>
          <w:p w14:paraId="71C0DD2B">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（5）植被</w:t>
            </w:r>
          </w:p>
          <w:p w14:paraId="492FD445">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太白县是陕西省海拔最高的县，被誉为“陕西的青藏高原”。这里绿色植被覆盖率95%，森林覆盖率91.96%，是全球同纬度生态环境最为良好的地区之一。</w:t>
            </w:r>
          </w:p>
          <w:p w14:paraId="1B58081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本次勘查区范围内1#-3#铅锌矿渣堆因渣堆堆积造成坡体植被破坏，植被覆盖度低，50%以上的区域无植被覆盖；4#金矿渣堆表面大部分已被后期自然滑落的坡体覆土所掩盖，有少量灌木分布。</w:t>
            </w:r>
          </w:p>
          <w:p w14:paraId="28F7007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本次现场踏勘同步拍摄4处渣堆全域现场实景照片（详见图3-1渣堆现场实景图），照片直观印证植被覆盖现状：1#、2#、3#渣堆边坡陡峭、废渣裸露，区域植被覆盖度不足50%；4#金矿渣堆表层覆盖坡积覆土，零星灌木自然生长，植被覆盖度高于其余三处，文字植被覆盖度数据均与现场影像一一对应，数据真实可追溯。</w:t>
            </w:r>
          </w:p>
          <w:p w14:paraId="0503EE36">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（6）动物</w:t>
            </w:r>
          </w:p>
          <w:p w14:paraId="6F4E13AE">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项目区无珍稀保护动物。啮齿动物最为常见，有褐家鼠及黄胸鼠，鸟类以麻雀最为普遍，还有喜鹊、家燕等。未发现有珍稀保护动物和大型野生动物及其栖息地分布，无陆生珍稀野生动物。</w:t>
            </w:r>
          </w:p>
          <w:p w14:paraId="43E89822">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现场全域踏勘、沿线走访调查结果显示，项目区内仅分布褐家鼠、黄胸鼠、麻雀、喜鹊等广布型常见小型鸟兽，未发现国家/省级重点保护野生动植物、珍稀濒危物种及其固定栖息地、繁殖区；区域无古树名木、原生珍稀草本群落。依据《环境影响评价技术导则 生态影响》，评价范围内无珍稀保护动植物分布时，无需委托第三方开展野生动植物专项调查，仅通过现场踏勘、区域生物资料检索即可完成生态现状评价，调查工作深度满足生态类报告表编制要求。</w:t>
            </w:r>
          </w:p>
          <w:p w14:paraId="18BA6195">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（7）岩土工程地质特征</w:t>
            </w:r>
          </w:p>
          <w:p w14:paraId="2E8E080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根据现场调查和收集已有资料，岩土体共分为3层，现自上而下、自新至老分述如下：</w:t>
            </w:r>
          </w:p>
          <w:p w14:paraId="1ECF484F">
            <w:pPr>
              <w:adjustRightInd w:val="0"/>
              <w:snapToGrid w:val="0"/>
              <w:spacing w:line="360" w:lineRule="auto"/>
              <w:ind w:firstLine="480" w:firstLineChars="200"/>
              <w:rPr>
                <w:rFonts w:hint="eastAsia"/>
                <w:b/>
                <w:bCs/>
                <w:color w:val="auto"/>
                <w:kern w:val="0"/>
                <w:sz w:val="24"/>
                <w:highlight w:val="none"/>
                <w:lang w:val="en-US" w:eastAsia="zh-CN"/>
              </w:rPr>
            </w:pPr>
            <w:r>
              <w:rPr>
                <w:rFonts w:hint="eastAsia"/>
                <w:b/>
                <w:bCs/>
                <w:color w:val="auto"/>
                <w:kern w:val="0"/>
                <w:sz w:val="24"/>
                <w:highlight w:val="none"/>
                <w:lang w:val="en-US" w:eastAsia="zh-CN"/>
              </w:rPr>
              <w:t>a.1#、2#废渣</w:t>
            </w:r>
          </w:p>
          <w:p w14:paraId="57045DD9">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填土（弃渣）（Q</w:t>
            </w:r>
            <w:r>
              <w:rPr>
                <w:rFonts w:hint="eastAsia"/>
                <w:color w:val="auto"/>
                <w:kern w:val="0"/>
                <w:sz w:val="24"/>
                <w:highlight w:val="none"/>
                <w:vertAlign w:val="superscript"/>
                <w:lang w:val="en-US" w:eastAsia="zh-CN"/>
              </w:rPr>
              <w:t>m1）</w:t>
            </w:r>
            <w:r>
              <w:rPr>
                <w:rFonts w:hint="eastAsia"/>
                <w:color w:val="auto"/>
                <w:kern w:val="0"/>
                <w:sz w:val="24"/>
                <w:highlight w:val="none"/>
                <w:lang w:val="en-US" w:eastAsia="zh-CN"/>
              </w:rPr>
              <w:t>：弃渣：杂色，属中等偏高压缩性土，松散，以块石为主，充填角砾和砾砂，块石粒径约为10cm～30cm，可见最大粒径约50cm，呈棱角状，母岩成分以中风化～微风化板岩、砂质板岩、板岩为主，颗粒级配不良，物探波速Vs&lt;550m/s.</w:t>
            </w:r>
          </w:p>
          <w:p w14:paraId="58644B89">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②粉质黏土夹碎石（Q</w:t>
            </w:r>
            <w:r>
              <w:rPr>
                <w:rFonts w:hint="eastAsia"/>
                <w:color w:val="auto"/>
                <w:kern w:val="0"/>
                <w:sz w:val="24"/>
                <w:highlight w:val="none"/>
                <w:vertAlign w:val="superscript"/>
                <w:lang w:val="en-US" w:eastAsia="zh-CN"/>
              </w:rPr>
              <w:t>el+dl</w:t>
            </w:r>
            <w:r>
              <w:rPr>
                <w:rFonts w:hint="eastAsia"/>
                <w:color w:val="auto"/>
                <w:kern w:val="0"/>
                <w:sz w:val="24"/>
                <w:highlight w:val="none"/>
                <w:lang w:val="en-US" w:eastAsia="zh-CN"/>
              </w:rPr>
              <w:t>）：褐黄、棕黄色，属中等偏高压缩性土，土质不均匀，以可塑状态为主，局部硬塑，含氧化铁、铁锰质结核，夹碎石，碎石粒径2-5cm，呈棱角状-次棱角状，成分以石英砂岩、砂纸板岩、板岩为主，无摇震反应，干强度较高，韧性较高，物探波速Vs≤750m/s。</w:t>
            </w:r>
          </w:p>
          <w:p w14:paraId="22BE072B">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③板岩（D2g）：中风化～微风化，灰色、深灰色，隐品质结构，薄层状～厚层状构造，矿物成分主要为方解石、次为白云石，节理裂隙较发育，呈不规则状，多为方解石脉充填，锤击声较清脆，有轻微回弹，岩石属较硬岩～坚硬岩，完整程度为较破碎～较完整，岩体基本质量等级属II~-Ⅳ级。测得物探波速Vs&gt;750m/s。</w:t>
            </w:r>
          </w:p>
          <w:p w14:paraId="2B5B47DB">
            <w:pPr>
              <w:adjustRightInd w:val="0"/>
              <w:snapToGrid w:val="0"/>
              <w:spacing w:line="360" w:lineRule="auto"/>
              <w:ind w:firstLine="480" w:firstLineChars="200"/>
              <w:rPr>
                <w:rFonts w:hint="eastAsia"/>
                <w:b/>
                <w:bCs/>
                <w:color w:val="auto"/>
                <w:kern w:val="0"/>
                <w:sz w:val="24"/>
                <w:highlight w:val="none"/>
                <w:lang w:val="en-US" w:eastAsia="zh-CN"/>
              </w:rPr>
            </w:pPr>
            <w:r>
              <w:rPr>
                <w:rFonts w:hint="eastAsia"/>
                <w:b/>
                <w:bCs/>
                <w:color w:val="auto"/>
                <w:kern w:val="0"/>
                <w:sz w:val="24"/>
                <w:highlight w:val="none"/>
                <w:lang w:val="en-US" w:eastAsia="zh-CN"/>
              </w:rPr>
              <w:t>b.3#废渣</w:t>
            </w:r>
          </w:p>
          <w:p w14:paraId="7C9D5977">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w:t>
            </w:r>
            <w:r>
              <w:rPr>
                <w:rFonts w:hint="eastAsia"/>
                <w:color w:val="auto"/>
                <w:kern w:val="0"/>
                <w:sz w:val="24"/>
                <w:highlight w:val="none"/>
                <w:vertAlign w:val="subscript"/>
                <w:lang w:val="en-US" w:eastAsia="zh-CN"/>
              </w:rPr>
              <w:t>1</w:t>
            </w:r>
            <w:r>
              <w:rPr>
                <w:rFonts w:hint="eastAsia"/>
                <w:color w:val="auto"/>
                <w:kern w:val="0"/>
                <w:sz w:val="24"/>
                <w:highlight w:val="none"/>
                <w:lang w:val="en-US" w:eastAsia="zh-CN"/>
              </w:rPr>
              <w:t>填土（素填土）（Q</w:t>
            </w:r>
            <w:r>
              <w:rPr>
                <w:rFonts w:hint="eastAsia"/>
                <w:color w:val="auto"/>
                <w:kern w:val="0"/>
                <w:sz w:val="24"/>
                <w:highlight w:val="none"/>
                <w:vertAlign w:val="superscript"/>
                <w:lang w:val="en-US" w:eastAsia="zh-CN"/>
              </w:rPr>
              <w:t>m1）</w:t>
            </w:r>
            <w:r>
              <w:rPr>
                <w:rFonts w:hint="eastAsia"/>
                <w:color w:val="auto"/>
                <w:kern w:val="0"/>
                <w:sz w:val="24"/>
                <w:highlight w:val="none"/>
                <w:lang w:val="en-US" w:eastAsia="zh-CN"/>
              </w:rPr>
              <w:t>：黄褐、褐黄色，稍湿-湿，属高压缩性土，主要由黏性土组成，偶夹碎块石，碎石粒径约1-5cm，碎石含量约为5%，局部地段表层偶见粒径约10-20cm块石，土质不均匀，为修筑道路时整平推填而成，结构松散，稍经压实，不具湿陷性。仅分布于渣堆坡脚道路地段。</w:t>
            </w:r>
          </w:p>
          <w:p w14:paraId="65BAB366">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w:t>
            </w:r>
            <w:r>
              <w:rPr>
                <w:rFonts w:hint="eastAsia"/>
                <w:color w:val="auto"/>
                <w:kern w:val="0"/>
                <w:sz w:val="24"/>
                <w:highlight w:val="none"/>
                <w:vertAlign w:val="subscript"/>
                <w:lang w:val="en-US" w:eastAsia="zh-CN"/>
              </w:rPr>
              <w:t>3</w:t>
            </w:r>
            <w:r>
              <w:rPr>
                <w:rFonts w:hint="eastAsia"/>
                <w:color w:val="auto"/>
                <w:kern w:val="0"/>
                <w:sz w:val="24"/>
                <w:highlight w:val="none"/>
                <w:lang w:val="en-US" w:eastAsia="zh-CN"/>
              </w:rPr>
              <w:t>填土（弃渣）（Q</w:t>
            </w:r>
            <w:r>
              <w:rPr>
                <w:rFonts w:hint="eastAsia"/>
                <w:color w:val="auto"/>
                <w:kern w:val="0"/>
                <w:sz w:val="24"/>
                <w:highlight w:val="none"/>
                <w:vertAlign w:val="superscript"/>
                <w:lang w:val="en-US" w:eastAsia="zh-CN"/>
              </w:rPr>
              <w:t>m1）</w:t>
            </w:r>
            <w:r>
              <w:rPr>
                <w:rFonts w:hint="eastAsia"/>
                <w:color w:val="auto"/>
                <w:kern w:val="0"/>
                <w:sz w:val="24"/>
                <w:highlight w:val="none"/>
                <w:lang w:val="en-US" w:eastAsia="zh-CN"/>
              </w:rPr>
              <w:t>：弃渣：杂色，属中等偏高压缩性土，松散，以块石为主，充填角砾和砾砂，块石粒径约为10cm～30cm，可见最大粒径约50cm，呈棱角状，母岩成分以中风化～微风化板岩、砂质板岩、板岩为主，颗粒级配不良，物探波速Vs&lt;550m/s.</w:t>
            </w:r>
          </w:p>
          <w:p w14:paraId="1628FFBB">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②粉质黏土夹碎石（Q</w:t>
            </w:r>
            <w:r>
              <w:rPr>
                <w:rFonts w:hint="eastAsia"/>
                <w:color w:val="auto"/>
                <w:kern w:val="0"/>
                <w:sz w:val="24"/>
                <w:highlight w:val="none"/>
                <w:vertAlign w:val="superscript"/>
                <w:lang w:val="en-US" w:eastAsia="zh-CN"/>
              </w:rPr>
              <w:t>el+dl）：</w:t>
            </w:r>
            <w:r>
              <w:rPr>
                <w:rFonts w:hint="eastAsia"/>
                <w:color w:val="auto"/>
                <w:kern w:val="0"/>
                <w:sz w:val="24"/>
                <w:highlight w:val="none"/>
                <w:lang w:val="en-US" w:eastAsia="zh-CN"/>
              </w:rPr>
              <w:t>褐黄、棕黄色，属中等偏高压缩性土，土质不均匀，以可塑状态为主，局部硬塑，含氧化铁、铁锰质结核，夹碎石，碎石粒径2-5cm，呈棱角状-次棱角状，成分以石英砂岩、砂纸板岩、板岩为主，无摇震反应，干强度较高，韧性较高，物探波速Vs&lt;750m/s。</w:t>
            </w:r>
          </w:p>
          <w:p w14:paraId="37E5BF64">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④板岩（D</w:t>
            </w:r>
            <w:r>
              <w:rPr>
                <w:rFonts w:hint="eastAsia"/>
                <w:color w:val="auto"/>
                <w:kern w:val="0"/>
                <w:sz w:val="24"/>
                <w:highlight w:val="none"/>
                <w:vertAlign w:val="subscript"/>
                <w:lang w:val="en-US" w:eastAsia="zh-CN"/>
              </w:rPr>
              <w:t>2g）：</w:t>
            </w:r>
            <w:r>
              <w:rPr>
                <w:rFonts w:hint="eastAsia"/>
                <w:color w:val="auto"/>
                <w:kern w:val="0"/>
                <w:sz w:val="24"/>
                <w:highlight w:val="none"/>
                <w:lang w:val="en-US" w:eastAsia="zh-CN"/>
              </w:rPr>
              <w:t>中风化～微风化，灰色、深灰色，隐晶质结构，薄层状～厚层状构造，矿物成分主要为方解石、次为白云石，节理裂隙较发育，呈不规则状，多为方解石脉充填，锤击声较清脆，有轻微回弹，岩石属较硬岩～坚硬岩，完整程度为较破碎～较完整，岩体基本质量等级属II~Ⅳ级。测得物探波速Vs&gt;750m/s。</w:t>
            </w:r>
          </w:p>
          <w:p w14:paraId="3EEB2E5D">
            <w:pPr>
              <w:adjustRightInd w:val="0"/>
              <w:snapToGrid w:val="0"/>
              <w:spacing w:line="360" w:lineRule="auto"/>
              <w:ind w:firstLine="480" w:firstLineChars="200"/>
              <w:rPr>
                <w:rFonts w:hint="eastAsia"/>
                <w:b/>
                <w:bCs/>
                <w:color w:val="auto"/>
                <w:kern w:val="0"/>
                <w:sz w:val="24"/>
                <w:highlight w:val="none"/>
                <w:lang w:val="en-US" w:eastAsia="zh-CN"/>
              </w:rPr>
            </w:pPr>
            <w:r>
              <w:rPr>
                <w:rFonts w:hint="eastAsia"/>
                <w:b/>
                <w:bCs/>
                <w:color w:val="auto"/>
                <w:kern w:val="0"/>
                <w:sz w:val="24"/>
                <w:highlight w:val="none"/>
                <w:lang w:val="en-US" w:eastAsia="zh-CN"/>
              </w:rPr>
              <w:t>c.4#废渣</w:t>
            </w:r>
          </w:p>
          <w:p w14:paraId="7C3DE98F">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w:t>
            </w:r>
            <w:r>
              <w:rPr>
                <w:rFonts w:hint="eastAsia"/>
                <w:color w:val="auto"/>
                <w:kern w:val="0"/>
                <w:sz w:val="24"/>
                <w:highlight w:val="none"/>
                <w:vertAlign w:val="subscript"/>
                <w:lang w:val="en-US" w:eastAsia="zh-CN"/>
              </w:rPr>
              <w:t>1</w:t>
            </w:r>
            <w:r>
              <w:rPr>
                <w:rFonts w:hint="eastAsia"/>
                <w:color w:val="auto"/>
                <w:kern w:val="0"/>
                <w:sz w:val="24"/>
                <w:highlight w:val="none"/>
                <w:lang w:val="en-US" w:eastAsia="zh-CN"/>
              </w:rPr>
              <w:t>填土（素填土）（Q</w:t>
            </w:r>
            <w:r>
              <w:rPr>
                <w:rFonts w:hint="eastAsia"/>
                <w:color w:val="auto"/>
                <w:kern w:val="0"/>
                <w:sz w:val="24"/>
                <w:highlight w:val="none"/>
                <w:vertAlign w:val="superscript"/>
                <w:lang w:val="en-US" w:eastAsia="zh-CN"/>
              </w:rPr>
              <w:t>m1）</w:t>
            </w:r>
            <w:r>
              <w:rPr>
                <w:rFonts w:hint="eastAsia"/>
                <w:color w:val="auto"/>
                <w:kern w:val="0"/>
                <w:sz w:val="24"/>
                <w:highlight w:val="none"/>
                <w:lang w:val="en-US" w:eastAsia="zh-CN"/>
              </w:rPr>
              <w:t>：黄褐、褐黄色，稍湿-湿，属中等偏高压缩性土，主要由黏性土组成，偶夹碎块石，碎石粒径约1-5cm，碎石含量约为5%，局部地段表层偶见粒径约10-20cm块石，土质不均匀，为修筑道路时整平推填而成，结构松散，稍经压实，不具湿陷性。仅分布于渣堆河道外侧道路地段。</w:t>
            </w:r>
          </w:p>
          <w:p w14:paraId="6497522E">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w:t>
            </w:r>
            <w:r>
              <w:rPr>
                <w:rFonts w:hint="eastAsia"/>
                <w:color w:val="auto"/>
                <w:kern w:val="0"/>
                <w:sz w:val="24"/>
                <w:highlight w:val="none"/>
                <w:vertAlign w:val="subscript"/>
                <w:lang w:val="en-US" w:eastAsia="zh-CN"/>
              </w:rPr>
              <w:t>2</w:t>
            </w:r>
            <w:r>
              <w:rPr>
                <w:rFonts w:hint="eastAsia"/>
                <w:color w:val="auto"/>
                <w:kern w:val="0"/>
                <w:sz w:val="24"/>
                <w:highlight w:val="none"/>
                <w:lang w:val="en-US" w:eastAsia="zh-CN"/>
              </w:rPr>
              <w:t>填土（弃渣）（Q</w:t>
            </w:r>
            <w:r>
              <w:rPr>
                <w:rFonts w:hint="eastAsia"/>
                <w:color w:val="auto"/>
                <w:kern w:val="0"/>
                <w:sz w:val="24"/>
                <w:highlight w:val="none"/>
                <w:vertAlign w:val="superscript"/>
                <w:lang w:val="en-US" w:eastAsia="zh-CN"/>
              </w:rPr>
              <w:t>m1）</w:t>
            </w:r>
            <w:r>
              <w:rPr>
                <w:rFonts w:hint="eastAsia"/>
                <w:color w:val="auto"/>
                <w:kern w:val="0"/>
                <w:sz w:val="24"/>
                <w:highlight w:val="none"/>
                <w:lang w:val="en-US" w:eastAsia="zh-CN"/>
              </w:rPr>
              <w:t>：黄色，奶黄色，属高压缩性土，土质不均匀，松散为主，局部稍密，以尾粉砂为主，局部夹尾细砂，矿物成分主要为长石、石英及云母等，固结性差，由尾矿砂冲填堆积而成，粘粒次之，含少量泥质，部分地段分布薄层尾细砂粒及零星尾粉土，物探波速Vs&lt;400m/s。</w:t>
            </w:r>
          </w:p>
          <w:p w14:paraId="2F235F4A">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②粉质黏土夹碎石（Q</w:t>
            </w:r>
            <w:r>
              <w:rPr>
                <w:rFonts w:hint="eastAsia"/>
                <w:color w:val="auto"/>
                <w:kern w:val="0"/>
                <w:sz w:val="24"/>
                <w:highlight w:val="none"/>
                <w:vertAlign w:val="superscript"/>
                <w:lang w:val="en-US" w:eastAsia="zh-CN"/>
              </w:rPr>
              <w:t>el+dl）：</w:t>
            </w:r>
            <w:r>
              <w:rPr>
                <w:rFonts w:hint="eastAsia"/>
                <w:color w:val="auto"/>
                <w:kern w:val="0"/>
                <w:sz w:val="24"/>
                <w:highlight w:val="none"/>
                <w:lang w:val="en-US" w:eastAsia="zh-CN"/>
              </w:rPr>
              <w:t>褐黄、棕黄色，属中等偏高压缩性土，土质不均匀，以可塑状态为主，局部硬塑，含氧化铁、铁锰质结核，夹碎石，碎石粒径2-5cm，呈棱角状-次棱角状，成分以石英砂岩为主，无摇震反应，夹钙质结核，可见粒径1-3cm，局部偶夹碎石、块石，无摇震反应，干强度高，韧性高，物探波速Vs&lt;600m/s。</w:t>
            </w:r>
          </w:p>
          <w:p w14:paraId="228FA3DD">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③卵石（Q</w:t>
            </w:r>
            <w:r>
              <w:rPr>
                <w:rFonts w:hint="eastAsia"/>
                <w:color w:val="auto"/>
                <w:kern w:val="0"/>
                <w:sz w:val="24"/>
                <w:highlight w:val="none"/>
                <w:vertAlign w:val="subscript"/>
                <w:lang w:val="en-US" w:eastAsia="zh-CN"/>
              </w:rPr>
              <w:t>4</w:t>
            </w:r>
            <w:r>
              <w:rPr>
                <w:rFonts w:hint="eastAsia"/>
                <w:color w:val="auto"/>
                <w:kern w:val="0"/>
                <w:sz w:val="24"/>
                <w:highlight w:val="none"/>
                <w:vertAlign w:val="superscript"/>
                <w:lang w:val="en-US" w:eastAsia="zh-CN"/>
              </w:rPr>
              <w:t>al+pl）：</w:t>
            </w:r>
            <w:r>
              <w:rPr>
                <w:rFonts w:hint="eastAsia"/>
                <w:color w:val="auto"/>
                <w:kern w:val="0"/>
                <w:sz w:val="24"/>
                <w:highlight w:val="none"/>
                <w:lang w:val="en-US" w:eastAsia="zh-CN"/>
              </w:rPr>
              <w:t>杂色，属中等偏低压缩性土，土质不均匀，以松散状态为主，局部稍密，成分以石英砂岩为主，分选性较好，多呈次棱角状、亚岩状，一般粒径20～80mm，所见最大粒径可达200mm，局部可见块石，粒间充填物以中粗砂、圆砾、角砾为主，含量20%～30%不等，分选性差，级配良好。</w:t>
            </w:r>
          </w:p>
          <w:p w14:paraId="076AEBDE">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④板岩（D</w:t>
            </w:r>
            <w:r>
              <w:rPr>
                <w:rFonts w:hint="eastAsia"/>
                <w:color w:val="auto"/>
                <w:kern w:val="0"/>
                <w:sz w:val="24"/>
                <w:highlight w:val="none"/>
                <w:vertAlign w:val="subscript"/>
                <w:lang w:val="en-US" w:eastAsia="zh-CN"/>
              </w:rPr>
              <w:t>2g）：</w:t>
            </w:r>
            <w:r>
              <w:rPr>
                <w:rFonts w:hint="eastAsia"/>
                <w:color w:val="auto"/>
                <w:kern w:val="0"/>
                <w:sz w:val="24"/>
                <w:highlight w:val="none"/>
                <w:lang w:val="en-US" w:eastAsia="zh-CN"/>
              </w:rPr>
              <w:t>中风化，灰～深灰，隐晶质结构，厚层状构造，矿石成分主要为方解石、次为白云石，节理裂隙较发育，呈不规则状，多为方解石脉充填，锤击声较清脆，有轻微回弹，岩石属坚硬岩，完整程度为较完整～较破碎，岩体基本质量等级属Ⅲ类。测得物探波速Vs&gt;600m/s。</w:t>
            </w:r>
          </w:p>
          <w:p w14:paraId="3B25C36D">
            <w:pPr>
              <w:adjustRightInd w:val="0"/>
              <w:snapToGrid w:val="0"/>
              <w:spacing w:line="360" w:lineRule="auto"/>
              <w:ind w:firstLine="480" w:firstLineChars="200"/>
              <w:rPr>
                <w:rFonts w:hint="default"/>
                <w:color w:val="auto"/>
                <w:kern w:val="0"/>
                <w:sz w:val="24"/>
                <w:highlight w:val="none"/>
                <w:lang w:val="en-US" w:eastAsia="zh-CN"/>
              </w:rPr>
            </w:pPr>
            <w:r>
              <w:rPr>
                <w:rFonts w:hint="eastAsia"/>
                <w:color w:val="auto"/>
                <w:kern w:val="0"/>
                <w:sz w:val="24"/>
                <w:highlight w:val="none"/>
                <w:lang w:val="en-US" w:eastAsia="zh-CN"/>
              </w:rPr>
              <w:t>（8）水文地质条件</w:t>
            </w:r>
          </w:p>
          <w:p w14:paraId="1E772BA7">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1）地下水类型与富水性</w:t>
            </w:r>
          </w:p>
          <w:p w14:paraId="4695556C">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根据含水层段及富水性特征，将区内地下水划分为上层滞水、孔隙潜水及基岩裂隙水。</w:t>
            </w:r>
          </w:p>
          <w:p w14:paraId="4C2EEA5D">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①上层滞水</w:t>
            </w:r>
          </w:p>
          <w:p w14:paraId="6D2E0C0F">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上层滞水主要赋存于上层填土层及废渣中，主要受大气降水及地表水渗透补给，其水位、水量随季节变化，在丰水季节及地表水体渗透补给充分时有一定水量，无统一水位。该层水透水性较好，但由于废渣堆体的存在，其渗透路径可能受到阻碍，导致水分在堆体内积聚。在干旱季节，由于缺少足够的补给，水量会显著减少，甚至干涸。上层滞水的存在对废渣堆体的稳定性具有一定影响。在雨季，随着水量的增加，堆体内部的含水量也会上升，导致堆体重量增加，进而加大滑坡或崩塌的风险。同时，水分在堆体内的积聚还可能改变堆体的物理力学性质，如降低抗剪强度，进一步加剧堆体的不稳定性。因此，在进行废渣堆体的综合治理时，应充分考虑上层滞水的影响，采取适当的排水措施，以减少水分对堆体稳定性的不利影响。同时，还应加强水质监测，确保地下水环境的安全。</w:t>
            </w:r>
          </w:p>
          <w:p w14:paraId="7CF2E3A0">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②孔隙潜水</w:t>
            </w:r>
          </w:p>
          <w:p w14:paraId="14D629E3">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孔隙潜水主要赋存于残坡积层及卵石层中，主要受上层地下水渗透补给，与场地。周边地表水体水力联系密切，水量较大。其水位、水量亦随季节变化，在雨季及地表水体补给充足时，水量相对丰富。孔隙潜水对废渣堆体的稳定性有一定影响，特别是在雨季，需密切关注其动态变化，以防因水位上升导致堆体稳定性降低，进而引发地质灾害。同时，孔隙潜水也是当地生态环境的重要组成部分，其水质状况直接关系到周边居民的生产生活用水安全及生态环境健康。因此，在进行废渣堆体综合治理时，需充分考虑孔隙潜水的保护与合理利用。</w:t>
            </w:r>
          </w:p>
          <w:p w14:paraId="736B92A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③基岩裂隙水</w:t>
            </w:r>
          </w:p>
          <w:p w14:paraId="4E8228E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基岩裂隙水主要赋存于勘查区场地下伏基岩中，主要接受上部含水层中地下水的下渗及侧向渗流补给，多以层间或裂隙水出现，分布不均匀，局部有渗水或滴水。其富水性受岩性、构造、裂隙发育程度及埋深等多种因素控制，水量变化较大。在裂隙发育、连通性好的地段，基岩裂隙水可能较为丰富，而在裂隙不发育或连通性差的地段，水量则相对贫乏。基岩裂隙水的水质一般较好，但由于受地质构造及人类活动的影响，部分地段可能受到污染。在进行废渣堆体综合治理及地下水开发利用时，应充分考虑基岩裂隙水的分布特征及其对工程安全、生态环境的影响，采取科学合理的措施进行保护与利用。</w:t>
            </w:r>
          </w:p>
          <w:p w14:paraId="5229F2AB">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2）地下水的补给、径流与排泄</w:t>
            </w:r>
          </w:p>
          <w:p w14:paraId="526F24D1">
            <w:pPr>
              <w:adjustRightInd w:val="0"/>
              <w:snapToGrid w:val="0"/>
              <w:spacing w:line="360" w:lineRule="auto"/>
              <w:ind w:firstLine="480" w:firstLineChars="200"/>
              <w:rPr>
                <w:rFonts w:hint="eastAsia"/>
                <w:color w:val="auto"/>
                <w:kern w:val="0"/>
                <w:sz w:val="24"/>
                <w:highlight w:val="none"/>
                <w:lang w:val="en-US" w:eastAsia="zh-CN"/>
              </w:rPr>
            </w:pPr>
            <w:r>
              <w:rPr>
                <w:rFonts w:hint="eastAsia"/>
                <w:color w:val="auto"/>
                <w:kern w:val="0"/>
                <w:sz w:val="24"/>
                <w:highlight w:val="none"/>
                <w:lang w:val="en-US" w:eastAsia="zh-CN"/>
              </w:rPr>
              <w:t>本项目区地下水主要为上层滞水及基岩裂隙水，上层滞水主要赋存于素填土及堆积的弃渣中，水量变化较大，丰水期坡体块石弃渣接受降雨补给入渗后在渣堆体与原始地形界面处汇集后顺坡向坡脚排泄，后排入红岩河中。基岩裂隙水赋存于场地下伏基岩中，水量较丰富，以渗水及泉眼等形式排泄。</w:t>
            </w:r>
          </w:p>
          <w:p w14:paraId="78B878F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cs="Times New Roman"/>
                <w:b/>
                <w:bCs/>
                <w:color w:val="auto"/>
                <w:kern w:val="2"/>
                <w:sz w:val="24"/>
                <w:szCs w:val="32"/>
                <w:highlight w:val="none"/>
                <w:lang w:val="en-US" w:eastAsia="zh-CN" w:bidi="ar-SA"/>
              </w:rPr>
            </w:pPr>
            <w:r>
              <w:rPr>
                <w:rFonts w:hint="eastAsia" w:cs="Times New Roman"/>
                <w:b/>
                <w:bCs/>
                <w:color w:val="auto"/>
                <w:kern w:val="2"/>
                <w:sz w:val="24"/>
                <w:szCs w:val="32"/>
                <w:highlight w:val="none"/>
                <w:lang w:val="en-US" w:eastAsia="zh-CN" w:bidi="ar-SA"/>
              </w:rPr>
              <w:t>2.</w:t>
            </w:r>
            <w:r>
              <w:rPr>
                <w:rFonts w:hint="default" w:ascii="Times New Roman" w:hAnsi="Times New Roman" w:cs="Times New Roman"/>
                <w:b/>
                <w:bCs/>
                <w:color w:val="auto"/>
                <w:kern w:val="2"/>
                <w:sz w:val="24"/>
                <w:szCs w:val="32"/>
                <w:highlight w:val="none"/>
                <w:lang w:val="en-US" w:eastAsia="zh-CN" w:bidi="ar-SA"/>
              </w:rPr>
              <w:t>环境</w:t>
            </w:r>
            <w:r>
              <w:rPr>
                <w:rFonts w:hint="eastAsia" w:cs="Times New Roman"/>
                <w:b/>
                <w:bCs/>
                <w:color w:val="auto"/>
                <w:kern w:val="2"/>
                <w:sz w:val="24"/>
                <w:szCs w:val="32"/>
                <w:highlight w:val="none"/>
                <w:lang w:val="en-US" w:eastAsia="zh-CN" w:bidi="ar-SA"/>
              </w:rPr>
              <w:t>空气</w:t>
            </w:r>
            <w:r>
              <w:rPr>
                <w:rFonts w:hint="default" w:ascii="Times New Roman" w:hAnsi="Times New Roman" w:cs="Times New Roman"/>
                <w:b/>
                <w:bCs/>
                <w:color w:val="auto"/>
                <w:kern w:val="2"/>
                <w:sz w:val="24"/>
                <w:szCs w:val="32"/>
                <w:highlight w:val="none"/>
                <w:lang w:val="en-US" w:eastAsia="zh-CN" w:bidi="ar-SA"/>
              </w:rPr>
              <w:t>质量现状</w:t>
            </w:r>
          </w:p>
          <w:p w14:paraId="6990A6A8">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textAlignment w:val="auto"/>
              <w:outlineLvl w:val="9"/>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本项目位于</w:t>
            </w:r>
            <w:r>
              <w:rPr>
                <w:rFonts w:hint="eastAsia" w:cs="Times New Roman"/>
                <w:color w:val="auto"/>
                <w:sz w:val="24"/>
                <w:szCs w:val="24"/>
                <w:highlight w:val="none"/>
                <w:lang w:val="en-US" w:eastAsia="zh-CN"/>
              </w:rPr>
              <w:t>宝鸡市太白县</w:t>
            </w:r>
            <w:r>
              <w:rPr>
                <w:rFonts w:hint="default" w:ascii="Times New Roman" w:hAnsi="Times New Roman" w:cs="Times New Roman"/>
                <w:color w:val="auto"/>
                <w:sz w:val="24"/>
                <w:szCs w:val="24"/>
                <w:highlight w:val="none"/>
              </w:rPr>
              <w:t>。根据大气功能区划，本项目所在地为二类功能区，环境空气质量标准执行《环境空气质量标准》（GB3095</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2026</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过渡阶段浓度限值</w:t>
            </w:r>
            <w:r>
              <w:rPr>
                <w:rFonts w:hint="eastAsia" w:hAnsi="Times New Roman" w:cs="Times New Roman"/>
                <w:color w:val="auto"/>
                <w:sz w:val="24"/>
                <w:szCs w:val="24"/>
                <w:highlight w:val="none"/>
                <w:lang w:val="en-US" w:eastAsia="zh-CN"/>
              </w:rPr>
              <w:t>二级标准</w:t>
            </w:r>
            <w:r>
              <w:rPr>
                <w:rFonts w:hint="default" w:ascii="Times New Roman" w:hAnsi="Times New Roman" w:cs="Times New Roman"/>
                <w:color w:val="auto"/>
                <w:sz w:val="24"/>
                <w:szCs w:val="24"/>
                <w:highlight w:val="none"/>
              </w:rPr>
              <w:t>。</w:t>
            </w:r>
          </w:p>
          <w:p w14:paraId="37295B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常规污染物引用宝鸡市生态环境局发布的《宝鸡市2025年环境质量公报》中高新区的环境空气质量数据。常规污染物质量数据见表3-1。</w:t>
            </w:r>
          </w:p>
          <w:p w14:paraId="632B7C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表3-</w:t>
            </w:r>
            <w:r>
              <w:rPr>
                <w:rFonts w:hint="eastAsia" w:cs="Times New Roman"/>
                <w:b/>
                <w:bCs/>
                <w:color w:val="auto"/>
                <w:sz w:val="21"/>
                <w:szCs w:val="21"/>
                <w:highlight w:val="none"/>
                <w:lang w:val="en-US" w:eastAsia="zh-CN"/>
              </w:rPr>
              <w:t>1  2025</w:t>
            </w:r>
            <w:r>
              <w:rPr>
                <w:rFonts w:hint="default" w:ascii="Times New Roman" w:hAnsi="Times New Roman" w:cs="Times New Roman"/>
                <w:b/>
                <w:bCs/>
                <w:color w:val="auto"/>
                <w:sz w:val="21"/>
                <w:szCs w:val="21"/>
                <w:highlight w:val="none"/>
              </w:rPr>
              <w:t>年宝鸡市</w:t>
            </w:r>
            <w:r>
              <w:rPr>
                <w:rFonts w:hint="eastAsia" w:ascii="Times New Roman" w:hAnsi="Times New Roman" w:cs="Times New Roman"/>
                <w:b/>
                <w:bCs/>
                <w:color w:val="auto"/>
                <w:sz w:val="21"/>
                <w:szCs w:val="21"/>
                <w:highlight w:val="none"/>
                <w:lang w:val="en-US" w:eastAsia="zh-CN"/>
              </w:rPr>
              <w:t>太白县</w:t>
            </w:r>
            <w:r>
              <w:rPr>
                <w:rFonts w:hint="default" w:ascii="Times New Roman" w:hAnsi="Times New Roman" w:cs="Times New Roman"/>
                <w:b/>
                <w:bCs/>
                <w:color w:val="auto"/>
                <w:sz w:val="21"/>
                <w:szCs w:val="21"/>
                <w:highlight w:val="none"/>
              </w:rPr>
              <w:t>环境空气质量监测结果统计表</w:t>
            </w:r>
          </w:p>
          <w:tbl>
            <w:tblPr>
              <w:tblStyle w:val="14"/>
              <w:tblW w:w="80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3"/>
              <w:gridCol w:w="843"/>
              <w:gridCol w:w="1422"/>
              <w:gridCol w:w="1817"/>
              <w:gridCol w:w="1343"/>
              <w:gridCol w:w="961"/>
              <w:gridCol w:w="1038"/>
            </w:tblGrid>
            <w:tr w14:paraId="03AD1D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33" w:type="dxa"/>
                  <w:vMerge w:val="restart"/>
                  <w:tcBorders>
                    <w:tl2br w:val="nil"/>
                    <w:tr2bl w:val="nil"/>
                  </w:tcBorders>
                  <w:vAlign w:val="center"/>
                </w:tcPr>
                <w:p w14:paraId="75989215">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县区</w:t>
                  </w:r>
                </w:p>
              </w:tc>
              <w:tc>
                <w:tcPr>
                  <w:tcW w:w="843" w:type="dxa"/>
                  <w:vMerge w:val="restart"/>
                  <w:tcBorders>
                    <w:tl2br w:val="nil"/>
                    <w:tr2bl w:val="nil"/>
                  </w:tcBorders>
                  <w:vAlign w:val="center"/>
                </w:tcPr>
                <w:p w14:paraId="4EAF5149">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项目</w:t>
                  </w:r>
                </w:p>
              </w:tc>
              <w:tc>
                <w:tcPr>
                  <w:tcW w:w="1422" w:type="dxa"/>
                  <w:vMerge w:val="restart"/>
                  <w:tcBorders>
                    <w:tl2br w:val="nil"/>
                    <w:tr2bl w:val="nil"/>
                  </w:tcBorders>
                  <w:vAlign w:val="center"/>
                </w:tcPr>
                <w:p w14:paraId="544840A1">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浓度（均值）</w:t>
                  </w:r>
                </w:p>
              </w:tc>
              <w:tc>
                <w:tcPr>
                  <w:tcW w:w="1817" w:type="dxa"/>
                  <w:vMerge w:val="restart"/>
                  <w:tcBorders>
                    <w:tl2br w:val="nil"/>
                    <w:tr2bl w:val="nil"/>
                  </w:tcBorders>
                  <w:vAlign w:val="center"/>
                </w:tcPr>
                <w:p w14:paraId="6682950E">
                  <w:pPr>
                    <w:tabs>
                      <w:tab w:val="left" w:pos="2601"/>
                    </w:tabs>
                    <w:spacing w:line="320" w:lineRule="exact"/>
                    <w:jc w:val="center"/>
                    <w:rPr>
                      <w:rFonts w:hint="default" w:ascii="Times New Roman" w:hAnsi="Times New Roman" w:eastAsia="宋体" w:cs="Times New Roman"/>
                      <w:b/>
                      <w:bCs/>
                      <w:color w:val="auto"/>
                      <w:szCs w:val="21"/>
                      <w:highlight w:val="none"/>
                      <w:lang w:val="en-US" w:eastAsia="zh-CN"/>
                    </w:rPr>
                  </w:pPr>
                  <w:r>
                    <w:rPr>
                      <w:rFonts w:hint="eastAsia" w:cs="Times New Roman"/>
                      <w:b/>
                      <w:bCs/>
                      <w:color w:val="auto"/>
                      <w:szCs w:val="21"/>
                      <w:highlight w:val="none"/>
                      <w:lang w:val="en-US" w:eastAsia="zh-CN"/>
                    </w:rPr>
                    <w:t>年评价指标</w:t>
                  </w:r>
                </w:p>
              </w:tc>
              <w:tc>
                <w:tcPr>
                  <w:tcW w:w="1343" w:type="dxa"/>
                  <w:tcBorders>
                    <w:tl2br w:val="nil"/>
                    <w:tr2bl w:val="nil"/>
                  </w:tcBorders>
                  <w:vAlign w:val="center"/>
                </w:tcPr>
                <w:p w14:paraId="4A1932B5">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标准限值</w:t>
                  </w:r>
                </w:p>
              </w:tc>
              <w:tc>
                <w:tcPr>
                  <w:tcW w:w="961" w:type="dxa"/>
                  <w:vMerge w:val="restart"/>
                  <w:tcBorders>
                    <w:tl2br w:val="nil"/>
                    <w:tr2bl w:val="nil"/>
                  </w:tcBorders>
                  <w:vAlign w:val="center"/>
                </w:tcPr>
                <w:p w14:paraId="1D07DF6C">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达标</w:t>
                  </w:r>
                </w:p>
                <w:p w14:paraId="4EB0D6D8">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情况</w:t>
                  </w:r>
                </w:p>
              </w:tc>
              <w:tc>
                <w:tcPr>
                  <w:tcW w:w="1038" w:type="dxa"/>
                  <w:vMerge w:val="restart"/>
                  <w:tcBorders>
                    <w:tl2br w:val="nil"/>
                    <w:tr2bl w:val="nil"/>
                  </w:tcBorders>
                  <w:vAlign w:val="center"/>
                </w:tcPr>
                <w:p w14:paraId="386C7460">
                  <w:pPr>
                    <w:tabs>
                      <w:tab w:val="left" w:pos="2601"/>
                    </w:tabs>
                    <w:spacing w:line="320" w:lineRule="exact"/>
                    <w:jc w:val="center"/>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lang w:val="zh-CN"/>
                    </w:rPr>
                    <w:t>占标率（</w:t>
                  </w:r>
                  <w:r>
                    <w:rPr>
                      <w:rFonts w:hint="default" w:ascii="Times New Roman" w:hAnsi="Times New Roman" w:cs="Times New Roman"/>
                      <w:b/>
                      <w:bCs/>
                      <w:color w:val="auto"/>
                      <w:szCs w:val="21"/>
                      <w:highlight w:val="none"/>
                    </w:rPr>
                    <w:t>%</w:t>
                  </w:r>
                  <w:r>
                    <w:rPr>
                      <w:rFonts w:hint="default" w:ascii="Times New Roman" w:hAnsi="Times New Roman" w:cs="Times New Roman"/>
                      <w:b/>
                      <w:bCs/>
                      <w:color w:val="auto"/>
                      <w:szCs w:val="21"/>
                      <w:highlight w:val="none"/>
                      <w:lang w:val="zh-CN"/>
                    </w:rPr>
                    <w:t>）</w:t>
                  </w:r>
                </w:p>
              </w:tc>
            </w:tr>
            <w:tr w14:paraId="6D5D7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33" w:type="dxa"/>
                  <w:vMerge w:val="continue"/>
                  <w:tcBorders>
                    <w:tl2br w:val="nil"/>
                    <w:tr2bl w:val="nil"/>
                  </w:tcBorders>
                  <w:vAlign w:val="center"/>
                </w:tcPr>
                <w:p w14:paraId="5F22411D">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vMerge w:val="continue"/>
                  <w:tcBorders>
                    <w:tl2br w:val="nil"/>
                    <w:tr2bl w:val="nil"/>
                  </w:tcBorders>
                  <w:vAlign w:val="center"/>
                </w:tcPr>
                <w:p w14:paraId="1E706628">
                  <w:pPr>
                    <w:tabs>
                      <w:tab w:val="left" w:pos="2601"/>
                    </w:tabs>
                    <w:spacing w:line="320" w:lineRule="exact"/>
                    <w:jc w:val="center"/>
                    <w:rPr>
                      <w:rFonts w:hint="default" w:ascii="Times New Roman" w:hAnsi="Times New Roman" w:cs="Times New Roman"/>
                      <w:color w:val="auto"/>
                      <w:szCs w:val="21"/>
                      <w:highlight w:val="none"/>
                      <w:lang w:val="zh-CN"/>
                    </w:rPr>
                  </w:pPr>
                </w:p>
              </w:tc>
              <w:tc>
                <w:tcPr>
                  <w:tcW w:w="1422" w:type="dxa"/>
                  <w:vMerge w:val="continue"/>
                  <w:tcBorders>
                    <w:tl2br w:val="nil"/>
                    <w:tr2bl w:val="nil"/>
                  </w:tcBorders>
                  <w:vAlign w:val="center"/>
                </w:tcPr>
                <w:p w14:paraId="7DCB7D13">
                  <w:pPr>
                    <w:tabs>
                      <w:tab w:val="left" w:pos="2601"/>
                    </w:tabs>
                    <w:spacing w:line="320" w:lineRule="exact"/>
                    <w:jc w:val="center"/>
                    <w:rPr>
                      <w:rFonts w:hint="default" w:ascii="Times New Roman" w:hAnsi="Times New Roman" w:cs="Times New Roman"/>
                      <w:color w:val="auto"/>
                      <w:szCs w:val="21"/>
                      <w:highlight w:val="none"/>
                      <w:lang w:val="zh-CN"/>
                    </w:rPr>
                  </w:pPr>
                </w:p>
              </w:tc>
              <w:tc>
                <w:tcPr>
                  <w:tcW w:w="1817" w:type="dxa"/>
                  <w:vMerge w:val="continue"/>
                  <w:tcBorders>
                    <w:tl2br w:val="nil"/>
                    <w:tr2bl w:val="nil"/>
                  </w:tcBorders>
                  <w:vAlign w:val="center"/>
                </w:tcPr>
                <w:p w14:paraId="19451D0B">
                  <w:pPr>
                    <w:tabs>
                      <w:tab w:val="left" w:pos="2601"/>
                    </w:tabs>
                    <w:spacing w:line="320" w:lineRule="exact"/>
                    <w:jc w:val="center"/>
                    <w:rPr>
                      <w:rFonts w:hint="default" w:ascii="Times New Roman" w:hAnsi="Times New Roman" w:cs="Times New Roman"/>
                      <w:color w:val="auto"/>
                      <w:szCs w:val="21"/>
                      <w:highlight w:val="none"/>
                      <w:lang w:val="zh-CN"/>
                    </w:rPr>
                  </w:pPr>
                </w:p>
              </w:tc>
              <w:tc>
                <w:tcPr>
                  <w:tcW w:w="1343" w:type="dxa"/>
                  <w:tcBorders>
                    <w:tl2br w:val="nil"/>
                    <w:tr2bl w:val="nil"/>
                  </w:tcBorders>
                  <w:vAlign w:val="center"/>
                </w:tcPr>
                <w:p w14:paraId="0716F3B1">
                  <w:pPr>
                    <w:tabs>
                      <w:tab w:val="left" w:pos="2601"/>
                    </w:tabs>
                    <w:spacing w:line="320" w:lineRule="exact"/>
                    <w:jc w:val="center"/>
                    <w:rPr>
                      <w:rFonts w:hint="default" w:ascii="Times New Roman" w:hAnsi="Times New Roman" w:cs="Times New Roman"/>
                      <w:color w:val="auto"/>
                      <w:szCs w:val="21"/>
                      <w:highlight w:val="none"/>
                      <w:lang w:val="zh-CN"/>
                    </w:rPr>
                  </w:pPr>
                  <w:r>
                    <w:rPr>
                      <w:rFonts w:hint="default" w:ascii="Times New Roman" w:hAnsi="Times New Roman" w:cs="Times New Roman"/>
                      <w:b/>
                      <w:bCs/>
                      <w:color w:val="auto"/>
                      <w:szCs w:val="21"/>
                      <w:highlight w:val="none"/>
                      <w:lang w:val="zh-CN"/>
                    </w:rPr>
                    <w:t>二级</w:t>
                  </w:r>
                </w:p>
              </w:tc>
              <w:tc>
                <w:tcPr>
                  <w:tcW w:w="961" w:type="dxa"/>
                  <w:vMerge w:val="continue"/>
                  <w:tcBorders>
                    <w:tl2br w:val="nil"/>
                    <w:tr2bl w:val="nil"/>
                  </w:tcBorders>
                  <w:vAlign w:val="center"/>
                </w:tcPr>
                <w:p w14:paraId="17444DFD">
                  <w:pPr>
                    <w:tabs>
                      <w:tab w:val="left" w:pos="2601"/>
                    </w:tabs>
                    <w:spacing w:line="320" w:lineRule="exact"/>
                    <w:jc w:val="center"/>
                    <w:rPr>
                      <w:rFonts w:hint="default" w:ascii="Times New Roman" w:hAnsi="Times New Roman" w:cs="Times New Roman"/>
                      <w:color w:val="auto"/>
                      <w:szCs w:val="21"/>
                      <w:highlight w:val="none"/>
                      <w:lang w:val="zh-CN"/>
                    </w:rPr>
                  </w:pPr>
                </w:p>
              </w:tc>
              <w:tc>
                <w:tcPr>
                  <w:tcW w:w="1038" w:type="dxa"/>
                  <w:vMerge w:val="continue"/>
                  <w:tcBorders>
                    <w:tl2br w:val="nil"/>
                    <w:tr2bl w:val="nil"/>
                  </w:tcBorders>
                  <w:vAlign w:val="center"/>
                </w:tcPr>
                <w:p w14:paraId="0F83D964">
                  <w:pPr>
                    <w:tabs>
                      <w:tab w:val="left" w:pos="2601"/>
                    </w:tabs>
                    <w:spacing w:line="320" w:lineRule="exact"/>
                    <w:jc w:val="center"/>
                    <w:rPr>
                      <w:rFonts w:hint="default" w:ascii="Times New Roman" w:hAnsi="Times New Roman" w:cs="Times New Roman"/>
                      <w:color w:val="auto"/>
                      <w:szCs w:val="21"/>
                      <w:highlight w:val="none"/>
                      <w:lang w:val="zh-CN"/>
                    </w:rPr>
                  </w:pPr>
                </w:p>
              </w:tc>
            </w:tr>
            <w:tr w14:paraId="11081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33" w:type="dxa"/>
                  <w:vMerge w:val="restart"/>
                  <w:tcBorders>
                    <w:tl2br w:val="nil"/>
                    <w:tr2bl w:val="nil"/>
                  </w:tcBorders>
                  <w:vAlign w:val="center"/>
                </w:tcPr>
                <w:p w14:paraId="1A03C0EC">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太白县</w:t>
                  </w:r>
                </w:p>
              </w:tc>
              <w:tc>
                <w:tcPr>
                  <w:tcW w:w="843" w:type="dxa"/>
                  <w:tcBorders>
                    <w:tl2br w:val="nil"/>
                    <w:tr2bl w:val="nil"/>
                  </w:tcBorders>
                  <w:vAlign w:val="center"/>
                </w:tcPr>
                <w:p w14:paraId="44BA092B">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PM</w:t>
                  </w:r>
                  <w:r>
                    <w:rPr>
                      <w:rFonts w:hint="default" w:ascii="Times New Roman" w:hAnsi="Times New Roman" w:cs="Times New Roman"/>
                      <w:color w:val="auto"/>
                      <w:szCs w:val="21"/>
                      <w:highlight w:val="none"/>
                      <w:vertAlign w:val="subscript"/>
                    </w:rPr>
                    <w:t>10</w:t>
                  </w:r>
                </w:p>
              </w:tc>
              <w:tc>
                <w:tcPr>
                  <w:tcW w:w="1422" w:type="dxa"/>
                  <w:tcBorders>
                    <w:tl2br w:val="nil"/>
                    <w:tr2bl w:val="nil"/>
                  </w:tcBorders>
                  <w:vAlign w:val="center"/>
                </w:tcPr>
                <w:p w14:paraId="56A21AAE">
                  <w:pPr>
                    <w:tabs>
                      <w:tab w:val="left" w:pos="2601"/>
                    </w:tabs>
                    <w:spacing w:line="320" w:lineRule="exac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26</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1817" w:type="dxa"/>
                  <w:vMerge w:val="restart"/>
                  <w:tcBorders>
                    <w:tl2br w:val="nil"/>
                    <w:tr2bl w:val="nil"/>
                  </w:tcBorders>
                  <w:vAlign w:val="center"/>
                </w:tcPr>
                <w:p w14:paraId="16F48806">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年平均质量浓度</w:t>
                  </w:r>
                </w:p>
              </w:tc>
              <w:tc>
                <w:tcPr>
                  <w:tcW w:w="1343" w:type="dxa"/>
                  <w:tcBorders>
                    <w:tl2br w:val="nil"/>
                    <w:tr2bl w:val="nil"/>
                  </w:tcBorders>
                  <w:vAlign w:val="center"/>
                </w:tcPr>
                <w:p w14:paraId="57760683">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60</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328C2DDD">
                  <w:pPr>
                    <w:spacing w:line="320" w:lineRule="exact"/>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lang w:val="zh-CN"/>
                    </w:rPr>
                    <w:t>达标</w:t>
                  </w:r>
                </w:p>
              </w:tc>
              <w:tc>
                <w:tcPr>
                  <w:tcW w:w="1038" w:type="dxa"/>
                  <w:tcBorders>
                    <w:tl2br w:val="nil"/>
                    <w:tr2bl w:val="nil"/>
                  </w:tcBorders>
                  <w:vAlign w:val="center"/>
                </w:tcPr>
                <w:p w14:paraId="70485C1D">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43.3</w:t>
                  </w:r>
                </w:p>
              </w:tc>
            </w:tr>
            <w:tr w14:paraId="76A00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33" w:type="dxa"/>
                  <w:vMerge w:val="continue"/>
                  <w:tcBorders>
                    <w:tl2br w:val="nil"/>
                    <w:tr2bl w:val="nil"/>
                  </w:tcBorders>
                  <w:vAlign w:val="center"/>
                </w:tcPr>
                <w:p w14:paraId="23AE98EA">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tcBorders>
                    <w:tl2br w:val="nil"/>
                    <w:tr2bl w:val="nil"/>
                  </w:tcBorders>
                  <w:vAlign w:val="center"/>
                </w:tcPr>
                <w:p w14:paraId="65B1C480">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PM</w:t>
                  </w:r>
                  <w:r>
                    <w:rPr>
                      <w:rFonts w:hint="default" w:ascii="Times New Roman" w:hAnsi="Times New Roman" w:cs="Times New Roman"/>
                      <w:color w:val="auto"/>
                      <w:szCs w:val="21"/>
                      <w:highlight w:val="none"/>
                      <w:vertAlign w:val="subscript"/>
                    </w:rPr>
                    <w:t>2.5</w:t>
                  </w:r>
                </w:p>
              </w:tc>
              <w:tc>
                <w:tcPr>
                  <w:tcW w:w="1422" w:type="dxa"/>
                  <w:tcBorders>
                    <w:tl2br w:val="nil"/>
                    <w:tr2bl w:val="nil"/>
                  </w:tcBorders>
                  <w:vAlign w:val="center"/>
                </w:tcPr>
                <w:p w14:paraId="21CC8FBB">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13</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1817" w:type="dxa"/>
                  <w:vMerge w:val="continue"/>
                  <w:tcBorders>
                    <w:tl2br w:val="nil"/>
                    <w:tr2bl w:val="nil"/>
                  </w:tcBorders>
                  <w:vAlign w:val="center"/>
                </w:tcPr>
                <w:p w14:paraId="63BEC07D">
                  <w:pPr>
                    <w:tabs>
                      <w:tab w:val="left" w:pos="2601"/>
                    </w:tabs>
                    <w:spacing w:line="320" w:lineRule="exact"/>
                    <w:jc w:val="center"/>
                    <w:rPr>
                      <w:rFonts w:hint="default" w:ascii="Times New Roman" w:hAnsi="Times New Roman" w:cs="Times New Roman"/>
                      <w:color w:val="auto"/>
                      <w:szCs w:val="21"/>
                      <w:highlight w:val="none"/>
                    </w:rPr>
                  </w:pPr>
                </w:p>
              </w:tc>
              <w:tc>
                <w:tcPr>
                  <w:tcW w:w="1343" w:type="dxa"/>
                  <w:tcBorders>
                    <w:tl2br w:val="nil"/>
                    <w:tr2bl w:val="nil"/>
                  </w:tcBorders>
                  <w:vAlign w:val="center"/>
                </w:tcPr>
                <w:p w14:paraId="7B5D9ACA">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30</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674EA5CE">
                  <w:pPr>
                    <w:spacing w:line="320" w:lineRule="exact"/>
                    <w:jc w:val="center"/>
                    <w:rPr>
                      <w:rFonts w:hint="default" w:ascii="Times New Roman" w:hAnsi="Times New Roman" w:cs="Times New Roman"/>
                      <w:color w:val="auto"/>
                      <w:szCs w:val="21"/>
                      <w:highlight w:val="none"/>
                      <w:lang w:val="zh-CN"/>
                    </w:rPr>
                  </w:pPr>
                  <w:r>
                    <w:rPr>
                      <w:rFonts w:hint="eastAsia" w:cs="Times New Roman"/>
                      <w:color w:val="auto"/>
                      <w:szCs w:val="21"/>
                      <w:highlight w:val="none"/>
                      <w:lang w:val="en-US" w:eastAsia="zh-CN"/>
                    </w:rPr>
                    <w:t>达标</w:t>
                  </w:r>
                </w:p>
              </w:tc>
              <w:tc>
                <w:tcPr>
                  <w:tcW w:w="1038" w:type="dxa"/>
                  <w:tcBorders>
                    <w:tl2br w:val="nil"/>
                    <w:tr2bl w:val="nil"/>
                  </w:tcBorders>
                  <w:vAlign w:val="center"/>
                </w:tcPr>
                <w:p w14:paraId="1569D8ED">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43.3</w:t>
                  </w:r>
                </w:p>
              </w:tc>
            </w:tr>
            <w:tr w14:paraId="2BD9A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33" w:type="dxa"/>
                  <w:vMerge w:val="continue"/>
                  <w:tcBorders>
                    <w:tl2br w:val="nil"/>
                    <w:tr2bl w:val="nil"/>
                  </w:tcBorders>
                  <w:vAlign w:val="center"/>
                </w:tcPr>
                <w:p w14:paraId="0A299763">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tcBorders>
                    <w:tl2br w:val="nil"/>
                    <w:tr2bl w:val="nil"/>
                  </w:tcBorders>
                  <w:vAlign w:val="center"/>
                </w:tcPr>
                <w:p w14:paraId="7884888B">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SO</w:t>
                  </w:r>
                  <w:r>
                    <w:rPr>
                      <w:rFonts w:hint="default" w:ascii="Times New Roman" w:hAnsi="Times New Roman" w:cs="Times New Roman"/>
                      <w:color w:val="auto"/>
                      <w:szCs w:val="21"/>
                      <w:highlight w:val="none"/>
                      <w:vertAlign w:val="subscript"/>
                    </w:rPr>
                    <w:t>2</w:t>
                  </w:r>
                </w:p>
              </w:tc>
              <w:tc>
                <w:tcPr>
                  <w:tcW w:w="1422" w:type="dxa"/>
                  <w:tcBorders>
                    <w:tl2br w:val="nil"/>
                    <w:tr2bl w:val="nil"/>
                  </w:tcBorders>
                  <w:vAlign w:val="center"/>
                </w:tcPr>
                <w:p w14:paraId="5654FE67">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1817" w:type="dxa"/>
                  <w:vMerge w:val="continue"/>
                  <w:tcBorders>
                    <w:tl2br w:val="nil"/>
                    <w:tr2bl w:val="nil"/>
                  </w:tcBorders>
                  <w:vAlign w:val="center"/>
                </w:tcPr>
                <w:p w14:paraId="455219FB">
                  <w:pPr>
                    <w:tabs>
                      <w:tab w:val="left" w:pos="2601"/>
                    </w:tabs>
                    <w:spacing w:line="320" w:lineRule="exact"/>
                    <w:jc w:val="center"/>
                    <w:rPr>
                      <w:rFonts w:hint="default" w:ascii="Times New Roman" w:hAnsi="Times New Roman" w:cs="Times New Roman"/>
                      <w:color w:val="auto"/>
                      <w:szCs w:val="21"/>
                      <w:highlight w:val="none"/>
                    </w:rPr>
                  </w:pPr>
                </w:p>
              </w:tc>
              <w:tc>
                <w:tcPr>
                  <w:tcW w:w="1343" w:type="dxa"/>
                  <w:tcBorders>
                    <w:tl2br w:val="nil"/>
                    <w:tr2bl w:val="nil"/>
                  </w:tcBorders>
                  <w:vAlign w:val="center"/>
                </w:tcPr>
                <w:p w14:paraId="48967447">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201B25A3">
                  <w:pPr>
                    <w:spacing w:line="320" w:lineRule="exact"/>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lang w:val="zh-CN"/>
                    </w:rPr>
                    <w:t>达标</w:t>
                  </w:r>
                </w:p>
              </w:tc>
              <w:tc>
                <w:tcPr>
                  <w:tcW w:w="1038" w:type="dxa"/>
                  <w:tcBorders>
                    <w:tl2br w:val="nil"/>
                    <w:tr2bl w:val="nil"/>
                  </w:tcBorders>
                  <w:vAlign w:val="center"/>
                </w:tcPr>
                <w:p w14:paraId="151C7AB7">
                  <w:pPr>
                    <w:tabs>
                      <w:tab w:val="left" w:pos="2601"/>
                    </w:tabs>
                    <w:spacing w:line="320" w:lineRule="exact"/>
                    <w:jc w:val="center"/>
                    <w:rPr>
                      <w:rFonts w:hint="default"/>
                      <w:color w:val="auto"/>
                      <w:lang w:val="en-US" w:eastAsia="zh-CN"/>
                    </w:rPr>
                  </w:pPr>
                  <w:r>
                    <w:rPr>
                      <w:rFonts w:hint="eastAsia" w:ascii="Times New Roman" w:hAnsi="Times New Roman" w:eastAsia="宋体" w:cs="Times New Roman"/>
                      <w:color w:val="auto"/>
                      <w:szCs w:val="21"/>
                      <w:highlight w:val="none"/>
                      <w:lang w:val="en-US" w:eastAsia="zh-CN"/>
                    </w:rPr>
                    <w:t>11.67</w:t>
                  </w:r>
                </w:p>
              </w:tc>
            </w:tr>
            <w:tr w14:paraId="0193F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33" w:type="dxa"/>
                  <w:vMerge w:val="continue"/>
                  <w:tcBorders>
                    <w:tl2br w:val="nil"/>
                    <w:tr2bl w:val="nil"/>
                  </w:tcBorders>
                  <w:vAlign w:val="center"/>
                </w:tcPr>
                <w:p w14:paraId="4ABFD4D9">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tcBorders>
                    <w:tl2br w:val="nil"/>
                    <w:tr2bl w:val="nil"/>
                  </w:tcBorders>
                  <w:vAlign w:val="center"/>
                </w:tcPr>
                <w:p w14:paraId="67DABF9B">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NO</w:t>
                  </w:r>
                  <w:r>
                    <w:rPr>
                      <w:rFonts w:hint="default" w:ascii="Times New Roman" w:hAnsi="Times New Roman" w:cs="Times New Roman"/>
                      <w:color w:val="auto"/>
                      <w:szCs w:val="21"/>
                      <w:highlight w:val="none"/>
                      <w:vertAlign w:val="subscript"/>
                    </w:rPr>
                    <w:t>2</w:t>
                  </w:r>
                </w:p>
              </w:tc>
              <w:tc>
                <w:tcPr>
                  <w:tcW w:w="1422" w:type="dxa"/>
                  <w:tcBorders>
                    <w:tl2br w:val="nil"/>
                    <w:tr2bl w:val="nil"/>
                  </w:tcBorders>
                  <w:vAlign w:val="center"/>
                </w:tcPr>
                <w:p w14:paraId="31172632">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1817" w:type="dxa"/>
                  <w:vMerge w:val="continue"/>
                  <w:tcBorders>
                    <w:tl2br w:val="nil"/>
                    <w:tr2bl w:val="nil"/>
                  </w:tcBorders>
                  <w:vAlign w:val="center"/>
                </w:tcPr>
                <w:p w14:paraId="5176FC11">
                  <w:pPr>
                    <w:tabs>
                      <w:tab w:val="left" w:pos="2601"/>
                    </w:tabs>
                    <w:spacing w:line="320" w:lineRule="exact"/>
                    <w:jc w:val="center"/>
                    <w:rPr>
                      <w:rFonts w:hint="default" w:ascii="Times New Roman" w:hAnsi="Times New Roman" w:cs="Times New Roman"/>
                      <w:color w:val="auto"/>
                      <w:szCs w:val="21"/>
                      <w:highlight w:val="none"/>
                    </w:rPr>
                  </w:pPr>
                </w:p>
              </w:tc>
              <w:tc>
                <w:tcPr>
                  <w:tcW w:w="1343" w:type="dxa"/>
                  <w:tcBorders>
                    <w:tl2br w:val="nil"/>
                    <w:tr2bl w:val="nil"/>
                  </w:tcBorders>
                  <w:vAlign w:val="center"/>
                </w:tcPr>
                <w:p w14:paraId="7B528E53">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1BEEBAEF">
                  <w:pPr>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zh-CN"/>
                    </w:rPr>
                    <w:t>达标</w:t>
                  </w:r>
                </w:p>
              </w:tc>
              <w:tc>
                <w:tcPr>
                  <w:tcW w:w="1038" w:type="dxa"/>
                  <w:tcBorders>
                    <w:tl2br w:val="nil"/>
                    <w:tr2bl w:val="nil"/>
                  </w:tcBorders>
                  <w:vAlign w:val="center"/>
                </w:tcPr>
                <w:p w14:paraId="3CC4211C">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22.5</w:t>
                  </w:r>
                </w:p>
              </w:tc>
            </w:tr>
            <w:tr w14:paraId="430C7A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dxa"/>
                  <w:vMerge w:val="continue"/>
                  <w:tcBorders>
                    <w:tl2br w:val="nil"/>
                    <w:tr2bl w:val="nil"/>
                  </w:tcBorders>
                  <w:vAlign w:val="center"/>
                </w:tcPr>
                <w:p w14:paraId="2B8865B9">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tcBorders>
                    <w:tl2br w:val="nil"/>
                    <w:tr2bl w:val="nil"/>
                  </w:tcBorders>
                  <w:vAlign w:val="center"/>
                </w:tcPr>
                <w:p w14:paraId="28AAF798">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CO</w:t>
                  </w:r>
                </w:p>
              </w:tc>
              <w:tc>
                <w:tcPr>
                  <w:tcW w:w="1422" w:type="dxa"/>
                  <w:tcBorders>
                    <w:tl2br w:val="nil"/>
                    <w:tr2bl w:val="nil"/>
                  </w:tcBorders>
                  <w:vAlign w:val="center"/>
                </w:tcPr>
                <w:p w14:paraId="34EF08F0">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0.6</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lang w:val="zh-CN"/>
                    </w:rPr>
                    <w:t>g/m</w:t>
                  </w:r>
                  <w:r>
                    <w:rPr>
                      <w:rFonts w:hint="default" w:ascii="Times New Roman" w:hAnsi="Times New Roman" w:cs="Times New Roman"/>
                      <w:color w:val="auto"/>
                      <w:szCs w:val="21"/>
                      <w:highlight w:val="none"/>
                      <w:vertAlign w:val="superscript"/>
                    </w:rPr>
                    <w:t>3</w:t>
                  </w:r>
                </w:p>
              </w:tc>
              <w:tc>
                <w:tcPr>
                  <w:tcW w:w="1817" w:type="dxa"/>
                  <w:tcBorders>
                    <w:tl2br w:val="nil"/>
                    <w:tr2bl w:val="nil"/>
                  </w:tcBorders>
                  <w:vAlign w:val="center"/>
                </w:tcPr>
                <w:p w14:paraId="22C2A884">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第95百分位浓度</w:t>
                  </w:r>
                </w:p>
              </w:tc>
              <w:tc>
                <w:tcPr>
                  <w:tcW w:w="1343" w:type="dxa"/>
                  <w:tcBorders>
                    <w:tl2br w:val="nil"/>
                    <w:tr2bl w:val="nil"/>
                  </w:tcBorders>
                  <w:vAlign w:val="center"/>
                </w:tcPr>
                <w:p w14:paraId="0C94C8EE">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4m</w:t>
                  </w:r>
                  <w:r>
                    <w:rPr>
                      <w:rFonts w:hint="default" w:ascii="Times New Roman" w:hAnsi="Times New Roman" w:cs="Times New Roman"/>
                      <w:color w:val="auto"/>
                      <w:szCs w:val="21"/>
                      <w:highlight w:val="none"/>
                      <w:lang w:val="zh-CN"/>
                    </w:rPr>
                    <w:t>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4528E0FD">
                  <w:pPr>
                    <w:spacing w:line="320" w:lineRule="exact"/>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lang w:val="zh-CN"/>
                    </w:rPr>
                    <w:t>达标</w:t>
                  </w:r>
                </w:p>
              </w:tc>
              <w:tc>
                <w:tcPr>
                  <w:tcW w:w="1038" w:type="dxa"/>
                  <w:tcBorders>
                    <w:tl2br w:val="nil"/>
                    <w:tr2bl w:val="nil"/>
                  </w:tcBorders>
                  <w:vAlign w:val="center"/>
                </w:tcPr>
                <w:p w14:paraId="145723B8">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15</w:t>
                  </w:r>
                </w:p>
              </w:tc>
            </w:tr>
            <w:tr w14:paraId="463DD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3" w:type="dxa"/>
                  <w:vMerge w:val="continue"/>
                  <w:tcBorders>
                    <w:tl2br w:val="nil"/>
                    <w:tr2bl w:val="nil"/>
                  </w:tcBorders>
                  <w:vAlign w:val="center"/>
                </w:tcPr>
                <w:p w14:paraId="7222A9C3">
                  <w:pPr>
                    <w:tabs>
                      <w:tab w:val="left" w:pos="2601"/>
                    </w:tabs>
                    <w:spacing w:line="320" w:lineRule="exact"/>
                    <w:jc w:val="center"/>
                    <w:rPr>
                      <w:rFonts w:hint="default" w:ascii="Times New Roman" w:hAnsi="Times New Roman" w:cs="Times New Roman"/>
                      <w:color w:val="auto"/>
                      <w:szCs w:val="21"/>
                      <w:highlight w:val="none"/>
                      <w:lang w:val="zh-CN"/>
                    </w:rPr>
                  </w:pPr>
                </w:p>
              </w:tc>
              <w:tc>
                <w:tcPr>
                  <w:tcW w:w="843" w:type="dxa"/>
                  <w:tcBorders>
                    <w:tl2br w:val="nil"/>
                    <w:tr2bl w:val="nil"/>
                  </w:tcBorders>
                  <w:vAlign w:val="center"/>
                </w:tcPr>
                <w:p w14:paraId="537434F0">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3</w:t>
                  </w:r>
                </w:p>
              </w:tc>
              <w:tc>
                <w:tcPr>
                  <w:tcW w:w="1422" w:type="dxa"/>
                  <w:tcBorders>
                    <w:tl2br w:val="nil"/>
                    <w:tr2bl w:val="nil"/>
                  </w:tcBorders>
                  <w:vAlign w:val="center"/>
                </w:tcPr>
                <w:p w14:paraId="31B51542">
                  <w:pPr>
                    <w:tabs>
                      <w:tab w:val="left" w:pos="2601"/>
                    </w:tabs>
                    <w:spacing w:line="320" w:lineRule="exact"/>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126</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1817" w:type="dxa"/>
                  <w:tcBorders>
                    <w:tl2br w:val="nil"/>
                    <w:tr2bl w:val="nil"/>
                  </w:tcBorders>
                  <w:vAlign w:val="center"/>
                </w:tcPr>
                <w:p w14:paraId="06CCF489">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第90百分位浓度</w:t>
                  </w:r>
                </w:p>
              </w:tc>
              <w:tc>
                <w:tcPr>
                  <w:tcW w:w="1343" w:type="dxa"/>
                  <w:tcBorders>
                    <w:tl2br w:val="nil"/>
                    <w:tr2bl w:val="nil"/>
                  </w:tcBorders>
                  <w:vAlign w:val="center"/>
                </w:tcPr>
                <w:p w14:paraId="45B338CE">
                  <w:pPr>
                    <w:tabs>
                      <w:tab w:val="left" w:pos="2601"/>
                    </w:tabs>
                    <w:spacing w:line="3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160</w:t>
                  </w:r>
                  <w:r>
                    <w:rPr>
                      <w:rFonts w:hint="default" w:ascii="Times New Roman" w:hAnsi="Times New Roman" w:cs="Times New Roman"/>
                      <w:color w:val="auto"/>
                      <w:szCs w:val="21"/>
                      <w:highlight w:val="none"/>
                      <w:lang w:val="zh-CN"/>
                    </w:rPr>
                    <w:t>µg/m</w:t>
                  </w:r>
                  <w:r>
                    <w:rPr>
                      <w:rFonts w:hint="default" w:ascii="Times New Roman" w:hAnsi="Times New Roman" w:cs="Times New Roman"/>
                      <w:color w:val="auto"/>
                      <w:szCs w:val="21"/>
                      <w:highlight w:val="none"/>
                      <w:vertAlign w:val="superscript"/>
                    </w:rPr>
                    <w:t>3</w:t>
                  </w:r>
                </w:p>
              </w:tc>
              <w:tc>
                <w:tcPr>
                  <w:tcW w:w="961" w:type="dxa"/>
                  <w:tcBorders>
                    <w:tl2br w:val="nil"/>
                    <w:tr2bl w:val="nil"/>
                  </w:tcBorders>
                  <w:vAlign w:val="center"/>
                </w:tcPr>
                <w:p w14:paraId="2812985B">
                  <w:pPr>
                    <w:spacing w:line="320" w:lineRule="exact"/>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lang w:val="zh-CN"/>
                    </w:rPr>
                    <w:t>达标</w:t>
                  </w:r>
                </w:p>
              </w:tc>
              <w:tc>
                <w:tcPr>
                  <w:tcW w:w="1038" w:type="dxa"/>
                  <w:tcBorders>
                    <w:tl2br w:val="nil"/>
                    <w:tr2bl w:val="nil"/>
                  </w:tcBorders>
                  <w:vAlign w:val="center"/>
                </w:tcPr>
                <w:p w14:paraId="76438BCC">
                  <w:pPr>
                    <w:tabs>
                      <w:tab w:val="left" w:pos="2601"/>
                    </w:tabs>
                    <w:spacing w:line="32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78.75</w:t>
                  </w:r>
                </w:p>
              </w:tc>
            </w:tr>
          </w:tbl>
          <w:p w14:paraId="3A859BA9">
            <w:pPr>
              <w:pStyle w:val="25"/>
              <w:adjustRightInd/>
              <w:snapToGrid/>
              <w:spacing w:line="360" w:lineRule="auto"/>
              <w:ind w:firstLine="48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rPr>
              <w:t>从表3-</w:t>
            </w:r>
            <w:r>
              <w:rPr>
                <w:rFonts w:hint="eastAsia"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rPr>
              <w:t>中可以看出，</w:t>
            </w:r>
            <w:r>
              <w:rPr>
                <w:rFonts w:hint="default" w:ascii="Times New Roman" w:hAnsi="Times New Roman" w:cs="Times New Roman"/>
                <w:color w:val="auto"/>
                <w:sz w:val="24"/>
                <w:szCs w:val="24"/>
                <w:highlight w:val="none"/>
                <w:lang w:val="en-US" w:eastAsia="zh-CN"/>
              </w:rPr>
              <w:t>项目所在地</w:t>
            </w:r>
            <w:r>
              <w:rPr>
                <w:rFonts w:hint="default" w:ascii="Times New Roman" w:hAnsi="Times New Roman" w:cs="Times New Roman"/>
                <w:color w:val="auto"/>
                <w:sz w:val="24"/>
                <w:szCs w:val="24"/>
                <w:highlight w:val="none"/>
                <w:lang w:val="en-US"/>
              </w:rPr>
              <w:t>宝鸡市</w:t>
            </w:r>
            <w:r>
              <w:rPr>
                <w:rFonts w:hint="default" w:ascii="Times New Roman" w:hAnsi="Times New Roman" w:cs="Times New Roman"/>
                <w:color w:val="auto"/>
                <w:sz w:val="24"/>
                <w:highlight w:val="none"/>
                <w:lang w:val="en-US" w:eastAsia="zh-CN"/>
              </w:rPr>
              <w:t>高新区</w:t>
            </w:r>
            <w:r>
              <w:rPr>
                <w:rFonts w:hint="default" w:ascii="Times New Roman" w:hAnsi="Times New Roman" w:cs="Times New Roman"/>
                <w:color w:val="auto"/>
                <w:sz w:val="24"/>
                <w:szCs w:val="24"/>
                <w:highlight w:val="none"/>
                <w:lang w:val="en-US" w:eastAsia="zh-CN"/>
              </w:rPr>
              <w:t>环境空气整体均能满足《环境空气质量标准》（GB3095-2026）过渡阶段浓度限值</w:t>
            </w:r>
            <w:r>
              <w:rPr>
                <w:rFonts w:hint="eastAsia" w:hAnsi="Times New Roman" w:cs="Times New Roman"/>
                <w:color w:val="auto"/>
                <w:sz w:val="24"/>
                <w:szCs w:val="24"/>
                <w:highlight w:val="none"/>
                <w:lang w:val="en-US" w:eastAsia="zh-CN"/>
              </w:rPr>
              <w:t>二级标准</w:t>
            </w:r>
            <w:r>
              <w:rPr>
                <w:rFonts w:hint="default" w:ascii="Times New Roman" w:hAnsi="Times New Roman" w:cs="Times New Roman"/>
                <w:color w:val="auto"/>
                <w:sz w:val="24"/>
                <w:szCs w:val="24"/>
                <w:highlight w:val="none"/>
                <w:lang w:val="en-US" w:eastAsia="zh-CN"/>
              </w:rPr>
              <w:t>。</w:t>
            </w:r>
          </w:p>
          <w:p w14:paraId="5AA4E86D">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声环境</w:t>
            </w:r>
          </w:p>
          <w:p w14:paraId="469370FF">
            <w:pPr>
              <w:pStyle w:val="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w:t>
            </w:r>
            <w:r>
              <w:rPr>
                <w:rFonts w:hint="eastAsia" w:cs="Times New Roman"/>
                <w:b w:val="0"/>
                <w:bCs w:val="0"/>
                <w:color w:val="auto"/>
                <w:kern w:val="2"/>
                <w:sz w:val="24"/>
                <w:szCs w:val="24"/>
                <w:highlight w:val="none"/>
                <w:lang w:val="en-US" w:eastAsia="zh-CN" w:bidi="ar-SA"/>
              </w:rPr>
              <w:t>项目项目外围 50m、评价范围 500m 范围内无居民住宅、学校、医院等</w:t>
            </w:r>
            <w:r>
              <w:rPr>
                <w:rFonts w:hint="default" w:ascii="Times New Roman" w:hAnsi="Times New Roman" w:eastAsia="宋体" w:cs="Times New Roman"/>
                <w:b w:val="0"/>
                <w:bCs w:val="0"/>
                <w:color w:val="auto"/>
                <w:kern w:val="2"/>
                <w:sz w:val="24"/>
                <w:szCs w:val="24"/>
                <w:highlight w:val="none"/>
                <w:lang w:val="en-US" w:eastAsia="zh-CN" w:bidi="ar-SA"/>
              </w:rPr>
              <w:t>声环境保护目标</w:t>
            </w:r>
            <w:r>
              <w:rPr>
                <w:rFonts w:hint="eastAsia" w:cs="Times New Roman"/>
                <w:b w:val="0"/>
                <w:bCs w:val="0"/>
                <w:color w:val="auto"/>
                <w:kern w:val="2"/>
                <w:sz w:val="24"/>
                <w:szCs w:val="24"/>
                <w:highlight w:val="none"/>
                <w:lang w:val="en-US" w:eastAsia="zh-CN" w:bidi="ar-SA"/>
              </w:rPr>
              <w:t>。依据《建设项目环境影响报告表编制技术指南</w:t>
            </w:r>
            <w:r>
              <w:rPr>
                <w:rFonts w:hint="eastAsia"/>
                <w:color w:val="auto"/>
                <w:lang w:eastAsia="zh-CN"/>
              </w:rPr>
              <w:t>（</w:t>
            </w:r>
            <w:r>
              <w:rPr>
                <w:rFonts w:hint="eastAsia"/>
                <w:color w:val="auto"/>
                <w:lang w:val="en-US" w:eastAsia="zh-CN"/>
              </w:rPr>
              <w:t>生态影响类</w:t>
            </w:r>
            <w:r>
              <w:rPr>
                <w:rFonts w:hint="eastAsia"/>
                <w:color w:val="auto"/>
                <w:lang w:eastAsia="zh-CN"/>
              </w:rPr>
              <w:t>）</w:t>
            </w:r>
            <w:r>
              <w:rPr>
                <w:rFonts w:hint="eastAsia" w:cs="Times New Roman"/>
                <w:b w:val="0"/>
                <w:bCs w:val="0"/>
                <w:color w:val="auto"/>
                <w:kern w:val="2"/>
                <w:sz w:val="24"/>
                <w:szCs w:val="24"/>
                <w:highlight w:val="none"/>
                <w:lang w:val="en-US" w:eastAsia="zh-CN" w:bidi="ar-SA"/>
              </w:rPr>
              <w:t>》，本项目无需开展声环境质量现状监测</w:t>
            </w:r>
            <w:r>
              <w:rPr>
                <w:rFonts w:hint="default" w:ascii="Times New Roman" w:hAnsi="Times New Roman" w:eastAsia="宋体" w:cs="Times New Roman"/>
                <w:b w:val="0"/>
                <w:bCs w:val="0"/>
                <w:color w:val="auto"/>
                <w:kern w:val="2"/>
                <w:sz w:val="24"/>
                <w:szCs w:val="24"/>
                <w:highlight w:val="none"/>
                <w:lang w:val="en-US" w:eastAsia="zh-CN" w:bidi="ar-SA"/>
              </w:rPr>
              <w:t>。</w:t>
            </w:r>
          </w:p>
          <w:p w14:paraId="16251B3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b/>
                <w:bCs/>
                <w:color w:val="auto"/>
                <w:sz w:val="24"/>
                <w:szCs w:val="24"/>
                <w:lang w:val="en-US" w:eastAsia="zh-CN"/>
              </w:rPr>
            </w:pPr>
            <w:r>
              <w:rPr>
                <w:rFonts w:hint="eastAsia"/>
                <w:b/>
                <w:bCs/>
                <w:color w:val="auto"/>
                <w:sz w:val="24"/>
                <w:szCs w:val="24"/>
                <w:lang w:val="en-US" w:eastAsia="zh-CN"/>
              </w:rPr>
              <w:t>4.</w:t>
            </w:r>
            <w:r>
              <w:rPr>
                <w:rFonts w:hint="default"/>
                <w:b/>
                <w:bCs/>
                <w:color w:val="auto"/>
                <w:sz w:val="24"/>
                <w:szCs w:val="24"/>
                <w:lang w:val="en-US" w:eastAsia="zh-CN"/>
              </w:rPr>
              <w:t>地表水环境</w:t>
            </w:r>
          </w:p>
          <w:p w14:paraId="6A2288F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评价范围内红岩河支流马槽沟、古迹沟河床大面积裸露完整基岩，河道坡降大、水流冲刷能力强，细颗粒泥沙无法长期淤积留存，河道不存在厚层淤泥底泥，无重金属长期富集形成内源污染库的水文地质条件。结合本项目废渣堆为政府定性低风险点位，工程采用全坡面防渗+环形截排水源头阻断重金属淋溶泥沙入河，不存在持续向河道输入泥沙的稳定污染源。依据《环境影响评价技术导则 地表水环境》（HJ2.3-2018）相关要求，本项目无需开展河道底泥沉积物采样监测；项目通过地表水多断面分三期跟踪监测、完善源头防渗截排水、施工期泥沙拦截、雨后河道清淤巡检等多重措施，全面管控流域水环境重金属污染风险，完整反映工程建设对红岩河水环境的影响程度。</w:t>
            </w:r>
          </w:p>
          <w:p w14:paraId="53D4CC7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w:t>
            </w:r>
            <w:r>
              <w:rPr>
                <w:rFonts w:hint="default"/>
                <w:color w:val="auto"/>
                <w:sz w:val="24"/>
                <w:szCs w:val="24"/>
                <w:lang w:val="en-US" w:eastAsia="zh-CN"/>
              </w:rPr>
              <w:t>为了解项目所在区域地表水环境质量现状，本次地表水环境质量现状</w:t>
            </w:r>
            <w:r>
              <w:rPr>
                <w:rFonts w:hint="eastAsia"/>
                <w:color w:val="auto"/>
                <w:sz w:val="24"/>
                <w:szCs w:val="24"/>
                <w:lang w:val="en-US" w:eastAsia="zh-CN"/>
              </w:rPr>
              <w:t>引用</w:t>
            </w:r>
            <w:r>
              <w:rPr>
                <w:rFonts w:hint="default"/>
                <w:color w:val="auto"/>
                <w:sz w:val="24"/>
                <w:szCs w:val="24"/>
                <w:lang w:val="en-US" w:eastAsia="zh-CN"/>
              </w:rPr>
              <w:t>建设单位委托</w:t>
            </w:r>
            <w:r>
              <w:rPr>
                <w:rFonts w:hint="eastAsia"/>
                <w:color w:val="auto"/>
                <w:sz w:val="24"/>
                <w:szCs w:val="24"/>
                <w:lang w:val="en-US" w:eastAsia="zh-CN"/>
              </w:rPr>
              <w:t>陕西省地质矿产实验研究所</w:t>
            </w:r>
            <w:r>
              <w:rPr>
                <w:rFonts w:hint="default"/>
                <w:color w:val="auto"/>
                <w:sz w:val="24"/>
                <w:szCs w:val="24"/>
                <w:lang w:val="en-US" w:eastAsia="zh-CN"/>
              </w:rPr>
              <w:t>有限公司对项目区的水环境质量监测</w:t>
            </w:r>
            <w:r>
              <w:rPr>
                <w:rFonts w:hint="eastAsia"/>
                <w:color w:val="auto"/>
                <w:sz w:val="24"/>
                <w:szCs w:val="24"/>
                <w:lang w:val="en-US" w:eastAsia="zh-CN"/>
              </w:rPr>
              <w:t>数据</w:t>
            </w:r>
            <w:r>
              <w:rPr>
                <w:rFonts w:hint="default"/>
                <w:color w:val="auto"/>
                <w:sz w:val="24"/>
                <w:szCs w:val="24"/>
                <w:lang w:val="en-US" w:eastAsia="zh-CN"/>
              </w:rPr>
              <w:t>，</w:t>
            </w:r>
            <w:r>
              <w:rPr>
                <w:rFonts w:hint="eastAsia"/>
                <w:color w:val="auto"/>
                <w:sz w:val="24"/>
                <w:szCs w:val="24"/>
                <w:lang w:val="en-US" w:eastAsia="zh-CN"/>
              </w:rPr>
              <w:t>监测数据详见表3-2，引用监测报告详见附件5。</w:t>
            </w:r>
          </w:p>
          <w:p w14:paraId="0B9AE9E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表3-2  地表水水质监测结果</w:t>
            </w:r>
          </w:p>
          <w:tbl>
            <w:tblPr>
              <w:tblStyle w:val="15"/>
              <w:tblW w:w="8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1"/>
              <w:gridCol w:w="550"/>
              <w:gridCol w:w="825"/>
              <w:gridCol w:w="1028"/>
              <w:gridCol w:w="802"/>
              <w:gridCol w:w="802"/>
              <w:gridCol w:w="802"/>
              <w:gridCol w:w="802"/>
              <w:gridCol w:w="802"/>
              <w:gridCol w:w="805"/>
            </w:tblGrid>
            <w:tr w14:paraId="6DB63C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01" w:type="dxa"/>
                  <w:vMerge w:val="restart"/>
                  <w:tcBorders>
                    <w:tl2br w:val="nil"/>
                    <w:tr2bl w:val="nil"/>
                  </w:tcBorders>
                  <w:vAlign w:val="center"/>
                </w:tcPr>
                <w:p w14:paraId="27DC8F6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监测点位</w:t>
                  </w:r>
                </w:p>
              </w:tc>
              <w:tc>
                <w:tcPr>
                  <w:tcW w:w="7218" w:type="dxa"/>
                  <w:gridSpan w:val="9"/>
                  <w:tcBorders>
                    <w:tl2br w:val="nil"/>
                    <w:tr2bl w:val="nil"/>
                  </w:tcBorders>
                  <w:vAlign w:val="center"/>
                </w:tcPr>
                <w:p w14:paraId="49B4C9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监测结果（mg/L）</w:t>
                  </w:r>
                </w:p>
              </w:tc>
            </w:tr>
            <w:tr w14:paraId="27C57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01" w:type="dxa"/>
                  <w:vMerge w:val="continue"/>
                  <w:tcBorders>
                    <w:tl2br w:val="nil"/>
                    <w:tr2bl w:val="nil"/>
                  </w:tcBorders>
                  <w:vAlign w:val="center"/>
                </w:tcPr>
                <w:p w14:paraId="7BFA7D1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p>
              </w:tc>
              <w:tc>
                <w:tcPr>
                  <w:tcW w:w="550" w:type="dxa"/>
                  <w:tcBorders>
                    <w:tl2br w:val="nil"/>
                    <w:tr2bl w:val="nil"/>
                  </w:tcBorders>
                  <w:vAlign w:val="center"/>
                </w:tcPr>
                <w:p w14:paraId="4AEF761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pH</w:t>
                  </w:r>
                </w:p>
              </w:tc>
              <w:tc>
                <w:tcPr>
                  <w:tcW w:w="825" w:type="dxa"/>
                  <w:tcBorders>
                    <w:tl2br w:val="nil"/>
                    <w:tr2bl w:val="nil"/>
                  </w:tcBorders>
                  <w:vAlign w:val="center"/>
                </w:tcPr>
                <w:p w14:paraId="2E1F3EF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汞</w:t>
                  </w:r>
                </w:p>
              </w:tc>
              <w:tc>
                <w:tcPr>
                  <w:tcW w:w="1028" w:type="dxa"/>
                  <w:tcBorders>
                    <w:tl2br w:val="nil"/>
                    <w:tr2bl w:val="nil"/>
                  </w:tcBorders>
                  <w:vAlign w:val="center"/>
                </w:tcPr>
                <w:p w14:paraId="0F1BBB1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default"/>
                      <w:color w:val="auto"/>
                      <w:sz w:val="21"/>
                      <w:szCs w:val="21"/>
                      <w:lang w:val="en-US" w:eastAsia="zh-CN"/>
                    </w:rPr>
                    <w:t>铬</w:t>
                  </w:r>
                  <w:r>
                    <w:rPr>
                      <w:rFonts w:hint="eastAsia"/>
                      <w:color w:val="auto"/>
                      <w:sz w:val="21"/>
                      <w:szCs w:val="21"/>
                      <w:lang w:val="en-US" w:eastAsia="zh-CN"/>
                    </w:rPr>
                    <w:t>（</w:t>
                  </w:r>
                  <w:r>
                    <w:rPr>
                      <w:rFonts w:hint="default"/>
                      <w:color w:val="auto"/>
                      <w:sz w:val="21"/>
                      <w:szCs w:val="21"/>
                      <w:lang w:val="en-US" w:eastAsia="zh-CN"/>
                    </w:rPr>
                    <w:t>六价</w:t>
                  </w:r>
                  <w:r>
                    <w:rPr>
                      <w:rFonts w:hint="eastAsia"/>
                      <w:color w:val="auto"/>
                      <w:sz w:val="21"/>
                      <w:szCs w:val="21"/>
                      <w:lang w:val="en-US" w:eastAsia="zh-CN"/>
                    </w:rPr>
                    <w:t>）</w:t>
                  </w:r>
                </w:p>
              </w:tc>
              <w:tc>
                <w:tcPr>
                  <w:tcW w:w="802" w:type="dxa"/>
                  <w:tcBorders>
                    <w:tl2br w:val="nil"/>
                    <w:tr2bl w:val="nil"/>
                  </w:tcBorders>
                  <w:vAlign w:val="center"/>
                </w:tcPr>
                <w:p w14:paraId="2E4BA21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铊</w:t>
                  </w:r>
                </w:p>
              </w:tc>
              <w:tc>
                <w:tcPr>
                  <w:tcW w:w="802" w:type="dxa"/>
                  <w:tcBorders>
                    <w:tl2br w:val="nil"/>
                    <w:tr2bl w:val="nil"/>
                  </w:tcBorders>
                  <w:vAlign w:val="center"/>
                </w:tcPr>
                <w:p w14:paraId="29E563F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lang w:val="en-US" w:eastAsia="zh-CN"/>
                    </w:rPr>
                    <w:t>铅</w:t>
                  </w:r>
                </w:p>
              </w:tc>
              <w:tc>
                <w:tcPr>
                  <w:tcW w:w="802" w:type="dxa"/>
                  <w:tcBorders>
                    <w:tl2br w:val="nil"/>
                    <w:tr2bl w:val="nil"/>
                  </w:tcBorders>
                  <w:vAlign w:val="center"/>
                </w:tcPr>
                <w:p w14:paraId="3B9D0CD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镍</w:t>
                  </w:r>
                </w:p>
              </w:tc>
              <w:tc>
                <w:tcPr>
                  <w:tcW w:w="802" w:type="dxa"/>
                  <w:tcBorders>
                    <w:tl2br w:val="nil"/>
                    <w:tr2bl w:val="nil"/>
                  </w:tcBorders>
                  <w:vAlign w:val="center"/>
                </w:tcPr>
                <w:p w14:paraId="68539E1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砷</w:t>
                  </w:r>
                </w:p>
              </w:tc>
              <w:tc>
                <w:tcPr>
                  <w:tcW w:w="802" w:type="dxa"/>
                  <w:tcBorders>
                    <w:tl2br w:val="nil"/>
                    <w:tr2bl w:val="nil"/>
                  </w:tcBorders>
                  <w:vAlign w:val="center"/>
                </w:tcPr>
                <w:p w14:paraId="4F0C02B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铜</w:t>
                  </w:r>
                </w:p>
              </w:tc>
              <w:tc>
                <w:tcPr>
                  <w:tcW w:w="805" w:type="dxa"/>
                  <w:tcBorders>
                    <w:tl2br w:val="nil"/>
                    <w:tr2bl w:val="nil"/>
                  </w:tcBorders>
                  <w:vAlign w:val="center"/>
                </w:tcPr>
                <w:p w14:paraId="3F74C27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default"/>
                      <w:color w:val="auto"/>
                      <w:sz w:val="21"/>
                      <w:szCs w:val="21"/>
                      <w:lang w:val="en-US" w:eastAsia="zh-CN"/>
                    </w:rPr>
                    <w:t>锌</w:t>
                  </w:r>
                </w:p>
              </w:tc>
            </w:tr>
            <w:tr w14:paraId="05B71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6DA074A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DBS1</w:t>
                  </w:r>
                </w:p>
              </w:tc>
              <w:tc>
                <w:tcPr>
                  <w:tcW w:w="550" w:type="dxa"/>
                  <w:tcBorders>
                    <w:tl2br w:val="nil"/>
                    <w:tr2bl w:val="nil"/>
                  </w:tcBorders>
                  <w:vAlign w:val="center"/>
                </w:tcPr>
                <w:p w14:paraId="1FD5F13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8.2</w:t>
                  </w:r>
                </w:p>
              </w:tc>
              <w:tc>
                <w:tcPr>
                  <w:tcW w:w="825" w:type="dxa"/>
                  <w:tcBorders>
                    <w:tl2br w:val="nil"/>
                    <w:tr2bl w:val="nil"/>
                  </w:tcBorders>
                  <w:vAlign w:val="center"/>
                </w:tcPr>
                <w:p w14:paraId="4F6F1F7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0.00004ND</w:t>
                  </w:r>
                </w:p>
              </w:tc>
              <w:tc>
                <w:tcPr>
                  <w:tcW w:w="1028" w:type="dxa"/>
                  <w:tcBorders>
                    <w:tl2br w:val="nil"/>
                    <w:tr2bl w:val="nil"/>
                  </w:tcBorders>
                  <w:vAlign w:val="center"/>
                </w:tcPr>
                <w:p w14:paraId="5D519D0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c>
                <w:tcPr>
                  <w:tcW w:w="802" w:type="dxa"/>
                  <w:tcBorders>
                    <w:tl2br w:val="nil"/>
                    <w:tr2bl w:val="nil"/>
                  </w:tcBorders>
                  <w:vAlign w:val="center"/>
                </w:tcPr>
                <w:p w14:paraId="2FB1DBD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0.00002ND</w:t>
                  </w:r>
                </w:p>
              </w:tc>
              <w:tc>
                <w:tcPr>
                  <w:tcW w:w="802" w:type="dxa"/>
                  <w:tcBorders>
                    <w:tl2br w:val="nil"/>
                    <w:tr2bl w:val="nil"/>
                  </w:tcBorders>
                  <w:vAlign w:val="center"/>
                </w:tcPr>
                <w:p w14:paraId="0AFD402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0.00009ND</w:t>
                  </w:r>
                </w:p>
              </w:tc>
              <w:tc>
                <w:tcPr>
                  <w:tcW w:w="802" w:type="dxa"/>
                  <w:tcBorders>
                    <w:tl2br w:val="nil"/>
                    <w:tr2bl w:val="nil"/>
                  </w:tcBorders>
                  <w:vAlign w:val="center"/>
                </w:tcPr>
                <w:p w14:paraId="5573D6E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0.0001</w:t>
                  </w:r>
                </w:p>
              </w:tc>
              <w:tc>
                <w:tcPr>
                  <w:tcW w:w="802" w:type="dxa"/>
                  <w:tcBorders>
                    <w:tl2br w:val="nil"/>
                    <w:tr2bl w:val="nil"/>
                  </w:tcBorders>
                  <w:vAlign w:val="center"/>
                </w:tcPr>
                <w:p w14:paraId="38A3F2F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0.00050</w:t>
                  </w:r>
                </w:p>
              </w:tc>
              <w:tc>
                <w:tcPr>
                  <w:tcW w:w="802" w:type="dxa"/>
                  <w:tcBorders>
                    <w:tl2br w:val="nil"/>
                    <w:tr2bl w:val="nil"/>
                  </w:tcBorders>
                  <w:vAlign w:val="center"/>
                </w:tcPr>
                <w:p w14:paraId="66ED5D7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0.006ND</w:t>
                  </w:r>
                </w:p>
              </w:tc>
              <w:tc>
                <w:tcPr>
                  <w:tcW w:w="805" w:type="dxa"/>
                  <w:tcBorders>
                    <w:tl2br w:val="nil"/>
                    <w:tr2bl w:val="nil"/>
                  </w:tcBorders>
                  <w:vAlign w:val="center"/>
                </w:tcPr>
                <w:p w14:paraId="4207462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r>
            <w:tr w14:paraId="4D4164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0C0372B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DBS2</w:t>
                  </w:r>
                </w:p>
              </w:tc>
              <w:tc>
                <w:tcPr>
                  <w:tcW w:w="550" w:type="dxa"/>
                  <w:tcBorders>
                    <w:tl2br w:val="nil"/>
                    <w:tr2bl w:val="nil"/>
                  </w:tcBorders>
                  <w:vAlign w:val="center"/>
                </w:tcPr>
                <w:p w14:paraId="0F06BF9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8.0</w:t>
                  </w:r>
                </w:p>
              </w:tc>
              <w:tc>
                <w:tcPr>
                  <w:tcW w:w="825" w:type="dxa"/>
                  <w:tcBorders>
                    <w:tl2br w:val="nil"/>
                    <w:tr2bl w:val="nil"/>
                  </w:tcBorders>
                  <w:vAlign w:val="center"/>
                </w:tcPr>
                <w:p w14:paraId="115848F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0.00004ND</w:t>
                  </w:r>
                </w:p>
              </w:tc>
              <w:tc>
                <w:tcPr>
                  <w:tcW w:w="1028" w:type="dxa"/>
                  <w:tcBorders>
                    <w:tl2br w:val="nil"/>
                    <w:tr2bl w:val="nil"/>
                  </w:tcBorders>
                  <w:vAlign w:val="center"/>
                </w:tcPr>
                <w:p w14:paraId="13A16E7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c>
                <w:tcPr>
                  <w:tcW w:w="802" w:type="dxa"/>
                  <w:tcBorders>
                    <w:tl2br w:val="nil"/>
                    <w:tr2bl w:val="nil"/>
                  </w:tcBorders>
                  <w:vAlign w:val="center"/>
                </w:tcPr>
                <w:p w14:paraId="07A37BA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0.00002ND</w:t>
                  </w:r>
                </w:p>
              </w:tc>
              <w:tc>
                <w:tcPr>
                  <w:tcW w:w="802" w:type="dxa"/>
                  <w:tcBorders>
                    <w:tl2br w:val="nil"/>
                    <w:tr2bl w:val="nil"/>
                  </w:tcBorders>
                  <w:vAlign w:val="center"/>
                </w:tcPr>
                <w:p w14:paraId="6BD165E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0.00009ND</w:t>
                  </w:r>
                </w:p>
              </w:tc>
              <w:tc>
                <w:tcPr>
                  <w:tcW w:w="802" w:type="dxa"/>
                  <w:tcBorders>
                    <w:tl2br w:val="nil"/>
                    <w:tr2bl w:val="nil"/>
                  </w:tcBorders>
                  <w:vAlign w:val="center"/>
                </w:tcPr>
                <w:p w14:paraId="45FDA58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0.00006ND</w:t>
                  </w:r>
                </w:p>
              </w:tc>
              <w:tc>
                <w:tcPr>
                  <w:tcW w:w="802" w:type="dxa"/>
                  <w:tcBorders>
                    <w:tl2br w:val="nil"/>
                    <w:tr2bl w:val="nil"/>
                  </w:tcBorders>
                  <w:vAlign w:val="center"/>
                </w:tcPr>
                <w:p w14:paraId="32F0456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0.00046</w:t>
                  </w:r>
                </w:p>
              </w:tc>
              <w:tc>
                <w:tcPr>
                  <w:tcW w:w="802" w:type="dxa"/>
                  <w:tcBorders>
                    <w:tl2br w:val="nil"/>
                    <w:tr2bl w:val="nil"/>
                  </w:tcBorders>
                  <w:vAlign w:val="center"/>
                </w:tcPr>
                <w:p w14:paraId="1F4CE51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0.006ND</w:t>
                  </w:r>
                </w:p>
              </w:tc>
              <w:tc>
                <w:tcPr>
                  <w:tcW w:w="805" w:type="dxa"/>
                  <w:tcBorders>
                    <w:tl2br w:val="nil"/>
                    <w:tr2bl w:val="nil"/>
                  </w:tcBorders>
                  <w:vAlign w:val="center"/>
                </w:tcPr>
                <w:p w14:paraId="6EABFB2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r>
            <w:tr w14:paraId="5F0CA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66632BF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DBS3</w:t>
                  </w:r>
                </w:p>
              </w:tc>
              <w:tc>
                <w:tcPr>
                  <w:tcW w:w="550" w:type="dxa"/>
                  <w:tcBorders>
                    <w:tl2br w:val="nil"/>
                    <w:tr2bl w:val="nil"/>
                  </w:tcBorders>
                  <w:vAlign w:val="center"/>
                </w:tcPr>
                <w:p w14:paraId="1DE2926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7.9</w:t>
                  </w:r>
                </w:p>
              </w:tc>
              <w:tc>
                <w:tcPr>
                  <w:tcW w:w="825" w:type="dxa"/>
                  <w:tcBorders>
                    <w:tl2br w:val="nil"/>
                    <w:tr2bl w:val="nil"/>
                  </w:tcBorders>
                  <w:vAlign w:val="center"/>
                </w:tcPr>
                <w:p w14:paraId="0D79695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0.00004ND</w:t>
                  </w:r>
                </w:p>
              </w:tc>
              <w:tc>
                <w:tcPr>
                  <w:tcW w:w="1028" w:type="dxa"/>
                  <w:tcBorders>
                    <w:tl2br w:val="nil"/>
                    <w:tr2bl w:val="nil"/>
                  </w:tcBorders>
                  <w:vAlign w:val="center"/>
                </w:tcPr>
                <w:p w14:paraId="0A8A92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c>
                <w:tcPr>
                  <w:tcW w:w="802" w:type="dxa"/>
                  <w:tcBorders>
                    <w:tl2br w:val="nil"/>
                    <w:tr2bl w:val="nil"/>
                  </w:tcBorders>
                  <w:vAlign w:val="center"/>
                </w:tcPr>
                <w:p w14:paraId="7DB5AFF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0.00002ND</w:t>
                  </w:r>
                </w:p>
              </w:tc>
              <w:tc>
                <w:tcPr>
                  <w:tcW w:w="802" w:type="dxa"/>
                  <w:tcBorders>
                    <w:tl2br w:val="nil"/>
                    <w:tr2bl w:val="nil"/>
                  </w:tcBorders>
                  <w:vAlign w:val="center"/>
                </w:tcPr>
                <w:p w14:paraId="19366D0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0.00009ND</w:t>
                  </w:r>
                </w:p>
              </w:tc>
              <w:tc>
                <w:tcPr>
                  <w:tcW w:w="802" w:type="dxa"/>
                  <w:tcBorders>
                    <w:tl2br w:val="nil"/>
                    <w:tr2bl w:val="nil"/>
                  </w:tcBorders>
                  <w:vAlign w:val="center"/>
                </w:tcPr>
                <w:p w14:paraId="62CBB2B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0.001</w:t>
                  </w:r>
                </w:p>
              </w:tc>
              <w:tc>
                <w:tcPr>
                  <w:tcW w:w="802" w:type="dxa"/>
                  <w:tcBorders>
                    <w:tl2br w:val="nil"/>
                    <w:tr2bl w:val="nil"/>
                  </w:tcBorders>
                  <w:vAlign w:val="center"/>
                </w:tcPr>
                <w:p w14:paraId="68687C0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0.00026</w:t>
                  </w:r>
                </w:p>
              </w:tc>
              <w:tc>
                <w:tcPr>
                  <w:tcW w:w="802" w:type="dxa"/>
                  <w:tcBorders>
                    <w:tl2br w:val="nil"/>
                    <w:tr2bl w:val="nil"/>
                  </w:tcBorders>
                  <w:vAlign w:val="center"/>
                </w:tcPr>
                <w:p w14:paraId="328C2D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0.006ND</w:t>
                  </w:r>
                </w:p>
              </w:tc>
              <w:tc>
                <w:tcPr>
                  <w:tcW w:w="805" w:type="dxa"/>
                  <w:tcBorders>
                    <w:tl2br w:val="nil"/>
                    <w:tr2bl w:val="nil"/>
                  </w:tcBorders>
                  <w:vAlign w:val="center"/>
                </w:tcPr>
                <w:p w14:paraId="36A3B75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0.059</w:t>
                  </w:r>
                </w:p>
              </w:tc>
            </w:tr>
            <w:tr w14:paraId="14E70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672E9B7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DBS1</w:t>
                  </w:r>
                  <w:r>
                    <w:rPr>
                      <w:rFonts w:hint="eastAsia"/>
                      <w:color w:val="auto"/>
                      <w:sz w:val="21"/>
                      <w:szCs w:val="21"/>
                      <w:vertAlign w:val="superscript"/>
                      <w:lang w:val="en-US" w:eastAsia="zh-CN"/>
                    </w:rPr>
                    <w:t>`</w:t>
                  </w:r>
                </w:p>
              </w:tc>
              <w:tc>
                <w:tcPr>
                  <w:tcW w:w="550" w:type="dxa"/>
                  <w:tcBorders>
                    <w:tl2br w:val="nil"/>
                    <w:tr2bl w:val="nil"/>
                  </w:tcBorders>
                  <w:vAlign w:val="center"/>
                </w:tcPr>
                <w:p w14:paraId="2AD019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8.1</w:t>
                  </w:r>
                </w:p>
              </w:tc>
              <w:tc>
                <w:tcPr>
                  <w:tcW w:w="825" w:type="dxa"/>
                  <w:tcBorders>
                    <w:tl2br w:val="nil"/>
                    <w:tr2bl w:val="nil"/>
                  </w:tcBorders>
                  <w:vAlign w:val="center"/>
                </w:tcPr>
                <w:p w14:paraId="46296FA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0.00004ND</w:t>
                  </w:r>
                </w:p>
              </w:tc>
              <w:tc>
                <w:tcPr>
                  <w:tcW w:w="1028" w:type="dxa"/>
                  <w:tcBorders>
                    <w:tl2br w:val="nil"/>
                    <w:tr2bl w:val="nil"/>
                  </w:tcBorders>
                  <w:vAlign w:val="center"/>
                </w:tcPr>
                <w:p w14:paraId="1672689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c>
                <w:tcPr>
                  <w:tcW w:w="802" w:type="dxa"/>
                  <w:tcBorders>
                    <w:tl2br w:val="nil"/>
                    <w:tr2bl w:val="nil"/>
                  </w:tcBorders>
                  <w:vAlign w:val="center"/>
                </w:tcPr>
                <w:p w14:paraId="609FF4E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0.00002ND</w:t>
                  </w:r>
                </w:p>
              </w:tc>
              <w:tc>
                <w:tcPr>
                  <w:tcW w:w="802" w:type="dxa"/>
                  <w:tcBorders>
                    <w:tl2br w:val="nil"/>
                    <w:tr2bl w:val="nil"/>
                  </w:tcBorders>
                  <w:vAlign w:val="center"/>
                </w:tcPr>
                <w:p w14:paraId="39E0190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0.00009ND</w:t>
                  </w:r>
                </w:p>
              </w:tc>
              <w:tc>
                <w:tcPr>
                  <w:tcW w:w="802" w:type="dxa"/>
                  <w:tcBorders>
                    <w:tl2br w:val="nil"/>
                    <w:tr2bl w:val="nil"/>
                  </w:tcBorders>
                  <w:vAlign w:val="center"/>
                </w:tcPr>
                <w:p w14:paraId="1339321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0.00032</w:t>
                  </w:r>
                </w:p>
              </w:tc>
              <w:tc>
                <w:tcPr>
                  <w:tcW w:w="802" w:type="dxa"/>
                  <w:tcBorders>
                    <w:tl2br w:val="nil"/>
                    <w:tr2bl w:val="nil"/>
                  </w:tcBorders>
                  <w:vAlign w:val="center"/>
                </w:tcPr>
                <w:p w14:paraId="07A9AC4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0.00050</w:t>
                  </w:r>
                </w:p>
              </w:tc>
              <w:tc>
                <w:tcPr>
                  <w:tcW w:w="802" w:type="dxa"/>
                  <w:tcBorders>
                    <w:tl2br w:val="nil"/>
                    <w:tr2bl w:val="nil"/>
                  </w:tcBorders>
                  <w:vAlign w:val="center"/>
                </w:tcPr>
                <w:p w14:paraId="5825E37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0.006ND</w:t>
                  </w:r>
                </w:p>
              </w:tc>
              <w:tc>
                <w:tcPr>
                  <w:tcW w:w="805" w:type="dxa"/>
                  <w:tcBorders>
                    <w:tl2br w:val="nil"/>
                    <w:tr2bl w:val="nil"/>
                  </w:tcBorders>
                  <w:vAlign w:val="center"/>
                </w:tcPr>
                <w:p w14:paraId="3C3944D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w:t>
                  </w:r>
                </w:p>
              </w:tc>
            </w:tr>
            <w:tr w14:paraId="032870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4099E29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DBS2</w:t>
                  </w:r>
                  <w:r>
                    <w:rPr>
                      <w:rFonts w:hint="eastAsia"/>
                      <w:color w:val="auto"/>
                      <w:sz w:val="21"/>
                      <w:szCs w:val="21"/>
                      <w:vertAlign w:val="superscript"/>
                      <w:lang w:val="en-US" w:eastAsia="zh-CN"/>
                    </w:rPr>
                    <w:t>`</w:t>
                  </w:r>
                </w:p>
              </w:tc>
              <w:tc>
                <w:tcPr>
                  <w:tcW w:w="550" w:type="dxa"/>
                  <w:tcBorders>
                    <w:tl2br w:val="nil"/>
                    <w:tr2bl w:val="nil"/>
                  </w:tcBorders>
                  <w:vAlign w:val="center"/>
                </w:tcPr>
                <w:p w14:paraId="402804F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8.0</w:t>
                  </w:r>
                </w:p>
              </w:tc>
              <w:tc>
                <w:tcPr>
                  <w:tcW w:w="825" w:type="dxa"/>
                  <w:tcBorders>
                    <w:tl2br w:val="nil"/>
                    <w:tr2bl w:val="nil"/>
                  </w:tcBorders>
                  <w:vAlign w:val="center"/>
                </w:tcPr>
                <w:p w14:paraId="3160760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0.00004ND</w:t>
                  </w:r>
                </w:p>
              </w:tc>
              <w:tc>
                <w:tcPr>
                  <w:tcW w:w="1028" w:type="dxa"/>
                  <w:tcBorders>
                    <w:tl2br w:val="nil"/>
                    <w:tr2bl w:val="nil"/>
                  </w:tcBorders>
                  <w:vAlign w:val="center"/>
                </w:tcPr>
                <w:p w14:paraId="1ACCB40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0.004ND</w:t>
                  </w:r>
                </w:p>
              </w:tc>
              <w:tc>
                <w:tcPr>
                  <w:tcW w:w="802" w:type="dxa"/>
                  <w:tcBorders>
                    <w:tl2br w:val="nil"/>
                    <w:tr2bl w:val="nil"/>
                  </w:tcBorders>
                  <w:vAlign w:val="center"/>
                </w:tcPr>
                <w:p w14:paraId="2A6AD28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0.00002ND</w:t>
                  </w:r>
                </w:p>
              </w:tc>
              <w:tc>
                <w:tcPr>
                  <w:tcW w:w="802" w:type="dxa"/>
                  <w:tcBorders>
                    <w:tl2br w:val="nil"/>
                    <w:tr2bl w:val="nil"/>
                  </w:tcBorders>
                  <w:vAlign w:val="center"/>
                </w:tcPr>
                <w:p w14:paraId="1E96C73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0.00009ND</w:t>
                  </w:r>
                </w:p>
              </w:tc>
              <w:tc>
                <w:tcPr>
                  <w:tcW w:w="802" w:type="dxa"/>
                  <w:tcBorders>
                    <w:tl2br w:val="nil"/>
                    <w:tr2bl w:val="nil"/>
                  </w:tcBorders>
                  <w:vAlign w:val="center"/>
                </w:tcPr>
                <w:p w14:paraId="4B1A27C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0.00042</w:t>
                  </w:r>
                </w:p>
              </w:tc>
              <w:tc>
                <w:tcPr>
                  <w:tcW w:w="802" w:type="dxa"/>
                  <w:tcBorders>
                    <w:tl2br w:val="nil"/>
                    <w:tr2bl w:val="nil"/>
                  </w:tcBorders>
                  <w:vAlign w:val="center"/>
                </w:tcPr>
                <w:p w14:paraId="575239E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0.00059</w:t>
                  </w:r>
                </w:p>
              </w:tc>
              <w:tc>
                <w:tcPr>
                  <w:tcW w:w="802" w:type="dxa"/>
                  <w:tcBorders>
                    <w:tl2br w:val="nil"/>
                    <w:tr2bl w:val="nil"/>
                  </w:tcBorders>
                  <w:vAlign w:val="center"/>
                </w:tcPr>
                <w:p w14:paraId="43EA42A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0.006ND</w:t>
                  </w:r>
                </w:p>
              </w:tc>
              <w:tc>
                <w:tcPr>
                  <w:tcW w:w="805" w:type="dxa"/>
                  <w:tcBorders>
                    <w:tl2br w:val="nil"/>
                    <w:tr2bl w:val="nil"/>
                  </w:tcBorders>
                  <w:vAlign w:val="center"/>
                </w:tcPr>
                <w:p w14:paraId="3E5136F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0.067</w:t>
                  </w:r>
                </w:p>
              </w:tc>
            </w:tr>
            <w:tr w14:paraId="1F5DE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01" w:type="dxa"/>
                  <w:tcBorders>
                    <w:tl2br w:val="nil"/>
                    <w:tr2bl w:val="nil"/>
                  </w:tcBorders>
                  <w:vAlign w:val="center"/>
                </w:tcPr>
                <w:p w14:paraId="09FC003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标准限值</w:t>
                  </w:r>
                </w:p>
              </w:tc>
              <w:tc>
                <w:tcPr>
                  <w:tcW w:w="550" w:type="dxa"/>
                  <w:tcBorders>
                    <w:tl2br w:val="nil"/>
                    <w:tr2bl w:val="nil"/>
                  </w:tcBorders>
                  <w:vAlign w:val="center"/>
                </w:tcPr>
                <w:p w14:paraId="2A348D3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6-9</w:t>
                  </w:r>
                </w:p>
              </w:tc>
              <w:tc>
                <w:tcPr>
                  <w:tcW w:w="825" w:type="dxa"/>
                  <w:tcBorders>
                    <w:tl2br w:val="nil"/>
                    <w:tr2bl w:val="nil"/>
                  </w:tcBorders>
                  <w:vAlign w:val="center"/>
                </w:tcPr>
                <w:p w14:paraId="6C39C20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0.00005</w:t>
                  </w:r>
                </w:p>
              </w:tc>
              <w:tc>
                <w:tcPr>
                  <w:tcW w:w="1028" w:type="dxa"/>
                  <w:tcBorders>
                    <w:tl2br w:val="nil"/>
                    <w:tr2bl w:val="nil"/>
                  </w:tcBorders>
                  <w:vAlign w:val="center"/>
                </w:tcPr>
                <w:p w14:paraId="45D2E6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0.05</w:t>
                  </w:r>
                </w:p>
              </w:tc>
              <w:tc>
                <w:tcPr>
                  <w:tcW w:w="802" w:type="dxa"/>
                  <w:tcBorders>
                    <w:tl2br w:val="nil"/>
                    <w:tr2bl w:val="nil"/>
                  </w:tcBorders>
                  <w:vAlign w:val="center"/>
                </w:tcPr>
                <w:p w14:paraId="2C8EA05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0.0001</w:t>
                  </w:r>
                </w:p>
              </w:tc>
              <w:tc>
                <w:tcPr>
                  <w:tcW w:w="802" w:type="dxa"/>
                  <w:tcBorders>
                    <w:tl2br w:val="nil"/>
                    <w:tr2bl w:val="nil"/>
                  </w:tcBorders>
                  <w:vAlign w:val="center"/>
                </w:tcPr>
                <w:p w14:paraId="2043873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0.01</w:t>
                  </w:r>
                </w:p>
              </w:tc>
              <w:tc>
                <w:tcPr>
                  <w:tcW w:w="802" w:type="dxa"/>
                  <w:tcBorders>
                    <w:tl2br w:val="nil"/>
                    <w:tr2bl w:val="nil"/>
                  </w:tcBorders>
                  <w:vAlign w:val="center"/>
                </w:tcPr>
                <w:p w14:paraId="18141B4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0.02</w:t>
                  </w:r>
                </w:p>
              </w:tc>
              <w:tc>
                <w:tcPr>
                  <w:tcW w:w="802" w:type="dxa"/>
                  <w:tcBorders>
                    <w:tl2br w:val="nil"/>
                    <w:tr2bl w:val="nil"/>
                  </w:tcBorders>
                  <w:vAlign w:val="center"/>
                </w:tcPr>
                <w:p w14:paraId="1BE88AE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0.05</w:t>
                  </w:r>
                </w:p>
              </w:tc>
              <w:tc>
                <w:tcPr>
                  <w:tcW w:w="802" w:type="dxa"/>
                  <w:tcBorders>
                    <w:tl2br w:val="nil"/>
                    <w:tr2bl w:val="nil"/>
                  </w:tcBorders>
                  <w:vAlign w:val="center"/>
                </w:tcPr>
                <w:p w14:paraId="2899F52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c>
                <w:tcPr>
                  <w:tcW w:w="805" w:type="dxa"/>
                  <w:tcBorders>
                    <w:tl2br w:val="nil"/>
                    <w:tr2bl w:val="nil"/>
                  </w:tcBorders>
                  <w:vAlign w:val="center"/>
                </w:tcPr>
                <w:p w14:paraId="7EB8A11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r>
          </w:tbl>
          <w:p w14:paraId="2BF223C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default"/>
                <w:color w:val="auto"/>
                <w:sz w:val="24"/>
                <w:szCs w:val="24"/>
                <w:lang w:val="en-US" w:eastAsia="zh-CN"/>
              </w:rPr>
              <w:t>根据地表水分析统计结果可知，</w:t>
            </w:r>
            <w:r>
              <w:rPr>
                <w:rFonts w:hint="eastAsia"/>
                <w:color w:val="auto"/>
                <w:sz w:val="24"/>
                <w:szCs w:val="24"/>
                <w:lang w:val="en-US" w:eastAsia="zh-CN"/>
              </w:rPr>
              <w:t>地表水中</w:t>
            </w:r>
            <w:r>
              <w:rPr>
                <w:rFonts w:hint="default"/>
                <w:color w:val="auto"/>
                <w:sz w:val="24"/>
                <w:szCs w:val="24"/>
                <w:lang w:val="en-US" w:eastAsia="zh-CN"/>
              </w:rPr>
              <w:t>pH、铅、铜、镍、汞、铬</w:t>
            </w:r>
            <w:r>
              <w:rPr>
                <w:rFonts w:hint="eastAsia"/>
                <w:color w:val="auto"/>
                <w:sz w:val="24"/>
                <w:szCs w:val="24"/>
                <w:lang w:val="en-US" w:eastAsia="zh-CN"/>
              </w:rPr>
              <w:t>（</w:t>
            </w:r>
            <w:r>
              <w:rPr>
                <w:rFonts w:hint="default"/>
                <w:color w:val="auto"/>
                <w:sz w:val="24"/>
                <w:szCs w:val="24"/>
                <w:lang w:val="en-US" w:eastAsia="zh-CN"/>
              </w:rPr>
              <w:t>六价</w:t>
            </w:r>
            <w:r>
              <w:rPr>
                <w:rFonts w:hint="eastAsia"/>
                <w:color w:val="auto"/>
                <w:sz w:val="24"/>
                <w:szCs w:val="24"/>
                <w:lang w:val="en-US" w:eastAsia="zh-CN"/>
              </w:rPr>
              <w:t>）</w:t>
            </w:r>
            <w:r>
              <w:rPr>
                <w:rFonts w:hint="default"/>
                <w:color w:val="auto"/>
                <w:sz w:val="24"/>
                <w:szCs w:val="24"/>
                <w:lang w:val="en-US" w:eastAsia="zh-CN"/>
              </w:rPr>
              <w:t>、锌、砷、铊的检测结果</w:t>
            </w:r>
            <w:r>
              <w:rPr>
                <w:rFonts w:hint="eastAsia"/>
                <w:color w:val="auto"/>
                <w:sz w:val="24"/>
                <w:szCs w:val="24"/>
                <w:lang w:val="en-US" w:eastAsia="zh-CN"/>
              </w:rPr>
              <w:t>均满足</w:t>
            </w:r>
            <w:r>
              <w:rPr>
                <w:rFonts w:hint="default"/>
                <w:color w:val="auto"/>
                <w:sz w:val="24"/>
                <w:szCs w:val="24"/>
                <w:lang w:val="en-US" w:eastAsia="zh-CN"/>
              </w:rPr>
              <w:t>《地表水环境质量标准》</w:t>
            </w:r>
            <w:r>
              <w:rPr>
                <w:rFonts w:hint="eastAsia"/>
                <w:color w:val="auto"/>
                <w:sz w:val="24"/>
                <w:szCs w:val="24"/>
                <w:lang w:val="en-US" w:eastAsia="zh-CN"/>
              </w:rPr>
              <w:t>（</w:t>
            </w:r>
            <w:r>
              <w:rPr>
                <w:rFonts w:hint="default"/>
                <w:color w:val="auto"/>
                <w:sz w:val="24"/>
                <w:szCs w:val="24"/>
                <w:lang w:val="en-US" w:eastAsia="zh-CN"/>
              </w:rPr>
              <w:t>GB3838-2002</w:t>
            </w:r>
            <w:r>
              <w:rPr>
                <w:rFonts w:hint="eastAsia"/>
                <w:color w:val="auto"/>
                <w:sz w:val="24"/>
                <w:szCs w:val="24"/>
                <w:lang w:val="en-US" w:eastAsia="zh-CN"/>
              </w:rPr>
              <w:t>）</w:t>
            </w:r>
            <w:r>
              <w:rPr>
                <w:rFonts w:hint="default"/>
                <w:color w:val="auto"/>
                <w:sz w:val="24"/>
                <w:szCs w:val="24"/>
                <w:lang w:val="en-US" w:eastAsia="zh-CN"/>
              </w:rPr>
              <w:t>中</w:t>
            </w:r>
            <w:r>
              <w:rPr>
                <w:rFonts w:hint="eastAsia"/>
                <w:color w:val="auto"/>
                <w:sz w:val="24"/>
                <w:szCs w:val="24"/>
                <w:lang w:val="en-US" w:eastAsia="zh-CN"/>
              </w:rPr>
              <w:t>Ⅱ类</w:t>
            </w:r>
            <w:r>
              <w:rPr>
                <w:rFonts w:hint="default"/>
                <w:color w:val="auto"/>
                <w:sz w:val="24"/>
                <w:szCs w:val="24"/>
                <w:lang w:val="en-US" w:eastAsia="zh-CN"/>
              </w:rPr>
              <w:t>标准限值</w:t>
            </w:r>
            <w:r>
              <w:rPr>
                <w:rFonts w:hint="eastAsia"/>
                <w:color w:val="auto"/>
                <w:sz w:val="24"/>
                <w:szCs w:val="24"/>
                <w:lang w:val="en-US" w:eastAsia="zh-CN"/>
              </w:rPr>
              <w:t>要求。</w:t>
            </w:r>
          </w:p>
          <w:p w14:paraId="671D4A4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5.土壤环境</w:t>
            </w:r>
          </w:p>
          <w:p w14:paraId="6C021D2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本项目土壤不开展专项评价，引用建设单位前期可研资料中对本项目周边农田的土壤质量检测数据及废渣区域土壤检测数据。</w:t>
            </w:r>
          </w:p>
          <w:p w14:paraId="3EFC981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（1）农田土壤</w:t>
            </w:r>
          </w:p>
          <w:p w14:paraId="1A8474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default"/>
                <w:color w:val="auto"/>
                <w:sz w:val="24"/>
                <w:szCs w:val="24"/>
                <w:lang w:val="en-US" w:eastAsia="zh-CN"/>
              </w:rPr>
              <w:t>为了解项目所在区域土壤环境质量现状，本次土壤环境质量现状调查</w:t>
            </w:r>
            <w:r>
              <w:rPr>
                <w:rFonts w:hint="eastAsia"/>
                <w:color w:val="auto"/>
                <w:sz w:val="24"/>
                <w:szCs w:val="24"/>
                <w:lang w:val="en-US" w:eastAsia="zh-CN"/>
              </w:rPr>
              <w:t>引用</w:t>
            </w:r>
            <w:r>
              <w:rPr>
                <w:rFonts w:hint="default"/>
                <w:color w:val="auto"/>
                <w:sz w:val="24"/>
                <w:szCs w:val="24"/>
                <w:lang w:val="en-US" w:eastAsia="zh-CN"/>
              </w:rPr>
              <w:t>建设单位委托</w:t>
            </w:r>
            <w:r>
              <w:rPr>
                <w:rFonts w:hint="eastAsia"/>
                <w:color w:val="auto"/>
                <w:sz w:val="24"/>
                <w:szCs w:val="24"/>
                <w:lang w:val="en-US" w:eastAsia="zh-CN"/>
              </w:rPr>
              <w:t>陕西省地质矿产实验研究所</w:t>
            </w:r>
            <w:r>
              <w:rPr>
                <w:rFonts w:hint="default"/>
                <w:color w:val="auto"/>
                <w:sz w:val="24"/>
                <w:szCs w:val="24"/>
                <w:lang w:val="en-US" w:eastAsia="zh-CN"/>
              </w:rPr>
              <w:t>有限公司对项目区</w:t>
            </w:r>
            <w:r>
              <w:rPr>
                <w:rFonts w:hint="eastAsia"/>
                <w:color w:val="auto"/>
                <w:sz w:val="24"/>
                <w:szCs w:val="24"/>
                <w:lang w:val="en-US" w:eastAsia="zh-CN"/>
              </w:rPr>
              <w:t>周边</w:t>
            </w:r>
            <w:r>
              <w:rPr>
                <w:rFonts w:hint="default"/>
                <w:color w:val="auto"/>
                <w:sz w:val="24"/>
                <w:szCs w:val="24"/>
                <w:lang w:val="en-US" w:eastAsia="zh-CN"/>
              </w:rPr>
              <w:t>的</w:t>
            </w:r>
            <w:r>
              <w:rPr>
                <w:rFonts w:hint="eastAsia"/>
                <w:color w:val="auto"/>
                <w:sz w:val="24"/>
                <w:szCs w:val="24"/>
                <w:lang w:val="en-US" w:eastAsia="zh-CN"/>
              </w:rPr>
              <w:t>农田</w:t>
            </w:r>
            <w:r>
              <w:rPr>
                <w:rFonts w:hint="default"/>
                <w:color w:val="auto"/>
                <w:sz w:val="24"/>
                <w:szCs w:val="24"/>
                <w:lang w:val="en-US" w:eastAsia="zh-CN"/>
              </w:rPr>
              <w:t>土壤环境质量进行监测</w:t>
            </w:r>
            <w:r>
              <w:rPr>
                <w:rFonts w:hint="eastAsia"/>
                <w:color w:val="auto"/>
                <w:sz w:val="24"/>
                <w:szCs w:val="24"/>
                <w:lang w:val="en-US" w:eastAsia="zh-CN"/>
              </w:rPr>
              <w:t>数据</w:t>
            </w:r>
            <w:r>
              <w:rPr>
                <w:rFonts w:hint="default"/>
                <w:color w:val="auto"/>
                <w:sz w:val="24"/>
                <w:szCs w:val="24"/>
                <w:lang w:val="en-US" w:eastAsia="zh-CN"/>
              </w:rPr>
              <w:t>，</w:t>
            </w:r>
            <w:r>
              <w:rPr>
                <w:rFonts w:hint="eastAsia"/>
                <w:color w:val="auto"/>
                <w:sz w:val="24"/>
                <w:szCs w:val="24"/>
                <w:lang w:val="en-US" w:eastAsia="zh-CN"/>
              </w:rPr>
              <w:t>监测报告详见附件6，</w:t>
            </w:r>
            <w:r>
              <w:rPr>
                <w:rFonts w:hint="default"/>
                <w:color w:val="auto"/>
                <w:sz w:val="24"/>
                <w:szCs w:val="24"/>
                <w:lang w:val="en-US" w:eastAsia="zh-CN"/>
              </w:rPr>
              <w:t>监测情况如下</w:t>
            </w:r>
            <w:r>
              <w:rPr>
                <w:rFonts w:hint="eastAsia"/>
                <w:color w:val="auto"/>
                <w:sz w:val="24"/>
                <w:szCs w:val="24"/>
                <w:lang w:val="en-US" w:eastAsia="zh-CN"/>
              </w:rPr>
              <w:t>：</w:t>
            </w:r>
          </w:p>
          <w:p w14:paraId="2A4856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表3-3  农田土壤质量监测结果</w:t>
            </w:r>
          </w:p>
          <w:tbl>
            <w:tblPr>
              <w:tblStyle w:val="15"/>
              <w:tblW w:w="8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1"/>
              <w:gridCol w:w="802"/>
              <w:gridCol w:w="802"/>
              <w:gridCol w:w="802"/>
              <w:gridCol w:w="802"/>
              <w:gridCol w:w="802"/>
              <w:gridCol w:w="802"/>
              <w:gridCol w:w="802"/>
              <w:gridCol w:w="802"/>
              <w:gridCol w:w="802"/>
            </w:tblGrid>
            <w:tr w14:paraId="542050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01" w:type="dxa"/>
                  <w:vMerge w:val="restart"/>
                  <w:tcBorders>
                    <w:tl2br w:val="nil"/>
                    <w:tr2bl w:val="nil"/>
                  </w:tcBorders>
                  <w:vAlign w:val="center"/>
                </w:tcPr>
                <w:p w14:paraId="17023A9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监测点位</w:t>
                  </w:r>
                </w:p>
              </w:tc>
              <w:tc>
                <w:tcPr>
                  <w:tcW w:w="7218" w:type="dxa"/>
                  <w:gridSpan w:val="9"/>
                  <w:tcBorders>
                    <w:tl2br w:val="nil"/>
                    <w:tr2bl w:val="nil"/>
                  </w:tcBorders>
                  <w:vAlign w:val="center"/>
                </w:tcPr>
                <w:p w14:paraId="79CB9C3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监测结果（mg/kg）</w:t>
                  </w:r>
                </w:p>
              </w:tc>
            </w:tr>
            <w:tr w14:paraId="4A7BB0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801" w:type="dxa"/>
                  <w:vMerge w:val="continue"/>
                  <w:tcBorders>
                    <w:tl2br w:val="nil"/>
                    <w:tr2bl w:val="nil"/>
                  </w:tcBorders>
                  <w:vAlign w:val="center"/>
                </w:tcPr>
                <w:p w14:paraId="608048F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p>
              </w:tc>
              <w:tc>
                <w:tcPr>
                  <w:tcW w:w="802" w:type="dxa"/>
                  <w:tcBorders>
                    <w:tl2br w:val="nil"/>
                    <w:tr2bl w:val="nil"/>
                  </w:tcBorders>
                  <w:vAlign w:val="center"/>
                </w:tcPr>
                <w:p w14:paraId="7DC907C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pH</w:t>
                  </w:r>
                </w:p>
              </w:tc>
              <w:tc>
                <w:tcPr>
                  <w:tcW w:w="802" w:type="dxa"/>
                  <w:tcBorders>
                    <w:tl2br w:val="nil"/>
                    <w:tr2bl w:val="nil"/>
                  </w:tcBorders>
                  <w:vAlign w:val="center"/>
                </w:tcPr>
                <w:p w14:paraId="518E572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砷</w:t>
                  </w:r>
                </w:p>
              </w:tc>
              <w:tc>
                <w:tcPr>
                  <w:tcW w:w="802" w:type="dxa"/>
                  <w:tcBorders>
                    <w:tl2br w:val="nil"/>
                    <w:tr2bl w:val="nil"/>
                  </w:tcBorders>
                  <w:vAlign w:val="center"/>
                </w:tcPr>
                <w:p w14:paraId="0B39037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镉</w:t>
                  </w:r>
                </w:p>
              </w:tc>
              <w:tc>
                <w:tcPr>
                  <w:tcW w:w="802" w:type="dxa"/>
                  <w:tcBorders>
                    <w:tl2br w:val="nil"/>
                    <w:tr2bl w:val="nil"/>
                  </w:tcBorders>
                  <w:vAlign w:val="center"/>
                </w:tcPr>
                <w:p w14:paraId="13FCA26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铬</w:t>
                  </w:r>
                </w:p>
              </w:tc>
              <w:tc>
                <w:tcPr>
                  <w:tcW w:w="802" w:type="dxa"/>
                  <w:tcBorders>
                    <w:tl2br w:val="nil"/>
                    <w:tr2bl w:val="nil"/>
                  </w:tcBorders>
                  <w:vAlign w:val="center"/>
                </w:tcPr>
                <w:p w14:paraId="08349EA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铜</w:t>
                  </w:r>
                </w:p>
              </w:tc>
              <w:tc>
                <w:tcPr>
                  <w:tcW w:w="802" w:type="dxa"/>
                  <w:tcBorders>
                    <w:tl2br w:val="nil"/>
                    <w:tr2bl w:val="nil"/>
                  </w:tcBorders>
                  <w:vAlign w:val="center"/>
                </w:tcPr>
                <w:p w14:paraId="138E0A9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汞</w:t>
                  </w:r>
                </w:p>
              </w:tc>
              <w:tc>
                <w:tcPr>
                  <w:tcW w:w="802" w:type="dxa"/>
                  <w:tcBorders>
                    <w:tl2br w:val="nil"/>
                    <w:tr2bl w:val="nil"/>
                  </w:tcBorders>
                  <w:vAlign w:val="center"/>
                </w:tcPr>
                <w:p w14:paraId="0E8D643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镍</w:t>
                  </w:r>
                </w:p>
              </w:tc>
              <w:tc>
                <w:tcPr>
                  <w:tcW w:w="802" w:type="dxa"/>
                  <w:tcBorders>
                    <w:tl2br w:val="nil"/>
                    <w:tr2bl w:val="nil"/>
                  </w:tcBorders>
                  <w:vAlign w:val="center"/>
                </w:tcPr>
                <w:p w14:paraId="074024F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铅</w:t>
                  </w:r>
                </w:p>
              </w:tc>
              <w:tc>
                <w:tcPr>
                  <w:tcW w:w="802" w:type="dxa"/>
                  <w:tcBorders>
                    <w:tl2br w:val="nil"/>
                    <w:tr2bl w:val="nil"/>
                  </w:tcBorders>
                  <w:vAlign w:val="center"/>
                </w:tcPr>
                <w:p w14:paraId="6BA0F9A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b/>
                      <w:bCs/>
                      <w:color w:val="auto"/>
                      <w:sz w:val="21"/>
                      <w:szCs w:val="21"/>
                      <w:vertAlign w:val="baseline"/>
                      <w:lang w:val="en-US" w:eastAsia="zh-CN"/>
                    </w:rPr>
                    <w:t>锌</w:t>
                  </w:r>
                </w:p>
              </w:tc>
            </w:tr>
            <w:tr w14:paraId="2AC4C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vAlign w:val="center"/>
                </w:tcPr>
                <w:p w14:paraId="0E77EE1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NT1</w:t>
                  </w:r>
                </w:p>
              </w:tc>
              <w:tc>
                <w:tcPr>
                  <w:tcW w:w="802" w:type="dxa"/>
                  <w:tcBorders>
                    <w:tl2br w:val="nil"/>
                    <w:tr2bl w:val="nil"/>
                  </w:tcBorders>
                  <w:vAlign w:val="center"/>
                </w:tcPr>
                <w:p w14:paraId="329305D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8.30</w:t>
                  </w:r>
                </w:p>
              </w:tc>
              <w:tc>
                <w:tcPr>
                  <w:tcW w:w="802" w:type="dxa"/>
                  <w:tcBorders>
                    <w:tl2br w:val="nil"/>
                    <w:tr2bl w:val="nil"/>
                  </w:tcBorders>
                  <w:vAlign w:val="center"/>
                </w:tcPr>
                <w:p w14:paraId="7509D73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23.6</w:t>
                  </w:r>
                </w:p>
              </w:tc>
              <w:tc>
                <w:tcPr>
                  <w:tcW w:w="802" w:type="dxa"/>
                  <w:tcBorders>
                    <w:tl2br w:val="nil"/>
                    <w:tr2bl w:val="nil"/>
                  </w:tcBorders>
                  <w:vAlign w:val="center"/>
                </w:tcPr>
                <w:p w14:paraId="37DFBF5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0.36</w:t>
                  </w:r>
                </w:p>
              </w:tc>
              <w:tc>
                <w:tcPr>
                  <w:tcW w:w="802" w:type="dxa"/>
                  <w:tcBorders>
                    <w:tl2br w:val="nil"/>
                    <w:tr2bl w:val="nil"/>
                  </w:tcBorders>
                  <w:vAlign w:val="center"/>
                </w:tcPr>
                <w:p w14:paraId="5D2B408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74.5</w:t>
                  </w:r>
                </w:p>
              </w:tc>
              <w:tc>
                <w:tcPr>
                  <w:tcW w:w="802" w:type="dxa"/>
                  <w:tcBorders>
                    <w:tl2br w:val="nil"/>
                    <w:tr2bl w:val="nil"/>
                  </w:tcBorders>
                  <w:vAlign w:val="center"/>
                </w:tcPr>
                <w:p w14:paraId="6AEFB0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46.3</w:t>
                  </w:r>
                </w:p>
              </w:tc>
              <w:tc>
                <w:tcPr>
                  <w:tcW w:w="802" w:type="dxa"/>
                  <w:tcBorders>
                    <w:tl2br w:val="nil"/>
                    <w:tr2bl w:val="nil"/>
                  </w:tcBorders>
                  <w:vAlign w:val="center"/>
                </w:tcPr>
                <w:p w14:paraId="53470A2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0.15</w:t>
                  </w:r>
                </w:p>
              </w:tc>
              <w:tc>
                <w:tcPr>
                  <w:tcW w:w="802" w:type="dxa"/>
                  <w:tcBorders>
                    <w:tl2br w:val="nil"/>
                    <w:tr2bl w:val="nil"/>
                  </w:tcBorders>
                  <w:vAlign w:val="center"/>
                </w:tcPr>
                <w:p w14:paraId="0968FBB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35.7</w:t>
                  </w:r>
                </w:p>
              </w:tc>
              <w:tc>
                <w:tcPr>
                  <w:tcW w:w="802" w:type="dxa"/>
                  <w:tcBorders>
                    <w:tl2br w:val="nil"/>
                    <w:tr2bl w:val="nil"/>
                  </w:tcBorders>
                  <w:vAlign w:val="center"/>
                </w:tcPr>
                <w:p w14:paraId="7339C91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117</w:t>
                  </w:r>
                </w:p>
              </w:tc>
              <w:tc>
                <w:tcPr>
                  <w:tcW w:w="802" w:type="dxa"/>
                  <w:tcBorders>
                    <w:tl2br w:val="nil"/>
                    <w:tr2bl w:val="nil"/>
                  </w:tcBorders>
                  <w:vAlign w:val="center"/>
                </w:tcPr>
                <w:p w14:paraId="78BFD29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131</w:t>
                  </w:r>
                </w:p>
              </w:tc>
            </w:tr>
            <w:tr w14:paraId="62D92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3A36758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NT2</w:t>
                  </w:r>
                </w:p>
              </w:tc>
              <w:tc>
                <w:tcPr>
                  <w:tcW w:w="802" w:type="dxa"/>
                  <w:tcBorders>
                    <w:tl2br w:val="nil"/>
                    <w:tr2bl w:val="nil"/>
                  </w:tcBorders>
                  <w:vAlign w:val="center"/>
                </w:tcPr>
                <w:p w14:paraId="75D33B7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8.19</w:t>
                  </w:r>
                </w:p>
              </w:tc>
              <w:tc>
                <w:tcPr>
                  <w:tcW w:w="802" w:type="dxa"/>
                  <w:tcBorders>
                    <w:tl2br w:val="nil"/>
                    <w:tr2bl w:val="nil"/>
                  </w:tcBorders>
                  <w:vAlign w:val="center"/>
                </w:tcPr>
                <w:p w14:paraId="46E4C18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17.4</w:t>
                  </w:r>
                </w:p>
              </w:tc>
              <w:tc>
                <w:tcPr>
                  <w:tcW w:w="802" w:type="dxa"/>
                  <w:tcBorders>
                    <w:tl2br w:val="nil"/>
                    <w:tr2bl w:val="nil"/>
                  </w:tcBorders>
                  <w:vAlign w:val="center"/>
                </w:tcPr>
                <w:p w14:paraId="7B14652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0.21</w:t>
                  </w:r>
                </w:p>
              </w:tc>
              <w:tc>
                <w:tcPr>
                  <w:tcW w:w="802" w:type="dxa"/>
                  <w:tcBorders>
                    <w:tl2br w:val="nil"/>
                    <w:tr2bl w:val="nil"/>
                  </w:tcBorders>
                  <w:vAlign w:val="center"/>
                </w:tcPr>
                <w:p w14:paraId="1F6784B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81.3</w:t>
                  </w:r>
                </w:p>
              </w:tc>
              <w:tc>
                <w:tcPr>
                  <w:tcW w:w="802" w:type="dxa"/>
                  <w:tcBorders>
                    <w:tl2br w:val="nil"/>
                    <w:tr2bl w:val="nil"/>
                  </w:tcBorders>
                  <w:vAlign w:val="center"/>
                </w:tcPr>
                <w:p w14:paraId="286C334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34.3</w:t>
                  </w:r>
                </w:p>
              </w:tc>
              <w:tc>
                <w:tcPr>
                  <w:tcW w:w="802" w:type="dxa"/>
                  <w:tcBorders>
                    <w:tl2br w:val="nil"/>
                    <w:tr2bl w:val="nil"/>
                  </w:tcBorders>
                  <w:vAlign w:val="center"/>
                </w:tcPr>
                <w:p w14:paraId="4516D8A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0.060</w:t>
                  </w:r>
                </w:p>
              </w:tc>
              <w:tc>
                <w:tcPr>
                  <w:tcW w:w="802" w:type="dxa"/>
                  <w:tcBorders>
                    <w:tl2br w:val="nil"/>
                    <w:tr2bl w:val="nil"/>
                  </w:tcBorders>
                  <w:vAlign w:val="center"/>
                </w:tcPr>
                <w:p w14:paraId="44EF434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39.5</w:t>
                  </w:r>
                </w:p>
              </w:tc>
              <w:tc>
                <w:tcPr>
                  <w:tcW w:w="802" w:type="dxa"/>
                  <w:tcBorders>
                    <w:tl2br w:val="nil"/>
                    <w:tr2bl w:val="nil"/>
                  </w:tcBorders>
                  <w:vAlign w:val="center"/>
                </w:tcPr>
                <w:p w14:paraId="73B7C43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30.7</w:t>
                  </w:r>
                </w:p>
              </w:tc>
              <w:tc>
                <w:tcPr>
                  <w:tcW w:w="802" w:type="dxa"/>
                  <w:tcBorders>
                    <w:tl2br w:val="nil"/>
                    <w:tr2bl w:val="nil"/>
                  </w:tcBorders>
                  <w:vAlign w:val="center"/>
                </w:tcPr>
                <w:p w14:paraId="78C2791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92.1</w:t>
                  </w:r>
                </w:p>
              </w:tc>
            </w:tr>
            <w:tr w14:paraId="7D4129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01" w:type="dxa"/>
                  <w:tcBorders>
                    <w:tl2br w:val="nil"/>
                    <w:tr2bl w:val="nil"/>
                  </w:tcBorders>
                  <w:vAlign w:val="center"/>
                </w:tcPr>
                <w:p w14:paraId="7B88248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标准限值</w:t>
                  </w:r>
                </w:p>
              </w:tc>
              <w:tc>
                <w:tcPr>
                  <w:tcW w:w="802" w:type="dxa"/>
                  <w:tcBorders>
                    <w:tl2br w:val="nil"/>
                    <w:tr2bl w:val="nil"/>
                  </w:tcBorders>
                  <w:vAlign w:val="center"/>
                </w:tcPr>
                <w:p w14:paraId="01A5CDD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802" w:type="dxa"/>
                  <w:tcBorders>
                    <w:tl2br w:val="nil"/>
                    <w:tr2bl w:val="nil"/>
                  </w:tcBorders>
                  <w:vAlign w:val="center"/>
                </w:tcPr>
                <w:p w14:paraId="6FF3FB0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25</w:t>
                  </w:r>
                </w:p>
              </w:tc>
              <w:tc>
                <w:tcPr>
                  <w:tcW w:w="802" w:type="dxa"/>
                  <w:tcBorders>
                    <w:tl2br w:val="nil"/>
                    <w:tr2bl w:val="nil"/>
                  </w:tcBorders>
                  <w:vAlign w:val="center"/>
                </w:tcPr>
                <w:p w14:paraId="469812D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0.6</w:t>
                  </w:r>
                </w:p>
              </w:tc>
              <w:tc>
                <w:tcPr>
                  <w:tcW w:w="802" w:type="dxa"/>
                  <w:tcBorders>
                    <w:tl2br w:val="nil"/>
                    <w:tr2bl w:val="nil"/>
                  </w:tcBorders>
                  <w:vAlign w:val="center"/>
                </w:tcPr>
                <w:p w14:paraId="64CEC2E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250</w:t>
                  </w:r>
                </w:p>
              </w:tc>
              <w:tc>
                <w:tcPr>
                  <w:tcW w:w="802" w:type="dxa"/>
                  <w:tcBorders>
                    <w:tl2br w:val="nil"/>
                    <w:tr2bl w:val="nil"/>
                  </w:tcBorders>
                  <w:vAlign w:val="center"/>
                </w:tcPr>
                <w:p w14:paraId="6CDA6DA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100</w:t>
                  </w:r>
                </w:p>
              </w:tc>
              <w:tc>
                <w:tcPr>
                  <w:tcW w:w="802" w:type="dxa"/>
                  <w:tcBorders>
                    <w:tl2br w:val="nil"/>
                    <w:tr2bl w:val="nil"/>
                  </w:tcBorders>
                  <w:vAlign w:val="center"/>
                </w:tcPr>
                <w:p w14:paraId="73395A0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3.4</w:t>
                  </w:r>
                </w:p>
              </w:tc>
              <w:tc>
                <w:tcPr>
                  <w:tcW w:w="802" w:type="dxa"/>
                  <w:tcBorders>
                    <w:tl2br w:val="nil"/>
                    <w:tr2bl w:val="nil"/>
                  </w:tcBorders>
                  <w:vAlign w:val="center"/>
                </w:tcPr>
                <w:p w14:paraId="699D170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190</w:t>
                  </w:r>
                </w:p>
              </w:tc>
              <w:tc>
                <w:tcPr>
                  <w:tcW w:w="802" w:type="dxa"/>
                  <w:tcBorders>
                    <w:tl2br w:val="nil"/>
                    <w:tr2bl w:val="nil"/>
                  </w:tcBorders>
                  <w:vAlign w:val="center"/>
                </w:tcPr>
                <w:p w14:paraId="131C4EB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170</w:t>
                  </w:r>
                </w:p>
              </w:tc>
              <w:tc>
                <w:tcPr>
                  <w:tcW w:w="802" w:type="dxa"/>
                  <w:tcBorders>
                    <w:tl2br w:val="nil"/>
                    <w:tr2bl w:val="nil"/>
                  </w:tcBorders>
                  <w:vAlign w:val="center"/>
                </w:tcPr>
                <w:p w14:paraId="65BB8AA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300</w:t>
                  </w:r>
                </w:p>
              </w:tc>
            </w:tr>
          </w:tbl>
          <w:p w14:paraId="507A3C3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default"/>
                <w:color w:val="auto"/>
                <w:sz w:val="24"/>
                <w:szCs w:val="24"/>
                <w:lang w:val="en-US" w:eastAsia="zh-CN"/>
              </w:rPr>
              <w:t>根据检测结果</w:t>
            </w:r>
            <w:r>
              <w:rPr>
                <w:rFonts w:hint="eastAsia"/>
                <w:color w:val="auto"/>
                <w:sz w:val="24"/>
                <w:szCs w:val="24"/>
                <w:lang w:val="en-US" w:eastAsia="zh-CN"/>
              </w:rPr>
              <w:t>，本项目周边农田pH、汞、砷、铅、铬、镍、铜、锌的检测浓度均符合《土壤环境质量农用地土壤污染风险管控标准》（GB15618-2018）中pH&gt;7.5的农用地土壤污染风险筛选值标准要求。</w:t>
            </w:r>
          </w:p>
          <w:p w14:paraId="2ACACB5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eastAsia"/>
                <w:color w:val="auto"/>
                <w:sz w:val="24"/>
                <w:szCs w:val="24"/>
                <w:lang w:val="en-US" w:eastAsia="zh-CN"/>
              </w:rPr>
              <w:t>（2）废渣区域土壤环境</w:t>
            </w:r>
          </w:p>
          <w:p w14:paraId="074844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szCs w:val="24"/>
                <w:lang w:val="en-US" w:eastAsia="zh-CN"/>
              </w:rPr>
            </w:pPr>
            <w:r>
              <w:rPr>
                <w:rFonts w:hint="default"/>
                <w:color w:val="auto"/>
                <w:sz w:val="24"/>
                <w:szCs w:val="24"/>
                <w:lang w:val="en-US" w:eastAsia="zh-CN"/>
              </w:rPr>
              <w:t>为了解项目所在区域土壤环境质量现状，本次</w:t>
            </w:r>
            <w:r>
              <w:rPr>
                <w:rFonts w:hint="eastAsia"/>
                <w:color w:val="auto"/>
                <w:sz w:val="24"/>
                <w:szCs w:val="24"/>
                <w:lang w:val="en-US" w:eastAsia="zh-CN"/>
              </w:rPr>
              <w:t>废渣区域土壤环境质量引用</w:t>
            </w:r>
            <w:r>
              <w:rPr>
                <w:rFonts w:hint="default"/>
                <w:color w:val="auto"/>
                <w:sz w:val="24"/>
                <w:szCs w:val="24"/>
                <w:lang w:val="en-US" w:eastAsia="zh-CN"/>
              </w:rPr>
              <w:t>建设单位委托</w:t>
            </w:r>
            <w:r>
              <w:rPr>
                <w:rFonts w:hint="eastAsia"/>
                <w:color w:val="auto"/>
                <w:sz w:val="24"/>
                <w:szCs w:val="24"/>
                <w:lang w:val="en-US" w:eastAsia="zh-CN"/>
              </w:rPr>
              <w:t>陕西省地质矿产实验研究所</w:t>
            </w:r>
            <w:r>
              <w:rPr>
                <w:rFonts w:hint="default"/>
                <w:color w:val="auto"/>
                <w:sz w:val="24"/>
                <w:szCs w:val="24"/>
                <w:lang w:val="en-US" w:eastAsia="zh-CN"/>
              </w:rPr>
              <w:t>有限公司对项目区的</w:t>
            </w:r>
            <w:r>
              <w:rPr>
                <w:rFonts w:hint="eastAsia"/>
                <w:color w:val="auto"/>
                <w:sz w:val="24"/>
                <w:szCs w:val="24"/>
                <w:lang w:val="en-US" w:eastAsia="zh-CN"/>
              </w:rPr>
              <w:t>废渣区域土壤环境质量</w:t>
            </w:r>
            <w:r>
              <w:rPr>
                <w:rFonts w:hint="default"/>
                <w:color w:val="auto"/>
                <w:sz w:val="24"/>
                <w:szCs w:val="24"/>
                <w:lang w:val="en-US" w:eastAsia="zh-CN"/>
              </w:rPr>
              <w:t>进行监测</w:t>
            </w:r>
            <w:r>
              <w:rPr>
                <w:rFonts w:hint="eastAsia"/>
                <w:color w:val="auto"/>
                <w:sz w:val="24"/>
                <w:szCs w:val="24"/>
                <w:lang w:val="en-US" w:eastAsia="zh-CN"/>
              </w:rPr>
              <w:t>数据</w:t>
            </w:r>
            <w:r>
              <w:rPr>
                <w:rFonts w:hint="default"/>
                <w:color w:val="auto"/>
                <w:sz w:val="24"/>
                <w:szCs w:val="24"/>
                <w:lang w:val="en-US" w:eastAsia="zh-CN"/>
              </w:rPr>
              <w:t>，</w:t>
            </w:r>
            <w:r>
              <w:rPr>
                <w:rFonts w:hint="eastAsia"/>
                <w:color w:val="auto"/>
                <w:sz w:val="24"/>
                <w:szCs w:val="24"/>
                <w:lang w:val="en-US" w:eastAsia="zh-CN"/>
              </w:rPr>
              <w:t>监测报告详见附件7，</w:t>
            </w:r>
            <w:r>
              <w:rPr>
                <w:rFonts w:hint="default"/>
                <w:color w:val="auto"/>
                <w:sz w:val="24"/>
                <w:szCs w:val="24"/>
                <w:lang w:val="en-US" w:eastAsia="zh-CN"/>
              </w:rPr>
              <w:t>监测情况如下</w:t>
            </w:r>
            <w:r>
              <w:rPr>
                <w:rFonts w:hint="eastAsia"/>
                <w:color w:val="auto"/>
                <w:sz w:val="24"/>
                <w:szCs w:val="24"/>
                <w:lang w:val="en-US" w:eastAsia="zh-CN"/>
              </w:rPr>
              <w:t>：</w:t>
            </w:r>
          </w:p>
          <w:p w14:paraId="12162F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表3-4  废渣区域土壤质量监测结果</w:t>
            </w:r>
          </w:p>
          <w:tbl>
            <w:tblPr>
              <w:tblStyle w:val="15"/>
              <w:tblW w:w="8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1"/>
              <w:gridCol w:w="656"/>
              <w:gridCol w:w="656"/>
              <w:gridCol w:w="656"/>
              <w:gridCol w:w="656"/>
              <w:gridCol w:w="656"/>
              <w:gridCol w:w="656"/>
              <w:gridCol w:w="656"/>
              <w:gridCol w:w="656"/>
              <w:gridCol w:w="656"/>
              <w:gridCol w:w="656"/>
              <w:gridCol w:w="1"/>
              <w:gridCol w:w="657"/>
            </w:tblGrid>
            <w:tr w14:paraId="4DDE8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01" w:type="dxa"/>
                  <w:vMerge w:val="restart"/>
                  <w:tcBorders>
                    <w:tl2br w:val="nil"/>
                    <w:tr2bl w:val="nil"/>
                  </w:tcBorders>
                  <w:vAlign w:val="center"/>
                </w:tcPr>
                <w:p w14:paraId="62CFDD4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监测点位</w:t>
                  </w:r>
                </w:p>
              </w:tc>
              <w:tc>
                <w:tcPr>
                  <w:tcW w:w="7218" w:type="dxa"/>
                  <w:gridSpan w:val="12"/>
                  <w:tcBorders>
                    <w:tl2br w:val="nil"/>
                    <w:tr2bl w:val="nil"/>
                  </w:tcBorders>
                  <w:vAlign w:val="center"/>
                </w:tcPr>
                <w:p w14:paraId="5CC85AE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监测结果（mg/kg）</w:t>
                  </w:r>
                </w:p>
              </w:tc>
            </w:tr>
            <w:tr w14:paraId="5CB094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01" w:type="dxa"/>
                  <w:vMerge w:val="continue"/>
                  <w:tcBorders>
                    <w:tl2br w:val="nil"/>
                    <w:tr2bl w:val="nil"/>
                  </w:tcBorders>
                  <w:vAlign w:val="center"/>
                </w:tcPr>
                <w:p w14:paraId="2B2CA1D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p>
              </w:tc>
              <w:tc>
                <w:tcPr>
                  <w:tcW w:w="656" w:type="dxa"/>
                  <w:tcBorders>
                    <w:tl2br w:val="nil"/>
                    <w:tr2bl w:val="nil"/>
                  </w:tcBorders>
                  <w:vAlign w:val="center"/>
                </w:tcPr>
                <w:p w14:paraId="1BE0543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pH</w:t>
                  </w:r>
                </w:p>
              </w:tc>
              <w:tc>
                <w:tcPr>
                  <w:tcW w:w="656" w:type="dxa"/>
                  <w:tcBorders>
                    <w:tl2br w:val="nil"/>
                    <w:tr2bl w:val="nil"/>
                  </w:tcBorders>
                  <w:vAlign w:val="center"/>
                </w:tcPr>
                <w:p w14:paraId="41608C9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砷</w:t>
                  </w:r>
                </w:p>
              </w:tc>
              <w:tc>
                <w:tcPr>
                  <w:tcW w:w="656" w:type="dxa"/>
                  <w:tcBorders>
                    <w:tl2br w:val="nil"/>
                    <w:tr2bl w:val="nil"/>
                  </w:tcBorders>
                  <w:vAlign w:val="center"/>
                </w:tcPr>
                <w:p w14:paraId="48C8B14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镉</w:t>
                  </w:r>
                </w:p>
              </w:tc>
              <w:tc>
                <w:tcPr>
                  <w:tcW w:w="656" w:type="dxa"/>
                  <w:tcBorders>
                    <w:tl2br w:val="nil"/>
                    <w:tr2bl w:val="nil"/>
                  </w:tcBorders>
                  <w:vAlign w:val="center"/>
                </w:tcPr>
                <w:p w14:paraId="6EB9B32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铬</w:t>
                  </w:r>
                </w:p>
              </w:tc>
              <w:tc>
                <w:tcPr>
                  <w:tcW w:w="656" w:type="dxa"/>
                  <w:tcBorders>
                    <w:tl2br w:val="nil"/>
                    <w:tr2bl w:val="nil"/>
                  </w:tcBorders>
                  <w:vAlign w:val="center"/>
                </w:tcPr>
                <w:p w14:paraId="0CF92BD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铜</w:t>
                  </w:r>
                </w:p>
              </w:tc>
              <w:tc>
                <w:tcPr>
                  <w:tcW w:w="656" w:type="dxa"/>
                  <w:tcBorders>
                    <w:tl2br w:val="nil"/>
                    <w:tr2bl w:val="nil"/>
                  </w:tcBorders>
                  <w:vAlign w:val="center"/>
                </w:tcPr>
                <w:p w14:paraId="0B7CD48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汞</w:t>
                  </w:r>
                </w:p>
              </w:tc>
              <w:tc>
                <w:tcPr>
                  <w:tcW w:w="656" w:type="dxa"/>
                  <w:tcBorders>
                    <w:tl2br w:val="nil"/>
                    <w:tr2bl w:val="nil"/>
                  </w:tcBorders>
                  <w:vAlign w:val="center"/>
                </w:tcPr>
                <w:p w14:paraId="76FA5DD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镍</w:t>
                  </w:r>
                </w:p>
              </w:tc>
              <w:tc>
                <w:tcPr>
                  <w:tcW w:w="656" w:type="dxa"/>
                  <w:tcBorders>
                    <w:tl2br w:val="nil"/>
                    <w:tr2bl w:val="nil"/>
                  </w:tcBorders>
                  <w:vAlign w:val="center"/>
                </w:tcPr>
                <w:p w14:paraId="2EF83B9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铅</w:t>
                  </w:r>
                </w:p>
              </w:tc>
              <w:tc>
                <w:tcPr>
                  <w:tcW w:w="656" w:type="dxa"/>
                  <w:tcBorders>
                    <w:tl2br w:val="nil"/>
                    <w:tr2bl w:val="nil"/>
                  </w:tcBorders>
                  <w:vAlign w:val="center"/>
                </w:tcPr>
                <w:p w14:paraId="7152A8C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铊</w:t>
                  </w:r>
                </w:p>
              </w:tc>
              <w:tc>
                <w:tcPr>
                  <w:tcW w:w="656" w:type="dxa"/>
                  <w:tcBorders>
                    <w:tl2br w:val="nil"/>
                    <w:tr2bl w:val="nil"/>
                  </w:tcBorders>
                  <w:vAlign w:val="center"/>
                </w:tcPr>
                <w:p w14:paraId="17B8CF5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锌</w:t>
                  </w:r>
                </w:p>
              </w:tc>
              <w:tc>
                <w:tcPr>
                  <w:tcW w:w="658" w:type="dxa"/>
                  <w:gridSpan w:val="2"/>
                  <w:tcBorders>
                    <w:tl2br w:val="nil"/>
                    <w:tr2bl w:val="nil"/>
                  </w:tcBorders>
                  <w:vAlign w:val="center"/>
                </w:tcPr>
                <w:p w14:paraId="1451CA0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六价铬</w:t>
                  </w:r>
                </w:p>
              </w:tc>
            </w:tr>
            <w:tr w14:paraId="794D7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2D4908D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T1</w:t>
                  </w:r>
                </w:p>
              </w:tc>
              <w:tc>
                <w:tcPr>
                  <w:tcW w:w="656" w:type="dxa"/>
                  <w:tcBorders>
                    <w:tl2br w:val="nil"/>
                    <w:tr2bl w:val="nil"/>
                  </w:tcBorders>
                  <w:vAlign w:val="center"/>
                </w:tcPr>
                <w:p w14:paraId="372C107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8.2</w:t>
                  </w:r>
                </w:p>
              </w:tc>
              <w:tc>
                <w:tcPr>
                  <w:tcW w:w="656" w:type="dxa"/>
                  <w:tcBorders>
                    <w:tl2br w:val="nil"/>
                    <w:tr2bl w:val="nil"/>
                  </w:tcBorders>
                  <w:vAlign w:val="center"/>
                </w:tcPr>
                <w:p w14:paraId="392F38E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125</w:t>
                  </w:r>
                </w:p>
              </w:tc>
              <w:tc>
                <w:tcPr>
                  <w:tcW w:w="656" w:type="dxa"/>
                  <w:tcBorders>
                    <w:tl2br w:val="nil"/>
                    <w:tr2bl w:val="nil"/>
                  </w:tcBorders>
                  <w:vAlign w:val="center"/>
                </w:tcPr>
                <w:p w14:paraId="29CE992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0.70</w:t>
                  </w:r>
                </w:p>
              </w:tc>
              <w:tc>
                <w:tcPr>
                  <w:tcW w:w="656" w:type="dxa"/>
                  <w:tcBorders>
                    <w:tl2br w:val="nil"/>
                    <w:tr2bl w:val="nil"/>
                  </w:tcBorders>
                  <w:vAlign w:val="center"/>
                </w:tcPr>
                <w:p w14:paraId="4267476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66.9</w:t>
                  </w:r>
                </w:p>
              </w:tc>
              <w:tc>
                <w:tcPr>
                  <w:tcW w:w="656" w:type="dxa"/>
                  <w:tcBorders>
                    <w:tl2br w:val="nil"/>
                    <w:tr2bl w:val="nil"/>
                  </w:tcBorders>
                  <w:vAlign w:val="center"/>
                </w:tcPr>
                <w:p w14:paraId="564065B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27.3</w:t>
                  </w:r>
                </w:p>
              </w:tc>
              <w:tc>
                <w:tcPr>
                  <w:tcW w:w="656" w:type="dxa"/>
                  <w:tcBorders>
                    <w:tl2br w:val="nil"/>
                    <w:tr2bl w:val="nil"/>
                  </w:tcBorders>
                  <w:vAlign w:val="center"/>
                </w:tcPr>
                <w:p w14:paraId="066D031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0.11</w:t>
                  </w:r>
                </w:p>
              </w:tc>
              <w:tc>
                <w:tcPr>
                  <w:tcW w:w="656" w:type="dxa"/>
                  <w:tcBorders>
                    <w:tl2br w:val="nil"/>
                    <w:tr2bl w:val="nil"/>
                  </w:tcBorders>
                  <w:vAlign w:val="center"/>
                </w:tcPr>
                <w:p w14:paraId="6451A58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34.0</w:t>
                  </w:r>
                </w:p>
              </w:tc>
              <w:tc>
                <w:tcPr>
                  <w:tcW w:w="656" w:type="dxa"/>
                  <w:tcBorders>
                    <w:tl2br w:val="nil"/>
                    <w:tr2bl w:val="nil"/>
                  </w:tcBorders>
                  <w:vAlign w:val="center"/>
                </w:tcPr>
                <w:p w14:paraId="0C4F8AC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64.8</w:t>
                  </w:r>
                </w:p>
              </w:tc>
              <w:tc>
                <w:tcPr>
                  <w:tcW w:w="656" w:type="dxa"/>
                  <w:tcBorders>
                    <w:tl2br w:val="nil"/>
                    <w:tr2bl w:val="nil"/>
                  </w:tcBorders>
                  <w:vAlign w:val="center"/>
                </w:tcPr>
                <w:p w14:paraId="6D27FFF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0.50</w:t>
                  </w:r>
                </w:p>
              </w:tc>
              <w:tc>
                <w:tcPr>
                  <w:tcW w:w="656" w:type="dxa"/>
                  <w:tcBorders>
                    <w:tl2br w:val="nil"/>
                    <w:tr2bl w:val="nil"/>
                  </w:tcBorders>
                  <w:vAlign w:val="center"/>
                </w:tcPr>
                <w:p w14:paraId="484E0AA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82.7</w:t>
                  </w:r>
                </w:p>
              </w:tc>
              <w:tc>
                <w:tcPr>
                  <w:tcW w:w="658" w:type="dxa"/>
                  <w:gridSpan w:val="2"/>
                  <w:tcBorders>
                    <w:tl2br w:val="nil"/>
                    <w:tr2bl w:val="nil"/>
                  </w:tcBorders>
                  <w:vAlign w:val="center"/>
                </w:tcPr>
                <w:p w14:paraId="201C717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0.5ND</w:t>
                  </w:r>
                </w:p>
              </w:tc>
            </w:tr>
            <w:tr w14:paraId="1AD59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005D722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T1`</w:t>
                  </w:r>
                </w:p>
              </w:tc>
              <w:tc>
                <w:tcPr>
                  <w:tcW w:w="656" w:type="dxa"/>
                  <w:tcBorders>
                    <w:tl2br w:val="nil"/>
                    <w:tr2bl w:val="nil"/>
                  </w:tcBorders>
                  <w:vAlign w:val="center"/>
                </w:tcPr>
                <w:p w14:paraId="7F0A354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8.0</w:t>
                  </w:r>
                </w:p>
              </w:tc>
              <w:tc>
                <w:tcPr>
                  <w:tcW w:w="656" w:type="dxa"/>
                  <w:tcBorders>
                    <w:tl2br w:val="nil"/>
                    <w:tr2bl w:val="nil"/>
                  </w:tcBorders>
                  <w:vAlign w:val="center"/>
                </w:tcPr>
                <w:p w14:paraId="2E58E5A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39.2</w:t>
                  </w:r>
                </w:p>
              </w:tc>
              <w:tc>
                <w:tcPr>
                  <w:tcW w:w="656" w:type="dxa"/>
                  <w:tcBorders>
                    <w:tl2br w:val="nil"/>
                    <w:tr2bl w:val="nil"/>
                  </w:tcBorders>
                  <w:vAlign w:val="center"/>
                </w:tcPr>
                <w:p w14:paraId="79D5F4F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1.80</w:t>
                  </w:r>
                </w:p>
              </w:tc>
              <w:tc>
                <w:tcPr>
                  <w:tcW w:w="656" w:type="dxa"/>
                  <w:tcBorders>
                    <w:tl2br w:val="nil"/>
                    <w:tr2bl w:val="nil"/>
                  </w:tcBorders>
                  <w:vAlign w:val="center"/>
                </w:tcPr>
                <w:p w14:paraId="4846219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72.6</w:t>
                  </w:r>
                </w:p>
              </w:tc>
              <w:tc>
                <w:tcPr>
                  <w:tcW w:w="656" w:type="dxa"/>
                  <w:tcBorders>
                    <w:tl2br w:val="nil"/>
                    <w:tr2bl w:val="nil"/>
                  </w:tcBorders>
                  <w:vAlign w:val="center"/>
                </w:tcPr>
                <w:p w14:paraId="41E806F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24.6</w:t>
                  </w:r>
                </w:p>
              </w:tc>
              <w:tc>
                <w:tcPr>
                  <w:tcW w:w="656" w:type="dxa"/>
                  <w:tcBorders>
                    <w:tl2br w:val="nil"/>
                    <w:tr2bl w:val="nil"/>
                  </w:tcBorders>
                  <w:vAlign w:val="center"/>
                </w:tcPr>
                <w:p w14:paraId="36DD467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0.37</w:t>
                  </w:r>
                </w:p>
              </w:tc>
              <w:tc>
                <w:tcPr>
                  <w:tcW w:w="656" w:type="dxa"/>
                  <w:tcBorders>
                    <w:tl2br w:val="nil"/>
                    <w:tr2bl w:val="nil"/>
                  </w:tcBorders>
                  <w:vAlign w:val="center"/>
                </w:tcPr>
                <w:p w14:paraId="54BE133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24.5</w:t>
                  </w:r>
                </w:p>
              </w:tc>
              <w:tc>
                <w:tcPr>
                  <w:tcW w:w="656" w:type="dxa"/>
                  <w:tcBorders>
                    <w:tl2br w:val="nil"/>
                    <w:tr2bl w:val="nil"/>
                  </w:tcBorders>
                  <w:vAlign w:val="center"/>
                </w:tcPr>
                <w:p w14:paraId="10E67DA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44.7</w:t>
                  </w:r>
                </w:p>
              </w:tc>
              <w:tc>
                <w:tcPr>
                  <w:tcW w:w="656" w:type="dxa"/>
                  <w:tcBorders>
                    <w:tl2br w:val="nil"/>
                    <w:tr2bl w:val="nil"/>
                  </w:tcBorders>
                  <w:vAlign w:val="center"/>
                </w:tcPr>
                <w:p w14:paraId="1859892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0.58</w:t>
                  </w:r>
                </w:p>
              </w:tc>
              <w:tc>
                <w:tcPr>
                  <w:tcW w:w="656" w:type="dxa"/>
                  <w:tcBorders>
                    <w:tl2br w:val="nil"/>
                    <w:tr2bl w:val="nil"/>
                  </w:tcBorders>
                  <w:vAlign w:val="center"/>
                </w:tcPr>
                <w:p w14:paraId="3A70D6B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317</w:t>
                  </w:r>
                </w:p>
              </w:tc>
              <w:tc>
                <w:tcPr>
                  <w:tcW w:w="658" w:type="dxa"/>
                  <w:gridSpan w:val="2"/>
                  <w:tcBorders>
                    <w:tl2br w:val="nil"/>
                    <w:tr2bl w:val="nil"/>
                  </w:tcBorders>
                  <w:vAlign w:val="center"/>
                </w:tcPr>
                <w:p w14:paraId="07A1535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0.5ND</w:t>
                  </w:r>
                </w:p>
              </w:tc>
            </w:tr>
            <w:tr w14:paraId="6C530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01" w:type="dxa"/>
                  <w:tcBorders>
                    <w:tl2br w:val="nil"/>
                    <w:tr2bl w:val="nil"/>
                  </w:tcBorders>
                  <w:vAlign w:val="center"/>
                </w:tcPr>
                <w:p w14:paraId="7A41344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T2</w:t>
                  </w:r>
                </w:p>
              </w:tc>
              <w:tc>
                <w:tcPr>
                  <w:tcW w:w="656" w:type="dxa"/>
                  <w:tcBorders>
                    <w:tl2br w:val="nil"/>
                    <w:tr2bl w:val="nil"/>
                  </w:tcBorders>
                  <w:vAlign w:val="center"/>
                </w:tcPr>
                <w:p w14:paraId="731EA5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7.9</w:t>
                  </w:r>
                </w:p>
              </w:tc>
              <w:tc>
                <w:tcPr>
                  <w:tcW w:w="656" w:type="dxa"/>
                  <w:tcBorders>
                    <w:tl2br w:val="nil"/>
                    <w:tr2bl w:val="nil"/>
                  </w:tcBorders>
                  <w:vAlign w:val="center"/>
                </w:tcPr>
                <w:p w14:paraId="1CB65E1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66.7</w:t>
                  </w:r>
                </w:p>
              </w:tc>
              <w:tc>
                <w:tcPr>
                  <w:tcW w:w="656" w:type="dxa"/>
                  <w:tcBorders>
                    <w:tl2br w:val="nil"/>
                    <w:tr2bl w:val="nil"/>
                  </w:tcBorders>
                  <w:vAlign w:val="center"/>
                </w:tcPr>
                <w:p w14:paraId="169ACC6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0.25</w:t>
                  </w:r>
                </w:p>
              </w:tc>
              <w:tc>
                <w:tcPr>
                  <w:tcW w:w="656" w:type="dxa"/>
                  <w:tcBorders>
                    <w:tl2br w:val="nil"/>
                    <w:tr2bl w:val="nil"/>
                  </w:tcBorders>
                  <w:vAlign w:val="center"/>
                </w:tcPr>
                <w:p w14:paraId="2983F0D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79.7</w:t>
                  </w:r>
                </w:p>
              </w:tc>
              <w:tc>
                <w:tcPr>
                  <w:tcW w:w="656" w:type="dxa"/>
                  <w:tcBorders>
                    <w:tl2br w:val="nil"/>
                    <w:tr2bl w:val="nil"/>
                  </w:tcBorders>
                  <w:vAlign w:val="center"/>
                </w:tcPr>
                <w:p w14:paraId="3BA0466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36.5</w:t>
                  </w:r>
                </w:p>
              </w:tc>
              <w:tc>
                <w:tcPr>
                  <w:tcW w:w="656" w:type="dxa"/>
                  <w:tcBorders>
                    <w:tl2br w:val="nil"/>
                    <w:tr2bl w:val="nil"/>
                  </w:tcBorders>
                  <w:vAlign w:val="center"/>
                </w:tcPr>
                <w:p w14:paraId="52D62C4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0.064</w:t>
                  </w:r>
                </w:p>
              </w:tc>
              <w:tc>
                <w:tcPr>
                  <w:tcW w:w="656" w:type="dxa"/>
                  <w:tcBorders>
                    <w:tl2br w:val="nil"/>
                    <w:tr2bl w:val="nil"/>
                  </w:tcBorders>
                  <w:vAlign w:val="center"/>
                </w:tcPr>
                <w:p w14:paraId="17B3714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46.0</w:t>
                  </w:r>
                </w:p>
              </w:tc>
              <w:tc>
                <w:tcPr>
                  <w:tcW w:w="656" w:type="dxa"/>
                  <w:tcBorders>
                    <w:tl2br w:val="nil"/>
                    <w:tr2bl w:val="nil"/>
                  </w:tcBorders>
                  <w:vAlign w:val="center"/>
                </w:tcPr>
                <w:p w14:paraId="223E0AE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31.2</w:t>
                  </w:r>
                </w:p>
              </w:tc>
              <w:tc>
                <w:tcPr>
                  <w:tcW w:w="656" w:type="dxa"/>
                  <w:tcBorders>
                    <w:tl2br w:val="nil"/>
                    <w:tr2bl w:val="nil"/>
                  </w:tcBorders>
                  <w:vAlign w:val="center"/>
                </w:tcPr>
                <w:p w14:paraId="51BAD0E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0.78</w:t>
                  </w:r>
                </w:p>
              </w:tc>
              <w:tc>
                <w:tcPr>
                  <w:tcW w:w="656" w:type="dxa"/>
                  <w:tcBorders>
                    <w:tl2br w:val="nil"/>
                    <w:tr2bl w:val="nil"/>
                  </w:tcBorders>
                  <w:vAlign w:val="center"/>
                </w:tcPr>
                <w:p w14:paraId="652DF51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102</w:t>
                  </w:r>
                </w:p>
              </w:tc>
              <w:tc>
                <w:tcPr>
                  <w:tcW w:w="658" w:type="dxa"/>
                  <w:gridSpan w:val="2"/>
                  <w:tcBorders>
                    <w:tl2br w:val="nil"/>
                    <w:tr2bl w:val="nil"/>
                  </w:tcBorders>
                  <w:vAlign w:val="center"/>
                </w:tcPr>
                <w:p w14:paraId="2721C49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0.5ND</w:t>
                  </w:r>
                </w:p>
              </w:tc>
            </w:tr>
            <w:tr w14:paraId="7F115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01" w:type="dxa"/>
                  <w:tcBorders>
                    <w:tl2br w:val="nil"/>
                    <w:tr2bl w:val="nil"/>
                  </w:tcBorders>
                  <w:vAlign w:val="center"/>
                </w:tcPr>
                <w:p w14:paraId="4592972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标准限值</w:t>
                  </w:r>
                </w:p>
              </w:tc>
              <w:tc>
                <w:tcPr>
                  <w:tcW w:w="656" w:type="dxa"/>
                  <w:tcBorders>
                    <w:tl2br w:val="nil"/>
                    <w:tr2bl w:val="nil"/>
                  </w:tcBorders>
                  <w:vAlign w:val="center"/>
                </w:tcPr>
                <w:p w14:paraId="5D0E8A8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656" w:type="dxa"/>
                  <w:tcBorders>
                    <w:tl2br w:val="nil"/>
                    <w:tr2bl w:val="nil"/>
                  </w:tcBorders>
                  <w:vAlign w:val="center"/>
                </w:tcPr>
                <w:p w14:paraId="3054DAD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60</w:t>
                  </w:r>
                </w:p>
              </w:tc>
              <w:tc>
                <w:tcPr>
                  <w:tcW w:w="656" w:type="dxa"/>
                  <w:tcBorders>
                    <w:tl2br w:val="nil"/>
                    <w:tr2bl w:val="nil"/>
                  </w:tcBorders>
                  <w:vAlign w:val="center"/>
                </w:tcPr>
                <w:p w14:paraId="2298435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65</w:t>
                  </w:r>
                </w:p>
              </w:tc>
              <w:tc>
                <w:tcPr>
                  <w:tcW w:w="656" w:type="dxa"/>
                  <w:tcBorders>
                    <w:tl2br w:val="nil"/>
                    <w:tr2bl w:val="nil"/>
                  </w:tcBorders>
                  <w:vAlign w:val="center"/>
                </w:tcPr>
                <w:p w14:paraId="1306EB0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656" w:type="dxa"/>
                  <w:tcBorders>
                    <w:tl2br w:val="nil"/>
                    <w:tr2bl w:val="nil"/>
                  </w:tcBorders>
                  <w:vAlign w:val="center"/>
                </w:tcPr>
                <w:p w14:paraId="7125DAE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180000</w:t>
                  </w:r>
                </w:p>
              </w:tc>
              <w:tc>
                <w:tcPr>
                  <w:tcW w:w="656" w:type="dxa"/>
                  <w:tcBorders>
                    <w:tl2br w:val="nil"/>
                    <w:tr2bl w:val="nil"/>
                  </w:tcBorders>
                  <w:vAlign w:val="center"/>
                </w:tcPr>
                <w:p w14:paraId="6593D79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38</w:t>
                  </w:r>
                </w:p>
              </w:tc>
              <w:tc>
                <w:tcPr>
                  <w:tcW w:w="656" w:type="dxa"/>
                  <w:tcBorders>
                    <w:tl2br w:val="nil"/>
                    <w:tr2bl w:val="nil"/>
                  </w:tcBorders>
                  <w:vAlign w:val="center"/>
                </w:tcPr>
                <w:p w14:paraId="03AA997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900</w:t>
                  </w:r>
                </w:p>
              </w:tc>
              <w:tc>
                <w:tcPr>
                  <w:tcW w:w="656" w:type="dxa"/>
                  <w:tcBorders>
                    <w:tl2br w:val="nil"/>
                    <w:tr2bl w:val="nil"/>
                  </w:tcBorders>
                  <w:vAlign w:val="center"/>
                </w:tcPr>
                <w:p w14:paraId="7ABE758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800</w:t>
                  </w:r>
                </w:p>
              </w:tc>
              <w:tc>
                <w:tcPr>
                  <w:tcW w:w="656" w:type="dxa"/>
                  <w:tcBorders>
                    <w:tl2br w:val="nil"/>
                    <w:tr2bl w:val="nil"/>
                  </w:tcBorders>
                  <w:vAlign w:val="center"/>
                </w:tcPr>
                <w:p w14:paraId="744D89C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657" w:type="dxa"/>
                  <w:gridSpan w:val="2"/>
                  <w:tcBorders>
                    <w:tl2br w:val="nil"/>
                    <w:tr2bl w:val="nil"/>
                  </w:tcBorders>
                  <w:vAlign w:val="center"/>
                </w:tcPr>
                <w:p w14:paraId="599F882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657" w:type="dxa"/>
                  <w:tcBorders>
                    <w:tl2br w:val="nil"/>
                    <w:tr2bl w:val="nil"/>
                  </w:tcBorders>
                  <w:vAlign w:val="center"/>
                </w:tcPr>
                <w:p w14:paraId="433B816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w:t>
                  </w:r>
                </w:p>
              </w:tc>
            </w:tr>
          </w:tbl>
          <w:p w14:paraId="6C712EB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szCs w:val="24"/>
                <w:lang w:val="en-US" w:eastAsia="zh-CN"/>
              </w:rPr>
            </w:pPr>
            <w:r>
              <w:rPr>
                <w:rFonts w:hint="default"/>
                <w:color w:val="auto"/>
                <w:sz w:val="24"/>
                <w:szCs w:val="24"/>
                <w:lang w:val="en-US" w:eastAsia="zh-CN"/>
              </w:rPr>
              <w:t>根据检测结果，渣堆周边土壤中铅、镉、铜、镍、汞、砷、铬、铊、锌的检出率均为100%。pH、镉、汞、砷、铅、铬、六价铬、镍、铜、锌的检测结果对照《建设用地土壤污染风险管控标准》</w:t>
            </w:r>
            <w:r>
              <w:rPr>
                <w:rFonts w:hint="eastAsia"/>
                <w:color w:val="auto"/>
                <w:sz w:val="24"/>
                <w:szCs w:val="24"/>
                <w:lang w:val="en-US" w:eastAsia="zh-CN"/>
              </w:rPr>
              <w:t>（</w:t>
            </w:r>
            <w:r>
              <w:rPr>
                <w:rFonts w:hint="default"/>
                <w:color w:val="auto"/>
                <w:sz w:val="24"/>
                <w:szCs w:val="24"/>
                <w:lang w:val="en-US" w:eastAsia="zh-CN"/>
              </w:rPr>
              <w:t>GB36600-2018</w:t>
            </w:r>
            <w:r>
              <w:rPr>
                <w:rFonts w:hint="eastAsia"/>
                <w:color w:val="auto"/>
                <w:sz w:val="24"/>
                <w:szCs w:val="24"/>
                <w:lang w:val="en-US" w:eastAsia="zh-CN"/>
              </w:rPr>
              <w:t>）</w:t>
            </w:r>
            <w:r>
              <w:rPr>
                <w:rFonts w:hint="default"/>
                <w:color w:val="auto"/>
                <w:sz w:val="24"/>
                <w:szCs w:val="24"/>
                <w:lang w:val="en-US" w:eastAsia="zh-CN"/>
              </w:rPr>
              <w:t>中第二类用地筛选值。其中砷元素存在超标情况，超标点位共2个，超标率为66%，最大超标倍数1.08倍，超过背景点2.19倍</w:t>
            </w:r>
            <w:r>
              <w:rPr>
                <w:rFonts w:hint="eastAsia"/>
                <w:color w:val="auto"/>
                <w:sz w:val="24"/>
                <w:szCs w:val="24"/>
                <w:lang w:val="en-US" w:eastAsia="zh-CN"/>
              </w:rPr>
              <w:t>。</w:t>
            </w:r>
          </w:p>
          <w:p w14:paraId="41CA3F5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lang w:val="en-US" w:eastAsia="zh-CN"/>
              </w:rPr>
            </w:pPr>
            <w:r>
              <w:rPr>
                <w:rFonts w:hint="default"/>
                <w:color w:val="auto"/>
                <w:sz w:val="24"/>
                <w:szCs w:val="24"/>
                <w:lang w:val="en-US" w:eastAsia="zh-CN"/>
              </w:rPr>
              <w:t>监测数据显示渣堆周边土壤砷、镉、锌等指标存在不同程度超标，超标原因为历史无防护矿渣长期受雨水淋溶，重金属随地表径流、下渗水向周边土壤迁移扩散。本项目采用1.5mm厚HDPE双糙两布一膜完整水平阻隔体系，上下配套压实黏土保护层，渗透系数＜10⁻¹²cm/s，搭配场区环形截排水、坡面截水沟实现雨污完全分流，从源头隔绝雨水与废渣持续接触，防渗阻隔系统可彻底阻断废渣中重金属随渗滤液、地表径流向下游土壤、红岩河水体迁移，消除现状土壤超标持续恶化风险；工程封场后同步实施3年长效水土、土壤跟踪监测，验证阻隔体系长效稳定效果</w:t>
            </w:r>
            <w:r>
              <w:rPr>
                <w:rFonts w:hint="eastAsia"/>
                <w:color w:val="auto"/>
                <w:sz w:val="24"/>
                <w:szCs w:val="24"/>
                <w:lang w:val="en-US" w:eastAsia="zh-CN"/>
              </w:rPr>
              <w:t>。</w:t>
            </w:r>
          </w:p>
        </w:tc>
      </w:tr>
      <w:tr w14:paraId="71A6AC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5" w:hRule="atLeast"/>
          <w:jc w:val="center"/>
        </w:trPr>
        <w:tc>
          <w:tcPr>
            <w:tcW w:w="855" w:type="dxa"/>
            <w:tcBorders>
              <w:tl2br w:val="nil"/>
              <w:tr2bl w:val="nil"/>
            </w:tcBorders>
            <w:noWrap w:val="0"/>
            <w:vAlign w:val="center"/>
          </w:tcPr>
          <w:p w14:paraId="14A3D0EB">
            <w:pPr>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与项目有关的原有环境污染和生态破坏问题</w:t>
            </w:r>
          </w:p>
        </w:tc>
        <w:tc>
          <w:tcPr>
            <w:tcW w:w="8302" w:type="dxa"/>
            <w:tcBorders>
              <w:tl2br w:val="nil"/>
              <w:tr2bl w:val="nil"/>
            </w:tcBorders>
            <w:noWrap w:val="0"/>
            <w:vAlign w:val="center"/>
          </w:tcPr>
          <w:p w14:paraId="7A0EE1F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szCs w:val="24"/>
                <w:lang w:val="en-US" w:eastAsia="zh-CN"/>
              </w:rPr>
            </w:pPr>
            <w:r>
              <w:rPr>
                <w:rFonts w:hint="default"/>
                <w:color w:val="auto"/>
                <w:sz w:val="24"/>
                <w:szCs w:val="24"/>
                <w:lang w:val="en-US" w:eastAsia="zh-CN"/>
              </w:rPr>
              <w:t>与项目有关的原有环境污染和生态破坏问题</w:t>
            </w:r>
            <w:r>
              <w:rPr>
                <w:rFonts w:hint="eastAsia"/>
                <w:color w:val="auto"/>
                <w:sz w:val="24"/>
                <w:szCs w:val="24"/>
                <w:lang w:val="en-US" w:eastAsia="zh-CN"/>
              </w:rPr>
              <w:t>。</w:t>
            </w:r>
          </w:p>
          <w:p w14:paraId="187F2F23">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矿产资源的开发利用，为经济建设和社会发展提供了大量能源、原材料，同时也造成了一系列生态环境问题，使原本就很脆弱的自然生态系统处于不堪重负状态。太白县咀头镇古迹街4处历史遗留渣堆生态环境问题主要包括渣堆地质灾害、土地资源损毁、地形地貌景观破坏、水土流失加剧等问题。</w:t>
            </w:r>
          </w:p>
          <w:p w14:paraId="1B476923">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b/>
                <w:bCs/>
                <w:color w:val="auto"/>
                <w:sz w:val="24"/>
                <w:szCs w:val="24"/>
                <w:lang w:val="en-US" w:eastAsia="zh-CN"/>
              </w:rPr>
            </w:pPr>
            <w:r>
              <w:rPr>
                <w:rFonts w:hint="eastAsia"/>
                <w:b/>
                <w:bCs/>
                <w:color w:val="auto"/>
                <w:sz w:val="24"/>
                <w:szCs w:val="24"/>
                <w:lang w:val="en-US" w:eastAsia="zh-CN"/>
              </w:rPr>
              <w:t>1.渣堆地质灾害</w:t>
            </w:r>
          </w:p>
          <w:p w14:paraId="36C14998">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szCs w:val="24"/>
                <w:lang w:val="en-US" w:eastAsia="zh-CN"/>
              </w:rPr>
            </w:pPr>
            <w:r>
              <w:rPr>
                <w:rFonts w:hint="eastAsia"/>
                <w:color w:val="auto"/>
                <w:sz w:val="24"/>
                <w:szCs w:val="24"/>
                <w:lang w:val="en-US" w:eastAsia="zh-CN"/>
              </w:rPr>
              <w:t>经野外调查，项目区原始自然山坡整体较为稳定。但由于历史时期不规范的采矿和废渣堆弃活动，对原有地形地貌造成了严重扰动和破坏，形成了多处具有不同特征的地质灾害隐患点。废渣堆积体作为新增的人工堆积地质体，其自身结构松散，稳定性差，在降雨、地表径流等外部因素激发下容易失稳，对下方沟道、道路及潜在的人员活动构成威胁。1#、2#、3#废渣堆的地质灾害隐患主要表现为堆积体自身失稳引发的滑坡、崩塌及水石流。该三处废渣堆均为直接堆砌于原始山坡之上的高陡人工边坡，现场测量坡度达40~45°。堆积体物质为大小不一、棱角状的铅锌矿废石，结构松散，无胶结，缺乏有效的自身约束。勘查区属降雨集中区域，强降雨是诱发地质灾害的主要因素。雨水入渗会增大堆积体的自重，产生孔隙水压力，显著降低堆积体内部的抗剪强度，从而易诱发整体性的滑动破坏。同时，强降雨期间，渣堆体内部排泄不畅地段易发生局部积水现象，对坡体堆积物产生静水压力，稳定性较差的废渣堆积体可能产生局部崩塌现象。此外，地表径流对松散的坡面会形成冲刷，形成冲沟，破坏坡体完整性，加剧失稳风险。现场勘查发现，该三处废渣堆坡脚存在一处蓄水池，降雨入渗以及山体基岩裂隙水沿坡体汇集于此处，再经由道路下方涵洞排入红岩河。这些渗水通道的存在说明堆体内已有稳定的地下水渗流路径，水流的持续排泄会对坡脚的细颗粒物质造成冲刷和带离，掏空坡脚，使其失去支撑，从而可能诱发上部堆积体的牵引式失稳。4#废渣堆位于河道部位，整体地势较为平坦，但由于人类活动，现存有一处面积较大凹形低洼地段。雨季期间，河道水位上涨会造成弃渣堆坡脚持续受水流冲积，可能引发弃渣堆坡脚失稳，进而诱发一定范围的渣堆失稳，威胁河道安全。</w:t>
            </w:r>
          </w:p>
          <w:tbl>
            <w:tblPr>
              <w:tblStyle w:val="15"/>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63"/>
              <w:gridCol w:w="3963"/>
            </w:tblGrid>
            <w:tr w14:paraId="25AA7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3688DCA4">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color w:val="auto"/>
                      <w:sz w:val="21"/>
                      <w:szCs w:val="21"/>
                      <w:vertAlign w:val="baseline"/>
                      <w:lang w:val="en-US" w:eastAsia="zh-CN"/>
                    </w:rPr>
                  </w:pPr>
                  <w:r>
                    <w:rPr>
                      <w:color w:val="auto"/>
                      <w:sz w:val="21"/>
                      <w:szCs w:val="21"/>
                    </w:rPr>
                    <w:drawing>
                      <wp:inline distT="0" distB="0" distL="114300" distR="114300">
                        <wp:extent cx="2486025" cy="1779905"/>
                        <wp:effectExtent l="0" t="0" r="9525" b="1079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0"/>
                                <a:stretch>
                                  <a:fillRect/>
                                </a:stretch>
                              </pic:blipFill>
                              <pic:spPr>
                                <a:xfrm>
                                  <a:off x="0" y="0"/>
                                  <a:ext cx="2486025" cy="1779905"/>
                                </a:xfrm>
                                <a:prstGeom prst="rect">
                                  <a:avLst/>
                                </a:prstGeom>
                                <a:noFill/>
                                <a:ln>
                                  <a:noFill/>
                                </a:ln>
                              </pic:spPr>
                            </pic:pic>
                          </a:graphicData>
                        </a:graphic>
                      </wp:inline>
                    </w:drawing>
                  </w:r>
                </w:p>
              </w:tc>
              <w:tc>
                <w:tcPr>
                  <w:tcW w:w="3963" w:type="dxa"/>
                  <w:tcBorders>
                    <w:tl2br w:val="nil"/>
                    <w:tr2bl w:val="nil"/>
                  </w:tcBorders>
                  <w:vAlign w:val="center"/>
                </w:tcPr>
                <w:p w14:paraId="4364CEFD">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color w:val="auto"/>
                      <w:sz w:val="21"/>
                      <w:szCs w:val="21"/>
                      <w:vertAlign w:val="baseline"/>
                      <w:lang w:val="en-US" w:eastAsia="zh-CN"/>
                    </w:rPr>
                  </w:pPr>
                  <w:r>
                    <w:rPr>
                      <w:color w:val="auto"/>
                      <w:sz w:val="21"/>
                      <w:szCs w:val="21"/>
                    </w:rPr>
                    <w:drawing>
                      <wp:inline distT="0" distB="0" distL="114300" distR="114300">
                        <wp:extent cx="2475230" cy="1776730"/>
                        <wp:effectExtent l="0" t="0" r="1270" b="1397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1"/>
                                <a:stretch>
                                  <a:fillRect/>
                                </a:stretch>
                              </pic:blipFill>
                              <pic:spPr>
                                <a:xfrm>
                                  <a:off x="0" y="0"/>
                                  <a:ext cx="2475230" cy="1776730"/>
                                </a:xfrm>
                                <a:prstGeom prst="rect">
                                  <a:avLst/>
                                </a:prstGeom>
                                <a:noFill/>
                                <a:ln>
                                  <a:noFill/>
                                </a:ln>
                              </pic:spPr>
                            </pic:pic>
                          </a:graphicData>
                        </a:graphic>
                      </wp:inline>
                    </w:drawing>
                  </w:r>
                </w:p>
              </w:tc>
            </w:tr>
            <w:tr w14:paraId="03B74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0BDFD17E">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咀头镇古迹街1#-3#铅锌矿渣堆</w:t>
                  </w:r>
                </w:p>
              </w:tc>
              <w:tc>
                <w:tcPr>
                  <w:tcW w:w="3963" w:type="dxa"/>
                  <w:tcBorders>
                    <w:tl2br w:val="nil"/>
                    <w:tr2bl w:val="nil"/>
                  </w:tcBorders>
                  <w:vAlign w:val="center"/>
                </w:tcPr>
                <w:p w14:paraId="574547FA">
                  <w:pPr>
                    <w:keepNext w:val="0"/>
                    <w:keepLines w:val="0"/>
                    <w:widowControl/>
                    <w:suppressLineNumbers w:val="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宋体" w:hAnsi="宋体" w:eastAsia="宋体" w:cs="宋体"/>
                      <w:b w:val="0"/>
                      <w:bCs w:val="0"/>
                      <w:color w:val="auto"/>
                      <w:kern w:val="0"/>
                      <w:sz w:val="21"/>
                      <w:szCs w:val="21"/>
                      <w:lang w:val="en-US" w:eastAsia="zh-CN" w:bidi="ar"/>
                    </w:rPr>
                    <w:t>咀头镇古迹街</w:t>
                  </w:r>
                  <w:r>
                    <w:rPr>
                      <w:rFonts w:hint="default" w:ascii="Times New Roman" w:hAnsi="Times New Roman" w:eastAsia="宋体" w:cs="Times New Roman"/>
                      <w:b w:val="0"/>
                      <w:bCs w:val="0"/>
                      <w:color w:val="auto"/>
                      <w:kern w:val="0"/>
                      <w:sz w:val="21"/>
                      <w:szCs w:val="21"/>
                      <w:lang w:val="en-US" w:eastAsia="zh-CN" w:bidi="ar"/>
                    </w:rPr>
                    <w:t>1#-3#</w:t>
                  </w:r>
                  <w:r>
                    <w:rPr>
                      <w:rFonts w:hint="eastAsia" w:ascii="宋体" w:hAnsi="宋体" w:eastAsia="宋体" w:cs="宋体"/>
                      <w:b w:val="0"/>
                      <w:bCs w:val="0"/>
                      <w:color w:val="auto"/>
                      <w:kern w:val="0"/>
                      <w:sz w:val="21"/>
                      <w:szCs w:val="21"/>
                      <w:lang w:val="en-US" w:eastAsia="zh-CN" w:bidi="ar"/>
                    </w:rPr>
                    <w:t>铅锌矿渣堆水石流及滑坡隐患</w:t>
                  </w:r>
                </w:p>
              </w:tc>
            </w:tr>
            <w:tr w14:paraId="5086BC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6DAC9587">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476500" cy="1776730"/>
                        <wp:effectExtent l="0" t="0" r="0" b="139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2"/>
                                <a:stretch>
                                  <a:fillRect/>
                                </a:stretch>
                              </pic:blipFill>
                              <pic:spPr>
                                <a:xfrm>
                                  <a:off x="0" y="0"/>
                                  <a:ext cx="2476500" cy="1776730"/>
                                </a:xfrm>
                                <a:prstGeom prst="rect">
                                  <a:avLst/>
                                </a:prstGeom>
                                <a:noFill/>
                                <a:ln>
                                  <a:noFill/>
                                </a:ln>
                              </pic:spPr>
                            </pic:pic>
                          </a:graphicData>
                        </a:graphic>
                      </wp:inline>
                    </w:drawing>
                  </w:r>
                </w:p>
              </w:tc>
              <w:tc>
                <w:tcPr>
                  <w:tcW w:w="3963" w:type="dxa"/>
                  <w:tcBorders>
                    <w:tl2br w:val="nil"/>
                    <w:tr2bl w:val="nil"/>
                  </w:tcBorders>
                  <w:vAlign w:val="center"/>
                </w:tcPr>
                <w:p w14:paraId="2E815AB3">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447290" cy="1800860"/>
                        <wp:effectExtent l="0" t="0" r="10160" b="889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3"/>
                                <a:stretch>
                                  <a:fillRect/>
                                </a:stretch>
                              </pic:blipFill>
                              <pic:spPr>
                                <a:xfrm>
                                  <a:off x="0" y="0"/>
                                  <a:ext cx="2447290" cy="1800860"/>
                                </a:xfrm>
                                <a:prstGeom prst="rect">
                                  <a:avLst/>
                                </a:prstGeom>
                                <a:noFill/>
                                <a:ln>
                                  <a:noFill/>
                                </a:ln>
                              </pic:spPr>
                            </pic:pic>
                          </a:graphicData>
                        </a:graphic>
                      </wp:inline>
                    </w:drawing>
                  </w:r>
                </w:p>
              </w:tc>
            </w:tr>
            <w:tr w14:paraId="5A671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2096F67E">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1#-3#铅锌矿渣堆坡脚蓄水池</w:t>
                  </w:r>
                </w:p>
              </w:tc>
              <w:tc>
                <w:tcPr>
                  <w:tcW w:w="3963" w:type="dxa"/>
                  <w:tcBorders>
                    <w:tl2br w:val="nil"/>
                    <w:tr2bl w:val="nil"/>
                  </w:tcBorders>
                  <w:vAlign w:val="center"/>
                </w:tcPr>
                <w:p w14:paraId="5943C200">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1#-3#铅锌矿渣堆平台处植被间距120mm-150mm</w:t>
                  </w:r>
                </w:p>
              </w:tc>
            </w:tr>
            <w:tr w14:paraId="64D02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1550E803">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454910" cy="1802130"/>
                        <wp:effectExtent l="0" t="0" r="2540" b="762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4"/>
                                <a:stretch>
                                  <a:fillRect/>
                                </a:stretch>
                              </pic:blipFill>
                              <pic:spPr>
                                <a:xfrm>
                                  <a:off x="0" y="0"/>
                                  <a:ext cx="2454910" cy="1802130"/>
                                </a:xfrm>
                                <a:prstGeom prst="rect">
                                  <a:avLst/>
                                </a:prstGeom>
                                <a:noFill/>
                                <a:ln>
                                  <a:noFill/>
                                </a:ln>
                              </pic:spPr>
                            </pic:pic>
                          </a:graphicData>
                        </a:graphic>
                      </wp:inline>
                    </w:drawing>
                  </w:r>
                </w:p>
              </w:tc>
              <w:tc>
                <w:tcPr>
                  <w:tcW w:w="3963" w:type="dxa"/>
                  <w:tcBorders>
                    <w:tl2br w:val="nil"/>
                    <w:tr2bl w:val="nil"/>
                  </w:tcBorders>
                  <w:vAlign w:val="center"/>
                </w:tcPr>
                <w:p w14:paraId="788E9E9A">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378710" cy="1774190"/>
                        <wp:effectExtent l="0" t="0" r="2540" b="1651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25"/>
                                <a:stretch>
                                  <a:fillRect/>
                                </a:stretch>
                              </pic:blipFill>
                              <pic:spPr>
                                <a:xfrm>
                                  <a:off x="0" y="0"/>
                                  <a:ext cx="2378710" cy="1774190"/>
                                </a:xfrm>
                                <a:prstGeom prst="rect">
                                  <a:avLst/>
                                </a:prstGeom>
                                <a:noFill/>
                                <a:ln>
                                  <a:noFill/>
                                </a:ln>
                              </pic:spPr>
                            </pic:pic>
                          </a:graphicData>
                        </a:graphic>
                      </wp:inline>
                    </w:drawing>
                  </w:r>
                </w:p>
              </w:tc>
            </w:tr>
            <w:tr w14:paraId="409DB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3F04E829">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1#-3#铅锌矿渣堆碎石粒径10-30mm不等</w:t>
                  </w:r>
                </w:p>
              </w:tc>
              <w:tc>
                <w:tcPr>
                  <w:tcW w:w="3963" w:type="dxa"/>
                  <w:tcBorders>
                    <w:tl2br w:val="nil"/>
                    <w:tr2bl w:val="nil"/>
                  </w:tcBorders>
                  <w:vAlign w:val="center"/>
                </w:tcPr>
                <w:p w14:paraId="6C5A514B">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4</w:t>
                  </w:r>
                  <w:r>
                    <w:rPr>
                      <w:rFonts w:hint="default" w:ascii="Times New Roman" w:hAnsi="Times New Roman" w:eastAsia="宋体" w:cs="Times New Roman"/>
                      <w:b w:val="0"/>
                      <w:bCs w:val="0"/>
                      <w:color w:val="auto"/>
                      <w:sz w:val="21"/>
                      <w:szCs w:val="21"/>
                      <w:vertAlign w:val="baseline"/>
                      <w:lang w:val="en-US" w:eastAsia="zh-CN"/>
                    </w:rPr>
                    <w:t>#金矿渣堆</w:t>
                  </w:r>
                </w:p>
              </w:tc>
            </w:tr>
            <w:tr w14:paraId="1F321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64DF0B4A">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466975" cy="1788795"/>
                        <wp:effectExtent l="0" t="0" r="9525" b="190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6"/>
                                <a:stretch>
                                  <a:fillRect/>
                                </a:stretch>
                              </pic:blipFill>
                              <pic:spPr>
                                <a:xfrm>
                                  <a:off x="0" y="0"/>
                                  <a:ext cx="2466975" cy="1788795"/>
                                </a:xfrm>
                                <a:prstGeom prst="rect">
                                  <a:avLst/>
                                </a:prstGeom>
                                <a:noFill/>
                                <a:ln>
                                  <a:noFill/>
                                </a:ln>
                              </pic:spPr>
                            </pic:pic>
                          </a:graphicData>
                        </a:graphic>
                      </wp:inline>
                    </w:drawing>
                  </w:r>
                </w:p>
              </w:tc>
              <w:tc>
                <w:tcPr>
                  <w:tcW w:w="3963" w:type="dxa"/>
                  <w:tcBorders>
                    <w:tl2br w:val="nil"/>
                    <w:tr2bl w:val="nil"/>
                  </w:tcBorders>
                  <w:vAlign w:val="center"/>
                </w:tcPr>
                <w:p w14:paraId="323E1173">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color w:val="auto"/>
                    </w:rPr>
                    <w:drawing>
                      <wp:inline distT="0" distB="0" distL="114300" distR="114300">
                        <wp:extent cx="2482850" cy="1819275"/>
                        <wp:effectExtent l="0" t="0" r="12700" b="952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7"/>
                                <a:stretch>
                                  <a:fillRect/>
                                </a:stretch>
                              </pic:blipFill>
                              <pic:spPr>
                                <a:xfrm>
                                  <a:off x="0" y="0"/>
                                  <a:ext cx="2482850" cy="1819275"/>
                                </a:xfrm>
                                <a:prstGeom prst="rect">
                                  <a:avLst/>
                                </a:prstGeom>
                                <a:noFill/>
                                <a:ln>
                                  <a:noFill/>
                                </a:ln>
                              </pic:spPr>
                            </pic:pic>
                          </a:graphicData>
                        </a:graphic>
                      </wp:inline>
                    </w:drawing>
                  </w:r>
                </w:p>
              </w:tc>
            </w:tr>
            <w:tr w14:paraId="67FEB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963" w:type="dxa"/>
                  <w:tcBorders>
                    <w:tl2br w:val="nil"/>
                    <w:tr2bl w:val="nil"/>
                  </w:tcBorders>
                  <w:vAlign w:val="center"/>
                </w:tcPr>
                <w:p w14:paraId="55A1D563">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4#金矿渣堆</w:t>
                  </w:r>
                </w:p>
              </w:tc>
              <w:tc>
                <w:tcPr>
                  <w:tcW w:w="3963" w:type="dxa"/>
                  <w:tcBorders>
                    <w:tl2br w:val="nil"/>
                    <w:tr2bl w:val="nil"/>
                  </w:tcBorders>
                  <w:vAlign w:val="center"/>
                </w:tcPr>
                <w:p w14:paraId="67E04C06">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left="-63" w:leftChars="-3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4#金矿渣堆平台处植被覆土下发现存在尾砂</w:t>
                  </w:r>
                </w:p>
              </w:tc>
            </w:tr>
          </w:tbl>
          <w:p w14:paraId="2A659069">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图3-3  渣堆地质灾害分布图</w:t>
            </w:r>
          </w:p>
          <w:p w14:paraId="4E9151FD">
            <w:pPr>
              <w:pStyle w:val="3"/>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2.地形地貌景观及土地资源破坏</w:t>
            </w:r>
          </w:p>
          <w:p w14:paraId="1B3745DC">
            <w:pPr>
              <w:pStyle w:val="3"/>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渣堆堆放时间均较长，废石堆积严重扰动原地貌、损坏土壤植被，导致土壤结构破坏，林草等水土保持设施同样遭到破坏，降低了土壤的抗冲性，在降雨及径流作用下，加剧新的水土流失。1#-3#铅锌矿渣堆在缓坡地带种植了灌木，目前主要存在渣堆生态破坏问题及高陡块石堆积体边坡生态破坏问题。4#渣堆靠自然恢复为主，植被覆盖率低，零星可见局部灌木生长</w:t>
            </w:r>
            <w:r>
              <w:rPr>
                <w:rFonts w:hint="eastAsia" w:ascii="Times New Roman" w:hAnsi="Times New Roman" w:eastAsia="宋体" w:cs="Times New Roman"/>
                <w:b w:val="0"/>
                <w:bCs w:val="0"/>
                <w:color w:val="auto"/>
                <w:sz w:val="24"/>
                <w:szCs w:val="24"/>
                <w:lang w:val="en-US" w:eastAsia="zh-CN"/>
              </w:rPr>
              <w:t>。</w:t>
            </w:r>
          </w:p>
          <w:p w14:paraId="0CC301A1">
            <w:pPr>
              <w:pStyle w:val="3"/>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太白县咀头镇古迹街铅锌矿渣堆（1#-3#），目前主要存在沟道弃渣滑坡及水石流隐患</w:t>
            </w:r>
            <w:r>
              <w:rPr>
                <w:rFonts w:hint="eastAsia" w:ascii="Times New Roman" w:hAnsi="Times New Roman" w:eastAsia="宋体" w:cs="Times New Roman"/>
                <w:b w:val="0"/>
                <w:bCs w:val="0"/>
                <w:color w:val="auto"/>
                <w:sz w:val="24"/>
                <w:szCs w:val="24"/>
                <w:lang w:val="en-US" w:eastAsia="zh-CN"/>
              </w:rPr>
              <w:t>，主要存在高陡边坡以及生态破坏问题，渣堆平台处以及靠近渣堆坡顶的斜坡上有人工种植的灌木，密度较稀疏。</w:t>
            </w:r>
          </w:p>
          <w:p w14:paraId="04A31848">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hint="eastAsia" w:ascii="Times New Roman" w:hAnsi="Times New Roman" w:eastAsia="宋体" w:cs="Times New Roman"/>
                <w:b w:val="0"/>
                <w:bCs w:val="0"/>
                <w:color w:val="auto"/>
                <w:sz w:val="24"/>
                <w:szCs w:val="24"/>
                <w:lang w:val="en-US" w:eastAsia="zh-CN"/>
              </w:rPr>
            </w:pPr>
            <w:r>
              <w:rPr>
                <w:color w:val="auto"/>
              </w:rPr>
              <w:drawing>
                <wp:inline distT="0" distB="0" distL="114300" distR="114300">
                  <wp:extent cx="4371340" cy="2232660"/>
                  <wp:effectExtent l="0" t="0" r="10160" b="1524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8"/>
                          <a:stretch>
                            <a:fillRect/>
                          </a:stretch>
                        </pic:blipFill>
                        <pic:spPr>
                          <a:xfrm>
                            <a:off x="0" y="0"/>
                            <a:ext cx="4371340" cy="2232660"/>
                          </a:xfrm>
                          <a:prstGeom prst="rect">
                            <a:avLst/>
                          </a:prstGeom>
                          <a:noFill/>
                          <a:ln>
                            <a:noFill/>
                          </a:ln>
                        </pic:spPr>
                      </pic:pic>
                    </a:graphicData>
                  </a:graphic>
                </wp:inline>
              </w:drawing>
            </w:r>
          </w:p>
          <w:p w14:paraId="1281339D">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图3-2  太白县咀头镇古迹街铅锌矿渣堆（1#-、2#、3#）生态环境问题分区图</w:t>
            </w:r>
          </w:p>
          <w:p w14:paraId="2FAEEFF4">
            <w:pPr>
              <w:pStyle w:val="3"/>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太白县咀头镇古迹街金矿渣堆（4#）目前主要存在废渣堆生态破坏问题场地较平坦，渣堆表面植被覆盖率低，有局部范围因上覆有坡残积土，已自然复绿。</w:t>
            </w:r>
          </w:p>
          <w:p w14:paraId="796A0D9A">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color w:val="auto"/>
              </w:rPr>
              <w:drawing>
                <wp:inline distT="0" distB="0" distL="114300" distR="114300">
                  <wp:extent cx="3774440" cy="2513965"/>
                  <wp:effectExtent l="0" t="0" r="16510" b="63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9"/>
                          <a:stretch>
                            <a:fillRect/>
                          </a:stretch>
                        </pic:blipFill>
                        <pic:spPr>
                          <a:xfrm>
                            <a:off x="0" y="0"/>
                            <a:ext cx="3774440" cy="2513965"/>
                          </a:xfrm>
                          <a:prstGeom prst="rect">
                            <a:avLst/>
                          </a:prstGeom>
                          <a:noFill/>
                          <a:ln>
                            <a:noFill/>
                          </a:ln>
                        </pic:spPr>
                      </pic:pic>
                    </a:graphicData>
                  </a:graphic>
                </wp:inline>
              </w:drawing>
            </w:r>
          </w:p>
          <w:p w14:paraId="02E93892">
            <w:pPr>
              <w:pStyle w:val="3"/>
              <w:keepNext/>
              <w:keepLines/>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图3-</w:t>
            </w:r>
            <w:r>
              <w:rPr>
                <w:rFonts w:hint="eastAsia"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lang w:val="en-US" w:eastAsia="zh-CN"/>
              </w:rPr>
              <w:t xml:space="preserve">  太白县咀头镇古迹街金矿渣堆（4#）生态环境问题分区图</w:t>
            </w:r>
          </w:p>
          <w:p w14:paraId="73E2DB4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3.土壤重金属污染</w:t>
            </w:r>
          </w:p>
          <w:p w14:paraId="1894F0F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val="0"/>
                <w:bCs w:val="0"/>
                <w:color w:val="auto"/>
                <w:sz w:val="24"/>
                <w:szCs w:val="24"/>
                <w:lang w:val="en-US" w:eastAsia="zh-CN"/>
              </w:rPr>
              <w:t>根据对项目区废渣堆周边土壤的采样检测，渣堆周边土壤中砷、镉、锌等重金属指标存在不同程度超标，其中砷元素超标最为突出：超标点位共2个，超标率为66%，最大检出浓度125mg/kg，最大超标倍数达1.08倍（对照《建设用地土壤污染风险管控标准》GB36600-2018第二类用地筛选值60mg/kg）。超标原因为历史盗采废渣长期露天堆放，无任何防渗、截排水设施，废渣中重金属经雨水淋溶后随地表径流和垂直下渗向周边土壤持续迁移扩散，导致渣堆周边50</w:t>
            </w:r>
            <w:r>
              <w:rPr>
                <w:rFonts w:hint="eastAsia"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200m范围土壤砷含量显著高于区域背景值。该问题为本次综合治理工程需重点解决的历史遗留污染问题，也是启动本项目的核心驱动力之一。</w:t>
            </w:r>
          </w:p>
        </w:tc>
      </w:tr>
      <w:tr w14:paraId="14AF07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20" w:hRule="atLeast"/>
          <w:jc w:val="center"/>
        </w:trPr>
        <w:tc>
          <w:tcPr>
            <w:tcW w:w="855" w:type="dxa"/>
            <w:tcBorders>
              <w:tl2br w:val="nil"/>
              <w:tr2bl w:val="nil"/>
            </w:tcBorders>
            <w:noWrap w:val="0"/>
            <w:vAlign w:val="center"/>
          </w:tcPr>
          <w:p w14:paraId="0E77A007">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生态环境保护目标</w:t>
            </w:r>
          </w:p>
        </w:tc>
        <w:tc>
          <w:tcPr>
            <w:tcW w:w="8302" w:type="dxa"/>
            <w:tcBorders>
              <w:tl2br w:val="nil"/>
              <w:tr2bl w:val="nil"/>
            </w:tcBorders>
            <w:noWrap w:val="0"/>
            <w:vAlign w:val="top"/>
          </w:tcPr>
          <w:p w14:paraId="59B7512D">
            <w:pPr>
              <w:pStyle w:val="3"/>
              <w:keepNext/>
              <w:keepLines/>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jc w:val="both"/>
              <w:textAlignment w:val="auto"/>
              <w:rPr>
                <w:rFonts w:hint="eastAsia"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b w:val="0"/>
                <w:bCs w:val="0"/>
                <w:color w:val="auto"/>
                <w:sz w:val="24"/>
                <w:szCs w:val="24"/>
                <w:vertAlign w:val="baseline"/>
                <w:lang w:val="en-US" w:eastAsia="zh-CN"/>
              </w:rPr>
              <w:t>项目所在地位于宝鸡市太白县咀头镇古迹街村，北侧有公路G244，交通较为便利，可直达项目现场。</w:t>
            </w:r>
          </w:p>
          <w:p w14:paraId="450454FE">
            <w:pPr>
              <w:pStyle w:val="3"/>
              <w:keepNext/>
              <w:keepLines/>
              <w:pageBreakBefore w:val="0"/>
              <w:widowControl w:val="0"/>
              <w:kinsoku/>
              <w:wordWrap/>
              <w:overflowPunct/>
              <w:topLinePunct w:val="0"/>
              <w:autoSpaceDE/>
              <w:autoSpaceDN/>
              <w:bidi w:val="0"/>
              <w:adjustRightInd/>
              <w:snapToGrid w:val="0"/>
              <w:spacing w:before="0" w:beforeLines="0" w:after="0" w:afterLines="0" w:line="360" w:lineRule="auto"/>
              <w:ind w:firstLine="480" w:firstLineChars="200"/>
              <w:jc w:val="both"/>
              <w:textAlignment w:val="auto"/>
              <w:rPr>
                <w:rFonts w:hint="eastAsia"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b w:val="0"/>
                <w:bCs w:val="0"/>
                <w:color w:val="auto"/>
                <w:sz w:val="24"/>
                <w:szCs w:val="24"/>
                <w:vertAlign w:val="baseline"/>
                <w:lang w:val="en-US" w:eastAsia="zh-CN"/>
              </w:rPr>
              <w:t>项目周边主要敏感受体为地表水体（灌溉水）及少量农田。涉及的主要地表水体为红岩河流域，红岩河属汉江二级支流。</w:t>
            </w:r>
          </w:p>
          <w:p w14:paraId="66A8E28F">
            <w:pPr>
              <w:pStyle w:val="8"/>
              <w:jc w:val="center"/>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kern w:val="0"/>
                <w:sz w:val="21"/>
                <w:szCs w:val="21"/>
                <w:highlight w:val="none"/>
                <w:lang w:val="en-US" w:eastAsia="zh-CN"/>
              </w:rPr>
              <w:t>表3-</w:t>
            </w:r>
            <w:r>
              <w:rPr>
                <w:rFonts w:hint="eastAsia" w:ascii="Times New Roman" w:hAnsi="Times New Roman" w:cs="Times New Roman"/>
                <w:b/>
                <w:bCs/>
                <w:color w:val="auto"/>
                <w:kern w:val="0"/>
                <w:sz w:val="21"/>
                <w:szCs w:val="21"/>
                <w:highlight w:val="none"/>
                <w:lang w:val="en-US" w:eastAsia="zh-CN"/>
              </w:rPr>
              <w:t xml:space="preserve">5  </w:t>
            </w:r>
            <w:r>
              <w:rPr>
                <w:rFonts w:hint="default" w:ascii="Times New Roman" w:hAnsi="Times New Roman" w:eastAsia="宋体" w:cs="Times New Roman"/>
                <w:b/>
                <w:bCs/>
                <w:color w:val="auto"/>
                <w:kern w:val="0"/>
                <w:sz w:val="21"/>
                <w:szCs w:val="21"/>
                <w:highlight w:val="none"/>
                <w:lang w:val="en-US" w:eastAsia="zh-CN"/>
              </w:rPr>
              <w:t>主要环境保护目标</w:t>
            </w:r>
          </w:p>
          <w:tbl>
            <w:tblPr>
              <w:tblStyle w:val="14"/>
              <w:tblW w:w="4901"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713"/>
              <w:gridCol w:w="1916"/>
              <w:gridCol w:w="1517"/>
              <w:gridCol w:w="1263"/>
              <w:gridCol w:w="2488"/>
            </w:tblGrid>
            <w:tr w14:paraId="2E47072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74" w:hRule="atLeast"/>
                <w:tblHeader/>
                <w:jc w:val="center"/>
              </w:trPr>
              <w:tc>
                <w:tcPr>
                  <w:tcW w:w="451" w:type="pct"/>
                  <w:tcBorders>
                    <w:tl2br w:val="nil"/>
                    <w:tr2bl w:val="nil"/>
                  </w:tcBorders>
                  <w:shd w:val="clear" w:color="auto" w:fill="auto"/>
                  <w:tcMar>
                    <w:top w:w="120" w:type="dxa"/>
                    <w:left w:w="120" w:type="dxa"/>
                    <w:bottom w:w="120" w:type="dxa"/>
                    <w:right w:w="120" w:type="dxa"/>
                  </w:tcMar>
                  <w:vAlign w:val="center"/>
                </w:tcPr>
                <w:p w14:paraId="4A73C877">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环境要素</w:t>
                  </w:r>
                </w:p>
              </w:tc>
              <w:tc>
                <w:tcPr>
                  <w:tcW w:w="1213" w:type="pct"/>
                  <w:tcBorders>
                    <w:tl2br w:val="nil"/>
                    <w:tr2bl w:val="nil"/>
                  </w:tcBorders>
                  <w:shd w:val="clear" w:color="auto" w:fill="auto"/>
                  <w:tcMar>
                    <w:top w:w="120" w:type="dxa"/>
                    <w:left w:w="120" w:type="dxa"/>
                    <w:bottom w:w="120" w:type="dxa"/>
                    <w:right w:w="120" w:type="dxa"/>
                  </w:tcMar>
                  <w:vAlign w:val="center"/>
                </w:tcPr>
                <w:p w14:paraId="4EDE1131">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敏感目标名称</w:t>
                  </w:r>
                </w:p>
              </w:tc>
              <w:tc>
                <w:tcPr>
                  <w:tcW w:w="960" w:type="pct"/>
                  <w:tcBorders>
                    <w:tl2br w:val="nil"/>
                    <w:tr2bl w:val="nil"/>
                  </w:tcBorders>
                  <w:shd w:val="clear" w:color="auto" w:fill="auto"/>
                  <w:tcMar>
                    <w:top w:w="120" w:type="dxa"/>
                    <w:left w:w="120" w:type="dxa"/>
                    <w:bottom w:w="120" w:type="dxa"/>
                    <w:right w:w="120" w:type="dxa"/>
                  </w:tcMar>
                  <w:vAlign w:val="center"/>
                </w:tcPr>
                <w:p w14:paraId="19201CBB">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方位、距离</w:t>
                  </w:r>
                </w:p>
              </w:tc>
              <w:tc>
                <w:tcPr>
                  <w:tcW w:w="799" w:type="pct"/>
                  <w:tcBorders>
                    <w:tl2br w:val="nil"/>
                    <w:tr2bl w:val="nil"/>
                  </w:tcBorders>
                  <w:shd w:val="clear" w:color="auto" w:fill="auto"/>
                  <w:tcMar>
                    <w:top w:w="120" w:type="dxa"/>
                    <w:left w:w="120" w:type="dxa"/>
                    <w:bottom w:w="120" w:type="dxa"/>
                    <w:right w:w="120" w:type="dxa"/>
                  </w:tcMar>
                  <w:vAlign w:val="center"/>
                </w:tcPr>
                <w:p w14:paraId="3A738265">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保护内容</w:t>
                  </w:r>
                </w:p>
              </w:tc>
              <w:tc>
                <w:tcPr>
                  <w:tcW w:w="1575" w:type="pct"/>
                  <w:tcBorders>
                    <w:tl2br w:val="nil"/>
                    <w:tr2bl w:val="nil"/>
                  </w:tcBorders>
                  <w:shd w:val="clear" w:color="auto" w:fill="auto"/>
                  <w:tcMar>
                    <w:top w:w="120" w:type="dxa"/>
                    <w:left w:w="120" w:type="dxa"/>
                    <w:bottom w:w="120" w:type="dxa"/>
                    <w:right w:w="120" w:type="dxa"/>
                  </w:tcMar>
                  <w:vAlign w:val="center"/>
                </w:tcPr>
                <w:p w14:paraId="6EBF9F49">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保护要求</w:t>
                  </w:r>
                </w:p>
              </w:tc>
            </w:tr>
            <w:tr w14:paraId="22D1BD9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90" w:hRule="atLeast"/>
                <w:jc w:val="center"/>
              </w:trPr>
              <w:tc>
                <w:tcPr>
                  <w:tcW w:w="451" w:type="pct"/>
                  <w:vMerge w:val="restart"/>
                  <w:tcBorders>
                    <w:tl2br w:val="nil"/>
                    <w:tr2bl w:val="nil"/>
                  </w:tcBorders>
                  <w:shd w:val="clear" w:color="auto" w:fill="auto"/>
                  <w:tcMar>
                    <w:top w:w="120" w:type="dxa"/>
                    <w:left w:w="120" w:type="dxa"/>
                    <w:bottom w:w="120" w:type="dxa"/>
                    <w:right w:w="120" w:type="dxa"/>
                  </w:tcMar>
                  <w:vAlign w:val="center"/>
                </w:tcPr>
                <w:p w14:paraId="040952B4">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地表水</w:t>
                  </w:r>
                </w:p>
              </w:tc>
              <w:tc>
                <w:tcPr>
                  <w:tcW w:w="1213" w:type="pct"/>
                  <w:tcBorders>
                    <w:tl2br w:val="nil"/>
                    <w:tr2bl w:val="nil"/>
                  </w:tcBorders>
                  <w:shd w:val="clear" w:color="auto" w:fill="auto"/>
                  <w:tcMar>
                    <w:top w:w="120" w:type="dxa"/>
                    <w:left w:w="120" w:type="dxa"/>
                    <w:bottom w:w="120" w:type="dxa"/>
                    <w:right w:w="120" w:type="dxa"/>
                  </w:tcMar>
                  <w:vAlign w:val="center"/>
                </w:tcPr>
                <w:p w14:paraId="5F11CD72">
                  <w:pPr>
                    <w:keepNext w:val="0"/>
                    <w:keepLines w:val="0"/>
                    <w:pageBreakBefore w:val="0"/>
                    <w:widowControl/>
                    <w:suppressLineNumbers w:val="0"/>
                    <w:tabs>
                      <w:tab w:val="center" w:pos="917"/>
                      <w:tab w:val="right" w:pos="1715"/>
                    </w:tabs>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红岩河</w:t>
                  </w:r>
                </w:p>
              </w:tc>
              <w:tc>
                <w:tcPr>
                  <w:tcW w:w="960" w:type="pct"/>
                  <w:tcBorders>
                    <w:tl2br w:val="nil"/>
                    <w:tr2bl w:val="nil"/>
                  </w:tcBorders>
                  <w:shd w:val="clear" w:color="auto" w:fill="auto"/>
                  <w:tcMar>
                    <w:top w:w="120" w:type="dxa"/>
                    <w:left w:w="120" w:type="dxa"/>
                    <w:bottom w:w="120" w:type="dxa"/>
                    <w:right w:w="120" w:type="dxa"/>
                  </w:tcMar>
                  <w:vAlign w:val="center"/>
                </w:tcPr>
                <w:p w14:paraId="501AD92C">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渣堆下游汇入</w:t>
                  </w:r>
                </w:p>
              </w:tc>
              <w:tc>
                <w:tcPr>
                  <w:tcW w:w="799" w:type="pct"/>
                  <w:tcBorders>
                    <w:tl2br w:val="nil"/>
                    <w:tr2bl w:val="nil"/>
                  </w:tcBorders>
                  <w:shd w:val="clear" w:color="auto" w:fill="auto"/>
                  <w:tcMar>
                    <w:top w:w="120" w:type="dxa"/>
                    <w:left w:w="120" w:type="dxa"/>
                    <w:bottom w:w="120" w:type="dxa"/>
                    <w:right w:w="120" w:type="dxa"/>
                  </w:tcMar>
                  <w:vAlign w:val="center"/>
                </w:tcPr>
                <w:p w14:paraId="7ED5E863">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Ⅱ类</w:t>
                  </w:r>
                  <w:r>
                    <w:rPr>
                      <w:rFonts w:hint="default" w:ascii="Times New Roman" w:hAnsi="Times New Roman" w:eastAsia="宋体" w:cs="Times New Roman"/>
                      <w:color w:val="auto"/>
                      <w:sz w:val="21"/>
                      <w:szCs w:val="21"/>
                      <w:lang w:val="en-US" w:eastAsia="zh-CN"/>
                    </w:rPr>
                    <w:t>水质</w:t>
                  </w:r>
                </w:p>
              </w:tc>
              <w:tc>
                <w:tcPr>
                  <w:tcW w:w="1575" w:type="pct"/>
                  <w:vMerge w:val="restart"/>
                  <w:tcBorders>
                    <w:tl2br w:val="nil"/>
                    <w:tr2bl w:val="nil"/>
                  </w:tcBorders>
                  <w:shd w:val="clear" w:color="auto" w:fill="auto"/>
                  <w:tcMar>
                    <w:top w:w="120" w:type="dxa"/>
                    <w:left w:w="120" w:type="dxa"/>
                    <w:bottom w:w="120" w:type="dxa"/>
                    <w:right w:w="120" w:type="dxa"/>
                  </w:tcMar>
                  <w:vAlign w:val="center"/>
                </w:tcPr>
                <w:p w14:paraId="358E9F60">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《地表水环境质量标准》（GB3838-2002）Ⅱ类</w:t>
                  </w:r>
                </w:p>
              </w:tc>
            </w:tr>
            <w:tr w14:paraId="298BE54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87" w:hRule="atLeast"/>
                <w:jc w:val="center"/>
              </w:trPr>
              <w:tc>
                <w:tcPr>
                  <w:tcW w:w="451" w:type="pct"/>
                  <w:vMerge w:val="continue"/>
                  <w:tcBorders>
                    <w:tl2br w:val="nil"/>
                    <w:tr2bl w:val="nil"/>
                  </w:tcBorders>
                  <w:shd w:val="clear" w:color="auto" w:fill="auto"/>
                  <w:tcMar>
                    <w:top w:w="120" w:type="dxa"/>
                    <w:left w:w="120" w:type="dxa"/>
                    <w:bottom w:w="120" w:type="dxa"/>
                    <w:right w:w="120" w:type="dxa"/>
                  </w:tcMar>
                  <w:vAlign w:val="center"/>
                </w:tcPr>
                <w:p w14:paraId="142EDE65">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p>
              </w:tc>
              <w:tc>
                <w:tcPr>
                  <w:tcW w:w="1213" w:type="pct"/>
                  <w:tcBorders>
                    <w:tl2br w:val="nil"/>
                    <w:tr2bl w:val="nil"/>
                  </w:tcBorders>
                  <w:shd w:val="clear" w:color="auto" w:fill="auto"/>
                  <w:tcMar>
                    <w:top w:w="120" w:type="dxa"/>
                    <w:left w:w="120" w:type="dxa"/>
                    <w:bottom w:w="120" w:type="dxa"/>
                    <w:right w:w="120" w:type="dxa"/>
                  </w:tcMar>
                  <w:vAlign w:val="center"/>
                </w:tcPr>
                <w:p w14:paraId="47D60226">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古迹沟</w:t>
                  </w:r>
                </w:p>
              </w:tc>
              <w:tc>
                <w:tcPr>
                  <w:tcW w:w="960" w:type="pct"/>
                  <w:tcBorders>
                    <w:tl2br w:val="nil"/>
                    <w:tr2bl w:val="nil"/>
                  </w:tcBorders>
                  <w:shd w:val="clear" w:color="auto" w:fill="auto"/>
                  <w:tcMar>
                    <w:top w:w="120" w:type="dxa"/>
                    <w:left w:w="120" w:type="dxa"/>
                    <w:bottom w:w="120" w:type="dxa"/>
                    <w:right w:w="120" w:type="dxa"/>
                  </w:tcMar>
                  <w:vAlign w:val="center"/>
                </w:tcPr>
                <w:p w14:paraId="07DF62F4">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4#渣堆所在支沟</w:t>
                  </w:r>
                </w:p>
              </w:tc>
              <w:tc>
                <w:tcPr>
                  <w:tcW w:w="799" w:type="pct"/>
                  <w:tcBorders>
                    <w:tl2br w:val="nil"/>
                    <w:tr2bl w:val="nil"/>
                  </w:tcBorders>
                  <w:shd w:val="clear" w:color="auto" w:fill="auto"/>
                  <w:tcMar>
                    <w:top w:w="120" w:type="dxa"/>
                    <w:left w:w="120" w:type="dxa"/>
                    <w:bottom w:w="120" w:type="dxa"/>
                    <w:right w:w="120" w:type="dxa"/>
                  </w:tcMar>
                  <w:vAlign w:val="center"/>
                </w:tcPr>
                <w:p w14:paraId="190B55C1">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sz w:val="21"/>
                      <w:szCs w:val="21"/>
                      <w:lang w:val="en-US" w:eastAsia="zh-CN"/>
                    </w:rPr>
                    <w:t>Ⅱ类</w:t>
                  </w:r>
                  <w:r>
                    <w:rPr>
                      <w:rFonts w:hint="default" w:ascii="Times New Roman" w:hAnsi="Times New Roman" w:eastAsia="宋体" w:cs="Times New Roman"/>
                      <w:color w:val="auto"/>
                      <w:sz w:val="21"/>
                      <w:szCs w:val="21"/>
                      <w:lang w:val="en-US" w:eastAsia="zh-CN"/>
                    </w:rPr>
                    <w:t>水质</w:t>
                  </w:r>
                </w:p>
              </w:tc>
              <w:tc>
                <w:tcPr>
                  <w:tcW w:w="1575" w:type="pct"/>
                  <w:vMerge w:val="continue"/>
                  <w:tcBorders>
                    <w:tl2br w:val="nil"/>
                    <w:tr2bl w:val="nil"/>
                  </w:tcBorders>
                  <w:shd w:val="clear" w:color="auto" w:fill="auto"/>
                  <w:tcMar>
                    <w:top w:w="120" w:type="dxa"/>
                    <w:left w:w="120" w:type="dxa"/>
                    <w:bottom w:w="120" w:type="dxa"/>
                    <w:right w:w="120" w:type="dxa"/>
                  </w:tcMar>
                  <w:vAlign w:val="center"/>
                </w:tcPr>
                <w:p w14:paraId="511F5B64">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p>
              </w:tc>
            </w:tr>
            <w:tr w14:paraId="0FD758C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83" w:hRule="atLeast"/>
                <w:jc w:val="center"/>
              </w:trPr>
              <w:tc>
                <w:tcPr>
                  <w:tcW w:w="451" w:type="pct"/>
                  <w:vMerge w:val="continue"/>
                  <w:tcBorders>
                    <w:tl2br w:val="nil"/>
                    <w:tr2bl w:val="nil"/>
                  </w:tcBorders>
                  <w:shd w:val="clear" w:color="auto" w:fill="auto"/>
                  <w:tcMar>
                    <w:top w:w="120" w:type="dxa"/>
                    <w:left w:w="120" w:type="dxa"/>
                    <w:bottom w:w="120" w:type="dxa"/>
                    <w:right w:w="120" w:type="dxa"/>
                  </w:tcMar>
                  <w:vAlign w:val="center"/>
                </w:tcPr>
                <w:p w14:paraId="336717C0">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p>
              </w:tc>
              <w:tc>
                <w:tcPr>
                  <w:tcW w:w="1213" w:type="pct"/>
                  <w:tcBorders>
                    <w:tl2br w:val="nil"/>
                    <w:tr2bl w:val="nil"/>
                  </w:tcBorders>
                  <w:shd w:val="clear" w:color="auto" w:fill="auto"/>
                  <w:tcMar>
                    <w:top w:w="120" w:type="dxa"/>
                    <w:left w:w="120" w:type="dxa"/>
                    <w:bottom w:w="120" w:type="dxa"/>
                    <w:right w:w="120" w:type="dxa"/>
                  </w:tcMar>
                  <w:vAlign w:val="center"/>
                </w:tcPr>
                <w:p w14:paraId="13723B47">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马槽沟</w:t>
                  </w:r>
                </w:p>
              </w:tc>
              <w:tc>
                <w:tcPr>
                  <w:tcW w:w="960" w:type="pct"/>
                  <w:tcBorders>
                    <w:tl2br w:val="nil"/>
                    <w:tr2bl w:val="nil"/>
                  </w:tcBorders>
                  <w:shd w:val="clear" w:color="auto" w:fill="auto"/>
                  <w:tcMar>
                    <w:top w:w="120" w:type="dxa"/>
                    <w:left w:w="120" w:type="dxa"/>
                    <w:bottom w:w="120" w:type="dxa"/>
                    <w:right w:w="120" w:type="dxa"/>
                  </w:tcMar>
                  <w:vAlign w:val="center"/>
                </w:tcPr>
                <w:p w14:paraId="7BBF0E66">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1#~3#渣堆所在支沟</w:t>
                  </w:r>
                </w:p>
              </w:tc>
              <w:tc>
                <w:tcPr>
                  <w:tcW w:w="799" w:type="pct"/>
                  <w:tcBorders>
                    <w:tl2br w:val="nil"/>
                    <w:tr2bl w:val="nil"/>
                  </w:tcBorders>
                  <w:shd w:val="clear" w:color="auto" w:fill="auto"/>
                  <w:tcMar>
                    <w:top w:w="120" w:type="dxa"/>
                    <w:left w:w="120" w:type="dxa"/>
                    <w:bottom w:w="120" w:type="dxa"/>
                    <w:right w:w="120" w:type="dxa"/>
                  </w:tcMar>
                  <w:vAlign w:val="center"/>
                </w:tcPr>
                <w:p w14:paraId="0DDD8C6E">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sz w:val="21"/>
                      <w:szCs w:val="21"/>
                      <w:lang w:val="en-US" w:eastAsia="zh-CN"/>
                    </w:rPr>
                    <w:t>Ⅱ类</w:t>
                  </w:r>
                  <w:r>
                    <w:rPr>
                      <w:rFonts w:hint="default" w:ascii="Times New Roman" w:hAnsi="Times New Roman" w:eastAsia="宋体" w:cs="Times New Roman"/>
                      <w:color w:val="auto"/>
                      <w:sz w:val="21"/>
                      <w:szCs w:val="21"/>
                      <w:lang w:val="en-US" w:eastAsia="zh-CN"/>
                    </w:rPr>
                    <w:t>水质</w:t>
                  </w:r>
                </w:p>
              </w:tc>
              <w:tc>
                <w:tcPr>
                  <w:tcW w:w="1575" w:type="pct"/>
                  <w:vMerge w:val="continue"/>
                  <w:tcBorders>
                    <w:tl2br w:val="nil"/>
                    <w:tr2bl w:val="nil"/>
                  </w:tcBorders>
                  <w:shd w:val="clear" w:color="auto" w:fill="auto"/>
                  <w:tcMar>
                    <w:top w:w="120" w:type="dxa"/>
                    <w:left w:w="120" w:type="dxa"/>
                    <w:bottom w:w="120" w:type="dxa"/>
                    <w:right w:w="120" w:type="dxa"/>
                  </w:tcMar>
                  <w:vAlign w:val="center"/>
                </w:tcPr>
                <w:p w14:paraId="714C712F">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kern w:val="0"/>
                      <w:sz w:val="21"/>
                      <w:szCs w:val="21"/>
                      <w:lang w:val="en-US" w:eastAsia="zh-CN" w:bidi="ar"/>
                    </w:rPr>
                  </w:pPr>
                </w:p>
              </w:tc>
            </w:tr>
            <w:tr w14:paraId="602BF4D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83" w:hRule="atLeast"/>
                <w:jc w:val="center"/>
              </w:trPr>
              <w:tc>
                <w:tcPr>
                  <w:tcW w:w="451" w:type="pct"/>
                  <w:tcBorders>
                    <w:tl2br w:val="nil"/>
                    <w:tr2bl w:val="nil"/>
                  </w:tcBorders>
                  <w:shd w:val="clear" w:color="auto" w:fill="auto"/>
                  <w:tcMar>
                    <w:top w:w="120" w:type="dxa"/>
                    <w:left w:w="120" w:type="dxa"/>
                    <w:bottom w:w="120" w:type="dxa"/>
                    <w:right w:w="120" w:type="dxa"/>
                  </w:tcMar>
                  <w:vAlign w:val="center"/>
                </w:tcPr>
                <w:p w14:paraId="7B40D0FF">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地下水</w:t>
                  </w:r>
                </w:p>
              </w:tc>
              <w:tc>
                <w:tcPr>
                  <w:tcW w:w="1213" w:type="pct"/>
                  <w:tcBorders>
                    <w:tl2br w:val="nil"/>
                    <w:tr2bl w:val="nil"/>
                  </w:tcBorders>
                  <w:shd w:val="clear" w:color="auto" w:fill="auto"/>
                  <w:tcMar>
                    <w:top w:w="120" w:type="dxa"/>
                    <w:left w:w="120" w:type="dxa"/>
                    <w:bottom w:w="120" w:type="dxa"/>
                    <w:right w:w="120" w:type="dxa"/>
                  </w:tcMar>
                  <w:vAlign w:val="center"/>
                </w:tcPr>
                <w:p w14:paraId="6CB0D562">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沟谷上层滞水、基岩裂隙水</w:t>
                  </w:r>
                </w:p>
              </w:tc>
              <w:tc>
                <w:tcPr>
                  <w:tcW w:w="960" w:type="pct"/>
                  <w:tcBorders>
                    <w:tl2br w:val="nil"/>
                    <w:tr2bl w:val="nil"/>
                  </w:tcBorders>
                  <w:shd w:val="clear" w:color="auto" w:fill="auto"/>
                  <w:tcMar>
                    <w:top w:w="120" w:type="dxa"/>
                    <w:left w:w="120" w:type="dxa"/>
                    <w:bottom w:w="120" w:type="dxa"/>
                    <w:right w:w="120" w:type="dxa"/>
                  </w:tcMar>
                  <w:vAlign w:val="center"/>
                </w:tcPr>
                <w:p w14:paraId="431C0997">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各渣堆所在水文地质单元</w:t>
                  </w:r>
                </w:p>
              </w:tc>
              <w:tc>
                <w:tcPr>
                  <w:tcW w:w="799" w:type="pct"/>
                  <w:tcBorders>
                    <w:tl2br w:val="nil"/>
                    <w:tr2bl w:val="nil"/>
                  </w:tcBorders>
                  <w:shd w:val="clear" w:color="auto" w:fill="auto"/>
                  <w:tcMar>
                    <w:top w:w="120" w:type="dxa"/>
                    <w:left w:w="120" w:type="dxa"/>
                    <w:bottom w:w="120" w:type="dxa"/>
                    <w:right w:w="120" w:type="dxa"/>
                  </w:tcMar>
                  <w:vAlign w:val="center"/>
                </w:tcPr>
                <w:p w14:paraId="3AC4D693">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Ⅲ类</w:t>
                  </w:r>
                  <w:r>
                    <w:rPr>
                      <w:rFonts w:hint="default" w:ascii="Times New Roman" w:hAnsi="Times New Roman" w:eastAsia="宋体" w:cs="Times New Roman"/>
                      <w:color w:val="auto"/>
                      <w:sz w:val="21"/>
                      <w:szCs w:val="21"/>
                      <w:lang w:val="en-US" w:eastAsia="zh-CN"/>
                    </w:rPr>
                    <w:t>水质</w:t>
                  </w:r>
                </w:p>
              </w:tc>
              <w:tc>
                <w:tcPr>
                  <w:tcW w:w="1575" w:type="pct"/>
                  <w:tcBorders>
                    <w:tl2br w:val="nil"/>
                    <w:tr2bl w:val="nil"/>
                  </w:tcBorders>
                  <w:shd w:val="clear" w:color="auto" w:fill="auto"/>
                  <w:tcMar>
                    <w:top w:w="120" w:type="dxa"/>
                    <w:left w:w="120" w:type="dxa"/>
                    <w:bottom w:w="120" w:type="dxa"/>
                    <w:right w:w="120" w:type="dxa"/>
                  </w:tcMar>
                  <w:vAlign w:val="center"/>
                </w:tcPr>
                <w:p w14:paraId="2BA5C48A">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《地下水质量标准》（GB/T14848-2017）Ⅲ类</w:t>
                  </w:r>
                </w:p>
              </w:tc>
            </w:tr>
            <w:tr w14:paraId="6E117E5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503" w:hRule="atLeast"/>
                <w:jc w:val="center"/>
              </w:trPr>
              <w:tc>
                <w:tcPr>
                  <w:tcW w:w="451" w:type="pct"/>
                  <w:tcBorders>
                    <w:tl2br w:val="nil"/>
                    <w:tr2bl w:val="nil"/>
                  </w:tcBorders>
                  <w:shd w:val="clear" w:color="auto" w:fill="auto"/>
                  <w:tcMar>
                    <w:top w:w="120" w:type="dxa"/>
                    <w:left w:w="120" w:type="dxa"/>
                    <w:bottom w:w="120" w:type="dxa"/>
                    <w:right w:w="120" w:type="dxa"/>
                  </w:tcMar>
                  <w:vAlign w:val="center"/>
                </w:tcPr>
                <w:p w14:paraId="0DA55067">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土壤</w:t>
                  </w:r>
                </w:p>
              </w:tc>
              <w:tc>
                <w:tcPr>
                  <w:tcW w:w="1213" w:type="pct"/>
                  <w:tcBorders>
                    <w:tl2br w:val="nil"/>
                    <w:tr2bl w:val="nil"/>
                  </w:tcBorders>
                  <w:shd w:val="clear" w:color="auto" w:fill="auto"/>
                  <w:tcMar>
                    <w:top w:w="120" w:type="dxa"/>
                    <w:left w:w="120" w:type="dxa"/>
                    <w:bottom w:w="120" w:type="dxa"/>
                    <w:right w:w="120" w:type="dxa"/>
                  </w:tcMar>
                  <w:vAlign w:val="center"/>
                </w:tcPr>
                <w:p w14:paraId="3C5B0777">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下游农用地</w:t>
                  </w:r>
                </w:p>
              </w:tc>
              <w:tc>
                <w:tcPr>
                  <w:tcW w:w="960" w:type="pct"/>
                  <w:tcBorders>
                    <w:tl2br w:val="nil"/>
                    <w:tr2bl w:val="nil"/>
                  </w:tcBorders>
                  <w:shd w:val="clear" w:color="auto" w:fill="auto"/>
                  <w:tcMar>
                    <w:top w:w="120" w:type="dxa"/>
                    <w:left w:w="120" w:type="dxa"/>
                    <w:bottom w:w="120" w:type="dxa"/>
                    <w:right w:w="120" w:type="dxa"/>
                  </w:tcMar>
                  <w:vAlign w:val="center"/>
                </w:tcPr>
                <w:p w14:paraId="19E63F80">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渣堆下</w:t>
                  </w:r>
                  <w:r>
                    <w:rPr>
                      <w:rFonts w:hint="eastAsia" w:ascii="Times New Roman" w:hAnsi="Times New Roman" w:eastAsia="宋体" w:cs="Times New Roman"/>
                      <w:color w:val="auto"/>
                      <w:kern w:val="0"/>
                      <w:sz w:val="21"/>
                      <w:szCs w:val="21"/>
                      <w:lang w:val="en-US" w:eastAsia="zh-CN" w:bidi="ar"/>
                    </w:rPr>
                    <w:t>游</w:t>
                  </w:r>
                  <w:r>
                    <w:rPr>
                      <w:rFonts w:hint="default" w:ascii="Times New Roman" w:hAnsi="Times New Roman" w:eastAsia="宋体" w:cs="Times New Roman"/>
                      <w:color w:val="auto"/>
                      <w:kern w:val="0"/>
                      <w:sz w:val="21"/>
                      <w:szCs w:val="21"/>
                      <w:lang w:val="en-US" w:eastAsia="zh-CN" w:bidi="ar"/>
                    </w:rPr>
                    <w:t>600m</w:t>
                  </w:r>
                  <w:r>
                    <w:rPr>
                      <w:rFonts w:hint="eastAsia"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700m</w:t>
                  </w:r>
                  <w:r>
                    <w:rPr>
                      <w:rFonts w:hint="default" w:ascii="Times New Roman" w:hAnsi="Times New Roman" w:eastAsia="宋体" w:cs="Times New Roman"/>
                      <w:color w:val="auto"/>
                      <w:kern w:val="0"/>
                      <w:sz w:val="21"/>
                      <w:szCs w:val="21"/>
                      <w:lang w:val="en-US" w:eastAsia="zh-CN" w:bidi="ar"/>
                    </w:rPr>
                    <w:t>范围</w:t>
                  </w:r>
                </w:p>
              </w:tc>
              <w:tc>
                <w:tcPr>
                  <w:tcW w:w="799" w:type="pct"/>
                  <w:tcBorders>
                    <w:tl2br w:val="nil"/>
                    <w:tr2bl w:val="nil"/>
                  </w:tcBorders>
                  <w:shd w:val="clear" w:color="auto" w:fill="auto"/>
                  <w:tcMar>
                    <w:top w:w="120" w:type="dxa"/>
                    <w:left w:w="120" w:type="dxa"/>
                    <w:bottom w:w="120" w:type="dxa"/>
                    <w:right w:w="120" w:type="dxa"/>
                  </w:tcMar>
                  <w:vAlign w:val="center"/>
                </w:tcPr>
                <w:p w14:paraId="632A0065">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农用地土壤</w:t>
                  </w:r>
                </w:p>
              </w:tc>
              <w:tc>
                <w:tcPr>
                  <w:tcW w:w="1575" w:type="pct"/>
                  <w:tcBorders>
                    <w:tl2br w:val="nil"/>
                    <w:tr2bl w:val="nil"/>
                  </w:tcBorders>
                  <w:shd w:val="clear" w:color="auto" w:fill="auto"/>
                  <w:tcMar>
                    <w:top w:w="120" w:type="dxa"/>
                    <w:left w:w="120" w:type="dxa"/>
                    <w:bottom w:w="120" w:type="dxa"/>
                    <w:right w:w="120" w:type="dxa"/>
                  </w:tcMar>
                  <w:vAlign w:val="center"/>
                </w:tcPr>
                <w:p w14:paraId="297C1E10">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《土壤环境质量农用地土壤污染风险管控标准》（GB15618-2018）筛选值</w:t>
                  </w:r>
                </w:p>
              </w:tc>
            </w:tr>
            <w:tr w14:paraId="0E9E0B4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83" w:hRule="atLeast"/>
                <w:jc w:val="center"/>
              </w:trPr>
              <w:tc>
                <w:tcPr>
                  <w:tcW w:w="451" w:type="pct"/>
                  <w:tcBorders>
                    <w:tl2br w:val="nil"/>
                    <w:tr2bl w:val="nil"/>
                  </w:tcBorders>
                  <w:shd w:val="clear" w:color="auto" w:fill="auto"/>
                  <w:tcMar>
                    <w:top w:w="120" w:type="dxa"/>
                    <w:left w:w="120" w:type="dxa"/>
                    <w:bottom w:w="120" w:type="dxa"/>
                    <w:right w:w="120" w:type="dxa"/>
                  </w:tcMar>
                  <w:vAlign w:val="center"/>
                </w:tcPr>
                <w:p w14:paraId="6636A8FE">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生态</w:t>
                  </w:r>
                </w:p>
              </w:tc>
              <w:tc>
                <w:tcPr>
                  <w:tcW w:w="1213" w:type="pct"/>
                  <w:tcBorders>
                    <w:tl2br w:val="nil"/>
                    <w:tr2bl w:val="nil"/>
                  </w:tcBorders>
                  <w:shd w:val="clear" w:color="auto" w:fill="auto"/>
                  <w:tcMar>
                    <w:top w:w="120" w:type="dxa"/>
                    <w:left w:w="120" w:type="dxa"/>
                    <w:bottom w:w="120" w:type="dxa"/>
                    <w:right w:w="120" w:type="dxa"/>
                  </w:tcMar>
                  <w:vAlign w:val="center"/>
                </w:tcPr>
                <w:p w14:paraId="4188D56D">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aps w:val="0"/>
                      <w:color w:val="auto"/>
                      <w:spacing w:val="0"/>
                      <w:sz w:val="21"/>
                      <w:szCs w:val="21"/>
                      <w:shd w:val="clear" w:fill="FFFFFF"/>
                    </w:rPr>
                    <w:t>区域植被、水土保持功能</w:t>
                  </w:r>
                </w:p>
              </w:tc>
              <w:tc>
                <w:tcPr>
                  <w:tcW w:w="960" w:type="pct"/>
                  <w:tcBorders>
                    <w:tl2br w:val="nil"/>
                    <w:tr2bl w:val="nil"/>
                  </w:tcBorders>
                  <w:shd w:val="clear" w:color="auto" w:fill="auto"/>
                  <w:tcMar>
                    <w:top w:w="120" w:type="dxa"/>
                    <w:left w:w="120" w:type="dxa"/>
                    <w:bottom w:w="120" w:type="dxa"/>
                    <w:right w:w="120" w:type="dxa"/>
                  </w:tcMar>
                  <w:vAlign w:val="center"/>
                </w:tcPr>
                <w:p w14:paraId="2FDA1E00">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渣堆周边500m范围</w:t>
                  </w:r>
                </w:p>
              </w:tc>
              <w:tc>
                <w:tcPr>
                  <w:tcW w:w="799" w:type="pct"/>
                  <w:tcBorders>
                    <w:tl2br w:val="nil"/>
                    <w:tr2bl w:val="nil"/>
                  </w:tcBorders>
                  <w:shd w:val="clear" w:color="auto" w:fill="auto"/>
                  <w:tcMar>
                    <w:top w:w="120" w:type="dxa"/>
                    <w:left w:w="120" w:type="dxa"/>
                    <w:bottom w:w="120" w:type="dxa"/>
                    <w:right w:w="120" w:type="dxa"/>
                  </w:tcMar>
                  <w:vAlign w:val="center"/>
                </w:tcPr>
                <w:p w14:paraId="3D0E23E5">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aps w:val="0"/>
                      <w:color w:val="auto"/>
                      <w:spacing w:val="0"/>
                      <w:sz w:val="21"/>
                      <w:szCs w:val="21"/>
                      <w:shd w:val="clear" w:fill="FFFFFF"/>
                    </w:rPr>
                    <w:t>植被恢复、水土流失防控</w:t>
                  </w:r>
                </w:p>
              </w:tc>
              <w:tc>
                <w:tcPr>
                  <w:tcW w:w="1575" w:type="pct"/>
                  <w:tcBorders>
                    <w:tl2br w:val="nil"/>
                    <w:tr2bl w:val="nil"/>
                  </w:tcBorders>
                  <w:shd w:val="clear" w:color="auto" w:fill="auto"/>
                  <w:tcMar>
                    <w:top w:w="120" w:type="dxa"/>
                    <w:left w:w="120" w:type="dxa"/>
                    <w:bottom w:w="120" w:type="dxa"/>
                    <w:right w:w="120" w:type="dxa"/>
                  </w:tcMar>
                  <w:vAlign w:val="center"/>
                </w:tcPr>
                <w:p w14:paraId="6B50E268">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aps w:val="0"/>
                      <w:color w:val="auto"/>
                      <w:spacing w:val="0"/>
                      <w:sz w:val="21"/>
                      <w:szCs w:val="21"/>
                      <w:shd w:val="clear" w:fill="FFFFFF"/>
                    </w:rPr>
                    <w:t>恢复至周边植被覆盖水平，控制水土流失</w:t>
                  </w:r>
                </w:p>
              </w:tc>
            </w:tr>
          </w:tbl>
          <w:p w14:paraId="37922EE0">
            <w:pPr>
              <w:rPr>
                <w:rFonts w:hint="default"/>
                <w:color w:val="auto"/>
                <w:lang w:val="en-US" w:eastAsia="zh-CN"/>
              </w:rPr>
            </w:pPr>
          </w:p>
        </w:tc>
      </w:tr>
      <w:tr w14:paraId="3C6D0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3" w:hRule="atLeast"/>
          <w:jc w:val="center"/>
        </w:trPr>
        <w:tc>
          <w:tcPr>
            <w:tcW w:w="855" w:type="dxa"/>
            <w:tcBorders>
              <w:tl2br w:val="nil"/>
              <w:tr2bl w:val="nil"/>
            </w:tcBorders>
            <w:noWrap w:val="0"/>
            <w:vAlign w:val="center"/>
          </w:tcPr>
          <w:p w14:paraId="7310440D">
            <w:pPr>
              <w:adjustRightInd w:val="0"/>
              <w:snapToGrid w:val="0"/>
              <w:jc w:val="center"/>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评价标准</w:t>
            </w:r>
          </w:p>
        </w:tc>
        <w:tc>
          <w:tcPr>
            <w:tcW w:w="8302" w:type="dxa"/>
            <w:tcBorders>
              <w:tl2br w:val="nil"/>
              <w:tr2bl w:val="nil"/>
            </w:tcBorders>
            <w:noWrap w:val="0"/>
            <w:vAlign w:val="top"/>
          </w:tcPr>
          <w:p w14:paraId="76CD8B92">
            <w:pPr>
              <w:adjustRightInd w:val="0"/>
              <w:snapToGrid w:val="0"/>
              <w:spacing w:before="120" w:beforeLines="50" w:line="360" w:lineRule="auto"/>
              <w:ind w:firstLine="480" w:firstLineChars="200"/>
              <w:rPr>
                <w:b/>
                <w:bCs/>
                <w:color w:val="auto"/>
                <w:sz w:val="24"/>
                <w:highlight w:val="none"/>
              </w:rPr>
            </w:pPr>
            <w:r>
              <w:rPr>
                <w:rFonts w:hint="eastAsia"/>
                <w:b/>
                <w:bCs/>
                <w:color w:val="auto"/>
                <w:sz w:val="24"/>
                <w:highlight w:val="none"/>
                <w:lang w:val="en-US" w:eastAsia="zh-CN"/>
              </w:rPr>
              <w:t>1.</w:t>
            </w:r>
            <w:r>
              <w:rPr>
                <w:b/>
                <w:bCs/>
                <w:color w:val="auto"/>
                <w:sz w:val="24"/>
                <w:highlight w:val="none"/>
              </w:rPr>
              <w:t>环境质量标准</w:t>
            </w:r>
          </w:p>
          <w:p w14:paraId="2D9AB067">
            <w:pPr>
              <w:pStyle w:val="12"/>
              <w:spacing w:line="360" w:lineRule="auto"/>
              <w:ind w:left="0" w:leftChars="0"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（1）环境空气执行《环境空气质量标准》（GB3095-</w:t>
            </w:r>
            <w:r>
              <w:rPr>
                <w:rFonts w:hint="eastAsia" w:eastAsia="宋体" w:cs="Times New Roman"/>
                <w:b w:val="0"/>
                <w:bCs w:val="0"/>
                <w:color w:val="auto"/>
                <w:kern w:val="2"/>
                <w:sz w:val="24"/>
                <w:szCs w:val="24"/>
                <w:highlight w:val="none"/>
                <w:lang w:val="en-US" w:eastAsia="zh-CN" w:bidi="ar-SA"/>
              </w:rPr>
              <w:t>2026</w:t>
            </w:r>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val="en-US" w:eastAsia="zh-CN"/>
              </w:rPr>
              <w:t>过渡阶段浓度限值</w:t>
            </w:r>
            <w:r>
              <w:rPr>
                <w:rFonts w:hint="eastAsia" w:hAnsi="Times New Roman" w:cs="Times New Roman"/>
                <w:color w:val="auto"/>
                <w:sz w:val="24"/>
                <w:szCs w:val="24"/>
                <w:highlight w:val="none"/>
                <w:lang w:val="en-US" w:eastAsia="zh-CN"/>
              </w:rPr>
              <w:t>二级标准</w:t>
            </w:r>
            <w:r>
              <w:rPr>
                <w:rFonts w:hint="eastAsia" w:ascii="Times New Roman" w:hAnsi="Times New Roman" w:eastAsia="宋体" w:cs="Times New Roman"/>
                <w:b w:val="0"/>
                <w:bCs w:val="0"/>
                <w:color w:val="auto"/>
                <w:kern w:val="2"/>
                <w:sz w:val="24"/>
                <w:szCs w:val="24"/>
                <w:highlight w:val="none"/>
                <w:lang w:val="en-US" w:eastAsia="zh-CN" w:bidi="ar-SA"/>
              </w:rPr>
              <w:t>；</w:t>
            </w:r>
          </w:p>
          <w:p w14:paraId="2145839A">
            <w:pPr>
              <w:pStyle w:val="12"/>
              <w:spacing w:line="360" w:lineRule="auto"/>
              <w:ind w:left="0" w:leftChars="0"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（2）声环境执行《声环境质量标准》（GB309</w:t>
            </w:r>
            <w:r>
              <w:rPr>
                <w:rFonts w:hint="eastAsia" w:cs="Times New Roman"/>
                <w:b w:val="0"/>
                <w:bCs w:val="0"/>
                <w:color w:val="auto"/>
                <w:kern w:val="2"/>
                <w:sz w:val="24"/>
                <w:szCs w:val="24"/>
                <w:highlight w:val="none"/>
                <w:lang w:val="en-US" w:eastAsia="zh-CN" w:bidi="ar-SA"/>
              </w:rPr>
              <w:t>6</w:t>
            </w:r>
            <w:r>
              <w:rPr>
                <w:rFonts w:hint="eastAsia" w:ascii="Times New Roman" w:hAnsi="Times New Roman" w:eastAsia="宋体" w:cs="Times New Roman"/>
                <w:b w:val="0"/>
                <w:bCs w:val="0"/>
                <w:color w:val="auto"/>
                <w:kern w:val="2"/>
                <w:sz w:val="24"/>
                <w:szCs w:val="24"/>
                <w:highlight w:val="none"/>
                <w:lang w:val="en-US" w:eastAsia="zh-CN" w:bidi="ar-SA"/>
              </w:rPr>
              <w:t>-2008）中2类标准；</w:t>
            </w:r>
          </w:p>
          <w:p w14:paraId="28FE56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（3）地表水环境执行《地表水环境质量标准》（GB3838-2002）中</w:t>
            </w:r>
            <w:r>
              <w:rPr>
                <w:rFonts w:hint="eastAsia" w:cs="Times New Roman"/>
                <w:b w:val="0"/>
                <w:bCs w:val="0"/>
                <w:color w:val="auto"/>
                <w:kern w:val="2"/>
                <w:sz w:val="24"/>
                <w:szCs w:val="24"/>
                <w:highlight w:val="none"/>
                <w:lang w:val="en-US" w:eastAsia="zh-CN" w:bidi="ar-SA"/>
              </w:rPr>
              <w:t>Ⅱ类</w:t>
            </w:r>
            <w:r>
              <w:rPr>
                <w:rFonts w:hint="eastAsia" w:ascii="Times New Roman" w:hAnsi="Times New Roman" w:eastAsia="宋体" w:cs="Times New Roman"/>
                <w:b w:val="0"/>
                <w:bCs w:val="0"/>
                <w:color w:val="auto"/>
                <w:kern w:val="2"/>
                <w:sz w:val="24"/>
                <w:szCs w:val="24"/>
                <w:highlight w:val="none"/>
                <w:lang w:val="en-US" w:eastAsia="zh-CN" w:bidi="ar-SA"/>
              </w:rPr>
              <w:t>标准</w:t>
            </w:r>
            <w:r>
              <w:rPr>
                <w:rFonts w:hint="eastAsia" w:eastAsia="宋体" w:cs="Times New Roman"/>
                <w:b w:val="0"/>
                <w:bCs w:val="0"/>
                <w:color w:val="auto"/>
                <w:kern w:val="2"/>
                <w:sz w:val="24"/>
                <w:szCs w:val="24"/>
                <w:highlight w:val="none"/>
                <w:lang w:val="en-US" w:eastAsia="zh-CN" w:bidi="ar-SA"/>
              </w:rPr>
              <w:t>；</w:t>
            </w:r>
          </w:p>
          <w:p w14:paraId="4C4A4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（4）</w:t>
            </w:r>
            <w:r>
              <w:rPr>
                <w:rFonts w:hint="eastAsia" w:eastAsia="宋体" w:cs="Times New Roman"/>
                <w:b w:val="0"/>
                <w:bCs w:val="0"/>
                <w:color w:val="auto"/>
                <w:kern w:val="2"/>
                <w:sz w:val="24"/>
                <w:szCs w:val="24"/>
                <w:highlight w:val="none"/>
                <w:lang w:val="en-US" w:eastAsia="zh-CN" w:bidi="ar-SA"/>
              </w:rPr>
              <w:t>土壤环境质量执行《土壤环境质量建设用地土壤污染风险管控标准（试行）》</w:t>
            </w:r>
            <w:r>
              <w:rPr>
                <w:rFonts w:hint="eastAsia" w:cs="Times New Roman"/>
                <w:b w:val="0"/>
                <w:bCs w:val="0"/>
                <w:color w:val="auto"/>
                <w:kern w:val="2"/>
                <w:sz w:val="24"/>
                <w:szCs w:val="24"/>
                <w:highlight w:val="none"/>
                <w:lang w:val="en-US" w:eastAsia="zh-CN" w:bidi="ar-SA"/>
              </w:rPr>
              <w:t>（</w:t>
            </w:r>
            <w:r>
              <w:rPr>
                <w:rFonts w:hint="eastAsia" w:eastAsia="宋体" w:cs="Times New Roman"/>
                <w:b w:val="0"/>
                <w:bCs w:val="0"/>
                <w:color w:val="auto"/>
                <w:kern w:val="2"/>
                <w:sz w:val="24"/>
                <w:szCs w:val="24"/>
                <w:highlight w:val="none"/>
                <w:lang w:val="en-US" w:eastAsia="zh-CN" w:bidi="ar-SA"/>
              </w:rPr>
              <w:t>GB36600-2018</w:t>
            </w:r>
            <w:r>
              <w:rPr>
                <w:rFonts w:hint="eastAsia" w:cs="Times New Roman"/>
                <w:b w:val="0"/>
                <w:bCs w:val="0"/>
                <w:color w:val="auto"/>
                <w:kern w:val="2"/>
                <w:sz w:val="24"/>
                <w:szCs w:val="24"/>
                <w:highlight w:val="none"/>
                <w:lang w:val="en-US" w:eastAsia="zh-CN" w:bidi="ar-SA"/>
              </w:rPr>
              <w:t>）</w:t>
            </w:r>
            <w:r>
              <w:rPr>
                <w:rFonts w:hint="eastAsia" w:eastAsia="宋体" w:cs="Times New Roman"/>
                <w:b w:val="0"/>
                <w:bCs w:val="0"/>
                <w:color w:val="auto"/>
                <w:kern w:val="2"/>
                <w:sz w:val="24"/>
                <w:szCs w:val="24"/>
                <w:highlight w:val="none"/>
                <w:lang w:val="en-US" w:eastAsia="zh-CN" w:bidi="ar-SA"/>
              </w:rPr>
              <w:t>中第二类用地筛选值。</w:t>
            </w:r>
          </w:p>
          <w:p w14:paraId="7FA8EA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（5）《土壤环境质量 农用地土壤污染风险管控标准（试行）》（GB 15618-2018）农用地土壤污染风险筛选值标准；</w:t>
            </w:r>
          </w:p>
          <w:p w14:paraId="2C4A90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val="0"/>
                <w:bCs w:val="0"/>
                <w:color w:val="auto"/>
                <w:kern w:val="2"/>
                <w:sz w:val="24"/>
                <w:szCs w:val="24"/>
                <w:highlight w:val="none"/>
                <w:lang w:val="en-US" w:eastAsia="zh-CN" w:bidi="ar-SA"/>
              </w:rPr>
            </w:pPr>
            <w:r>
              <w:rPr>
                <w:rFonts w:hint="eastAsia" w:eastAsia="宋体" w:cs="Times New Roman"/>
                <w:b w:val="0"/>
                <w:bCs w:val="0"/>
                <w:color w:val="auto"/>
                <w:kern w:val="2"/>
                <w:sz w:val="24"/>
                <w:szCs w:val="24"/>
                <w:highlight w:val="none"/>
                <w:lang w:val="en-US" w:eastAsia="zh-CN" w:bidi="ar-SA"/>
              </w:rPr>
              <w:t>2.污染物排放标准</w:t>
            </w:r>
          </w:p>
          <w:p w14:paraId="2C3475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cs="Times New Roman"/>
                <w:b w:val="0"/>
                <w:bCs w:val="0"/>
                <w:color w:val="auto"/>
                <w:kern w:val="2"/>
                <w:sz w:val="24"/>
                <w:szCs w:val="24"/>
                <w:highlight w:val="none"/>
                <w:lang w:val="en-US" w:eastAsia="zh-CN" w:bidi="ar-SA"/>
              </w:rPr>
            </w:pPr>
            <w:r>
              <w:rPr>
                <w:rFonts w:hint="eastAsia" w:eastAsia="宋体" w:cs="Times New Roman"/>
                <w:b w:val="0"/>
                <w:bCs w:val="0"/>
                <w:color w:val="auto"/>
                <w:kern w:val="2"/>
                <w:sz w:val="24"/>
                <w:szCs w:val="24"/>
                <w:highlight w:val="none"/>
                <w:lang w:val="en-US" w:eastAsia="zh-CN" w:bidi="ar-SA"/>
              </w:rPr>
              <w:t>（1）</w:t>
            </w:r>
            <w:r>
              <w:rPr>
                <w:rFonts w:hint="default" w:eastAsia="宋体" w:cs="Times New Roman"/>
                <w:b w:val="0"/>
                <w:bCs w:val="0"/>
                <w:color w:val="auto"/>
                <w:kern w:val="2"/>
                <w:sz w:val="24"/>
                <w:szCs w:val="24"/>
                <w:highlight w:val="none"/>
                <w:lang w:val="en-US" w:eastAsia="zh-CN" w:bidi="ar-SA"/>
              </w:rPr>
              <w:t>废气</w:t>
            </w:r>
          </w:p>
          <w:p w14:paraId="1953D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cs="Times New Roman"/>
                <w:b w:val="0"/>
                <w:bCs w:val="0"/>
                <w:color w:val="auto"/>
                <w:kern w:val="2"/>
                <w:sz w:val="24"/>
                <w:szCs w:val="24"/>
                <w:highlight w:val="none"/>
                <w:lang w:val="en-US" w:eastAsia="zh-CN" w:bidi="ar-SA"/>
              </w:rPr>
            </w:pPr>
            <w:r>
              <w:rPr>
                <w:rFonts w:hint="default" w:eastAsia="宋体" w:cs="Times New Roman"/>
                <w:b w:val="0"/>
                <w:bCs w:val="0"/>
                <w:color w:val="auto"/>
                <w:kern w:val="2"/>
                <w:sz w:val="24"/>
                <w:szCs w:val="24"/>
                <w:highlight w:val="none"/>
                <w:lang w:val="en-US" w:eastAsia="zh-CN" w:bidi="ar-SA"/>
              </w:rPr>
              <w:t>施工期场界扬尘排放执行《施工场界扬尘排放限值》</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DB61/1078-2017</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中相关限值要求。施工机械尾气执行《非道路移动机械用柴油机排气污染物排放限值及测量方法</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中国第三、四阶段</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GB20891-2014</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含修改单</w:t>
            </w:r>
            <w:r>
              <w:rPr>
                <w:rFonts w:hint="eastAsia" w:cs="Times New Roman"/>
                <w:b w:val="0"/>
                <w:bCs w:val="0"/>
                <w:color w:val="auto"/>
                <w:kern w:val="2"/>
                <w:sz w:val="24"/>
                <w:szCs w:val="24"/>
                <w:highlight w:val="none"/>
                <w:lang w:val="en-US" w:eastAsia="zh-CN" w:bidi="ar-SA"/>
              </w:rPr>
              <w:t>）</w:t>
            </w:r>
            <w:r>
              <w:rPr>
                <w:rFonts w:hint="default" w:eastAsia="宋体" w:cs="Times New Roman"/>
                <w:b w:val="0"/>
                <w:bCs w:val="0"/>
                <w:color w:val="auto"/>
                <w:kern w:val="2"/>
                <w:sz w:val="24"/>
                <w:szCs w:val="24"/>
                <w:highlight w:val="none"/>
                <w:lang w:val="en-US" w:eastAsia="zh-CN" w:bidi="ar-SA"/>
              </w:rPr>
              <w:t>柴油机第三阶段要求相关限值。</w:t>
            </w:r>
          </w:p>
          <w:p w14:paraId="0A88B6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eastAsia" w:cs="Times New Roman"/>
                <w:b/>
                <w:bCs/>
                <w:color w:val="auto"/>
                <w:sz w:val="21"/>
                <w:szCs w:val="21"/>
                <w:highlight w:val="none"/>
                <w:lang w:val="en-US" w:eastAsia="zh-CN"/>
              </w:rPr>
              <w:t xml:space="preserve">3-6 </w:t>
            </w: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非道路移动机械用柴油机排气污染物排放限值</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02"/>
              <w:gridCol w:w="2320"/>
              <w:gridCol w:w="2088"/>
              <w:gridCol w:w="1329"/>
            </w:tblGrid>
            <w:tr w14:paraId="43B22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2102" w:type="dxa"/>
                  <w:vMerge w:val="restart"/>
                  <w:tcBorders>
                    <w:tl2br w:val="nil"/>
                    <w:tr2bl w:val="nil"/>
                  </w:tcBorders>
                  <w:noWrap w:val="0"/>
                  <w:vAlign w:val="center"/>
                </w:tcPr>
                <w:p w14:paraId="219987BC">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项目</w:t>
                  </w:r>
                </w:p>
              </w:tc>
              <w:tc>
                <w:tcPr>
                  <w:tcW w:w="5737" w:type="dxa"/>
                  <w:gridSpan w:val="3"/>
                  <w:tcBorders>
                    <w:tl2br w:val="nil"/>
                    <w:tr2bl w:val="nil"/>
                  </w:tcBorders>
                  <w:noWrap w:val="0"/>
                  <w:vAlign w:val="center"/>
                </w:tcPr>
                <w:p w14:paraId="3CB8CE71">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标准值</w:t>
                  </w:r>
                </w:p>
              </w:tc>
            </w:tr>
            <w:tr w14:paraId="52B4B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2102" w:type="dxa"/>
                  <w:vMerge w:val="continue"/>
                  <w:tcBorders>
                    <w:tl2br w:val="nil"/>
                    <w:tr2bl w:val="nil"/>
                  </w:tcBorders>
                  <w:noWrap w:val="0"/>
                  <w:vAlign w:val="center"/>
                </w:tcPr>
                <w:p w14:paraId="4F1E8B63">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b/>
                      <w:bCs/>
                      <w:color w:val="auto"/>
                      <w:szCs w:val="21"/>
                      <w:highlight w:val="none"/>
                    </w:rPr>
                  </w:pPr>
                </w:p>
              </w:tc>
              <w:tc>
                <w:tcPr>
                  <w:tcW w:w="2320" w:type="dxa"/>
                  <w:tcBorders>
                    <w:tl2br w:val="nil"/>
                    <w:tr2bl w:val="nil"/>
                  </w:tcBorders>
                  <w:noWrap w:val="0"/>
                  <w:vAlign w:val="center"/>
                </w:tcPr>
                <w:p w14:paraId="6614AB40">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类别</w:t>
                  </w:r>
                </w:p>
              </w:tc>
              <w:tc>
                <w:tcPr>
                  <w:tcW w:w="2088" w:type="dxa"/>
                  <w:tcBorders>
                    <w:tl2br w:val="nil"/>
                    <w:tr2bl w:val="nil"/>
                  </w:tcBorders>
                  <w:noWrap w:val="0"/>
                  <w:vAlign w:val="center"/>
                </w:tcPr>
                <w:p w14:paraId="7131A638">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限值</w:t>
                  </w:r>
                </w:p>
              </w:tc>
              <w:tc>
                <w:tcPr>
                  <w:tcW w:w="1329" w:type="dxa"/>
                  <w:tcBorders>
                    <w:tl2br w:val="nil"/>
                    <w:tr2bl w:val="nil"/>
                  </w:tcBorders>
                  <w:noWrap w:val="0"/>
                  <w:vAlign w:val="center"/>
                </w:tcPr>
                <w:p w14:paraId="3493DA01">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单 位</w:t>
                  </w:r>
                </w:p>
              </w:tc>
            </w:tr>
            <w:tr w14:paraId="79BE5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2102" w:type="dxa"/>
                  <w:vMerge w:val="restart"/>
                  <w:tcBorders>
                    <w:tl2br w:val="nil"/>
                    <w:tr2bl w:val="nil"/>
                  </w:tcBorders>
                  <w:noWrap w:val="0"/>
                  <w:vAlign w:val="center"/>
                </w:tcPr>
                <w:p w14:paraId="30611C00">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130≤P</w:t>
                  </w:r>
                  <w:r>
                    <w:rPr>
                      <w:rFonts w:hint="default" w:ascii="Times New Roman" w:hAnsi="Times New Roman" w:cs="Times New Roman"/>
                      <w:color w:val="auto"/>
                      <w:highlight w:val="none"/>
                      <w:vertAlign w:val="subscript"/>
                    </w:rPr>
                    <w:t>max</w:t>
                  </w:r>
                  <w:r>
                    <w:rPr>
                      <w:rFonts w:hint="default" w:ascii="Times New Roman" w:hAnsi="Times New Roman" w:cs="Times New Roman"/>
                      <w:color w:val="auto"/>
                      <w:highlight w:val="none"/>
                    </w:rPr>
                    <w:t>≤560</w:t>
                  </w:r>
                </w:p>
              </w:tc>
              <w:tc>
                <w:tcPr>
                  <w:tcW w:w="2320" w:type="dxa"/>
                  <w:tcBorders>
                    <w:tl2br w:val="nil"/>
                    <w:tr2bl w:val="nil"/>
                  </w:tcBorders>
                  <w:noWrap w:val="0"/>
                  <w:vAlign w:val="center"/>
                </w:tcPr>
                <w:p w14:paraId="58522C45">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CO</w:t>
                  </w:r>
                </w:p>
              </w:tc>
              <w:tc>
                <w:tcPr>
                  <w:tcW w:w="2088" w:type="dxa"/>
                  <w:tcBorders>
                    <w:tl2br w:val="nil"/>
                    <w:tr2bl w:val="nil"/>
                  </w:tcBorders>
                  <w:noWrap w:val="0"/>
                  <w:vAlign w:val="center"/>
                </w:tcPr>
                <w:p w14:paraId="0A5C1D03">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3.5</w:t>
                  </w:r>
                </w:p>
              </w:tc>
              <w:tc>
                <w:tcPr>
                  <w:tcW w:w="1329" w:type="dxa"/>
                  <w:vMerge w:val="restart"/>
                  <w:tcBorders>
                    <w:tl2br w:val="nil"/>
                    <w:tr2bl w:val="nil"/>
                  </w:tcBorders>
                  <w:noWrap w:val="0"/>
                  <w:vAlign w:val="center"/>
                </w:tcPr>
                <w:p w14:paraId="32434E93">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g/kWh</w:t>
                  </w:r>
                </w:p>
              </w:tc>
            </w:tr>
            <w:tr w14:paraId="18A38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2102" w:type="dxa"/>
                  <w:vMerge w:val="continue"/>
                  <w:tcBorders>
                    <w:tl2br w:val="nil"/>
                    <w:tr2bl w:val="nil"/>
                  </w:tcBorders>
                  <w:noWrap w:val="0"/>
                  <w:vAlign w:val="center"/>
                </w:tcPr>
                <w:p w14:paraId="6B183231">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c>
                <w:tcPr>
                  <w:tcW w:w="2320" w:type="dxa"/>
                  <w:tcBorders>
                    <w:tl2br w:val="nil"/>
                    <w:tr2bl w:val="nil"/>
                  </w:tcBorders>
                  <w:noWrap w:val="0"/>
                  <w:vAlign w:val="center"/>
                </w:tcPr>
                <w:p w14:paraId="2078CBBB">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HC</w:t>
                  </w:r>
                </w:p>
              </w:tc>
              <w:tc>
                <w:tcPr>
                  <w:tcW w:w="2088" w:type="dxa"/>
                  <w:tcBorders>
                    <w:tl2br w:val="nil"/>
                    <w:tr2bl w:val="nil"/>
                  </w:tcBorders>
                  <w:noWrap w:val="0"/>
                  <w:vAlign w:val="center"/>
                </w:tcPr>
                <w:p w14:paraId="17FEDBDA">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1329" w:type="dxa"/>
                  <w:vMerge w:val="continue"/>
                  <w:tcBorders>
                    <w:tl2br w:val="nil"/>
                    <w:tr2bl w:val="nil"/>
                  </w:tcBorders>
                  <w:noWrap w:val="0"/>
                  <w:vAlign w:val="center"/>
                </w:tcPr>
                <w:p w14:paraId="669AB51B">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r>
            <w:tr w14:paraId="0BD76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2102" w:type="dxa"/>
                  <w:vMerge w:val="continue"/>
                  <w:tcBorders>
                    <w:tl2br w:val="nil"/>
                    <w:tr2bl w:val="nil"/>
                  </w:tcBorders>
                  <w:noWrap w:val="0"/>
                  <w:vAlign w:val="center"/>
                </w:tcPr>
                <w:p w14:paraId="7E42CB28">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c>
                <w:tcPr>
                  <w:tcW w:w="2320" w:type="dxa"/>
                  <w:tcBorders>
                    <w:tl2br w:val="nil"/>
                    <w:tr2bl w:val="nil"/>
                  </w:tcBorders>
                  <w:noWrap w:val="0"/>
                  <w:vAlign w:val="center"/>
                </w:tcPr>
                <w:p w14:paraId="3A2BF695">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X</w:t>
                  </w:r>
                </w:p>
              </w:tc>
              <w:tc>
                <w:tcPr>
                  <w:tcW w:w="2088" w:type="dxa"/>
                  <w:tcBorders>
                    <w:tl2br w:val="nil"/>
                    <w:tr2bl w:val="nil"/>
                  </w:tcBorders>
                  <w:noWrap w:val="0"/>
                  <w:vAlign w:val="center"/>
                </w:tcPr>
                <w:p w14:paraId="5C84C096">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1329" w:type="dxa"/>
                  <w:vMerge w:val="continue"/>
                  <w:tcBorders>
                    <w:tl2br w:val="nil"/>
                    <w:tr2bl w:val="nil"/>
                  </w:tcBorders>
                  <w:noWrap w:val="0"/>
                  <w:vAlign w:val="center"/>
                </w:tcPr>
                <w:p w14:paraId="3D8C3C39">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r>
            <w:tr w14:paraId="586A46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2102" w:type="dxa"/>
                  <w:vMerge w:val="continue"/>
                  <w:tcBorders>
                    <w:tl2br w:val="nil"/>
                    <w:tr2bl w:val="nil"/>
                  </w:tcBorders>
                  <w:noWrap w:val="0"/>
                  <w:vAlign w:val="center"/>
                </w:tcPr>
                <w:p w14:paraId="235C2D09">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c>
                <w:tcPr>
                  <w:tcW w:w="2320" w:type="dxa"/>
                  <w:tcBorders>
                    <w:tl2br w:val="nil"/>
                    <w:tr2bl w:val="nil"/>
                  </w:tcBorders>
                  <w:noWrap w:val="0"/>
                  <w:vAlign w:val="center"/>
                </w:tcPr>
                <w:p w14:paraId="177A4B05">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HC+NO</w:t>
                  </w:r>
                  <w:r>
                    <w:rPr>
                      <w:rFonts w:hint="default" w:ascii="Times New Roman" w:hAnsi="Times New Roman" w:cs="Times New Roman"/>
                      <w:color w:val="auto"/>
                      <w:highlight w:val="none"/>
                      <w:vertAlign w:val="subscript"/>
                    </w:rPr>
                    <w:t>X</w:t>
                  </w:r>
                </w:p>
              </w:tc>
              <w:tc>
                <w:tcPr>
                  <w:tcW w:w="2088" w:type="dxa"/>
                  <w:tcBorders>
                    <w:tl2br w:val="nil"/>
                    <w:tr2bl w:val="nil"/>
                  </w:tcBorders>
                  <w:noWrap w:val="0"/>
                  <w:vAlign w:val="center"/>
                </w:tcPr>
                <w:p w14:paraId="331E1E03">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4.0</w:t>
                  </w:r>
                </w:p>
              </w:tc>
              <w:tc>
                <w:tcPr>
                  <w:tcW w:w="1329" w:type="dxa"/>
                  <w:vMerge w:val="continue"/>
                  <w:tcBorders>
                    <w:tl2br w:val="nil"/>
                    <w:tr2bl w:val="nil"/>
                  </w:tcBorders>
                  <w:noWrap w:val="0"/>
                  <w:vAlign w:val="center"/>
                </w:tcPr>
                <w:p w14:paraId="587BFB57">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r>
            <w:tr w14:paraId="2C651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2102" w:type="dxa"/>
                  <w:tcBorders>
                    <w:tl2br w:val="nil"/>
                    <w:tr2bl w:val="nil"/>
                  </w:tcBorders>
                  <w:noWrap w:val="0"/>
                  <w:vAlign w:val="center"/>
                </w:tcPr>
                <w:p w14:paraId="5D6D8838">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标准</w:t>
                  </w:r>
                </w:p>
              </w:tc>
              <w:tc>
                <w:tcPr>
                  <w:tcW w:w="5737" w:type="dxa"/>
                  <w:gridSpan w:val="3"/>
                  <w:tcBorders>
                    <w:tl2br w:val="nil"/>
                    <w:tr2bl w:val="nil"/>
                  </w:tcBorders>
                  <w:noWrap w:val="0"/>
                  <w:vAlign w:val="center"/>
                </w:tcPr>
                <w:p w14:paraId="26C8E05C">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r>
                    <w:rPr>
                      <w:rFonts w:hint="eastAsia" w:cs="Times New Roman"/>
                      <w:color w:val="auto"/>
                      <w:highlight w:val="none"/>
                      <w:lang w:eastAsia="zh-CN"/>
                    </w:rPr>
                    <w:t>非道路移动机械用柴油机排气污染物排放限值及测量方法（中国第三、四阶段）</w:t>
                  </w:r>
                  <w:r>
                    <w:rPr>
                      <w:rFonts w:hint="default" w:ascii="Times New Roman" w:hAnsi="Times New Roman" w:cs="Times New Roman"/>
                      <w:color w:val="auto"/>
                      <w:highlight w:val="none"/>
                    </w:rPr>
                    <w:t>》GB20891-2014第Ⅲ阶段</w:t>
                  </w:r>
                </w:p>
              </w:tc>
            </w:tr>
          </w:tbl>
          <w:p w14:paraId="6ED33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eastAsia" w:cs="Times New Roman"/>
                <w:b/>
                <w:bCs/>
                <w:color w:val="auto"/>
                <w:sz w:val="21"/>
                <w:szCs w:val="21"/>
                <w:highlight w:val="none"/>
                <w:lang w:val="en-US" w:eastAsia="zh-CN"/>
              </w:rPr>
              <w:t>3-7</w:t>
            </w: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施工场界扬尘（总悬浮颗粒物）浓度限值</w:t>
            </w:r>
          </w:p>
          <w:tbl>
            <w:tblPr>
              <w:tblStyle w:val="14"/>
              <w:tblW w:w="809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9"/>
              <w:gridCol w:w="2066"/>
              <w:gridCol w:w="1110"/>
              <w:gridCol w:w="2769"/>
              <w:gridCol w:w="1655"/>
            </w:tblGrid>
            <w:tr w14:paraId="77704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99" w:type="dxa"/>
                  <w:tcBorders>
                    <w:tl2br w:val="nil"/>
                    <w:tr2bl w:val="nil"/>
                  </w:tcBorders>
                  <w:noWrap w:val="0"/>
                  <w:vAlign w:val="center"/>
                </w:tcPr>
                <w:p w14:paraId="723DAE10">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序号</w:t>
                  </w:r>
                </w:p>
              </w:tc>
              <w:tc>
                <w:tcPr>
                  <w:tcW w:w="2066" w:type="dxa"/>
                  <w:tcBorders>
                    <w:tl2br w:val="nil"/>
                    <w:tr2bl w:val="nil"/>
                  </w:tcBorders>
                  <w:noWrap w:val="0"/>
                  <w:vAlign w:val="center"/>
                </w:tcPr>
                <w:p w14:paraId="65BBED72">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污染物</w:t>
                  </w:r>
                </w:p>
              </w:tc>
              <w:tc>
                <w:tcPr>
                  <w:tcW w:w="1110" w:type="dxa"/>
                  <w:tcBorders>
                    <w:tl2br w:val="nil"/>
                    <w:tr2bl w:val="nil"/>
                  </w:tcBorders>
                  <w:noWrap w:val="0"/>
                  <w:vAlign w:val="center"/>
                </w:tcPr>
                <w:p w14:paraId="04A897A7">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监控点</w:t>
                  </w:r>
                </w:p>
              </w:tc>
              <w:tc>
                <w:tcPr>
                  <w:tcW w:w="2769" w:type="dxa"/>
                  <w:tcBorders>
                    <w:tl2br w:val="nil"/>
                    <w:tr2bl w:val="nil"/>
                  </w:tcBorders>
                  <w:noWrap w:val="0"/>
                  <w:vAlign w:val="center"/>
                </w:tcPr>
                <w:p w14:paraId="13F216EB">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施工阶段</w:t>
                  </w:r>
                </w:p>
              </w:tc>
              <w:tc>
                <w:tcPr>
                  <w:tcW w:w="1655" w:type="dxa"/>
                  <w:tcBorders>
                    <w:tl2br w:val="nil"/>
                    <w:tr2bl w:val="nil"/>
                  </w:tcBorders>
                  <w:noWrap w:val="0"/>
                  <w:vAlign w:val="center"/>
                </w:tcPr>
                <w:p w14:paraId="32DF9B91">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小时平均浓度限值（mg/m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r>
            <w:tr w14:paraId="6A820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99" w:type="dxa"/>
                  <w:tcBorders>
                    <w:tl2br w:val="nil"/>
                    <w:tr2bl w:val="nil"/>
                  </w:tcBorders>
                  <w:noWrap w:val="0"/>
                  <w:vAlign w:val="center"/>
                </w:tcPr>
                <w:p w14:paraId="3EC37D14">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1</w:t>
                  </w:r>
                </w:p>
              </w:tc>
              <w:tc>
                <w:tcPr>
                  <w:tcW w:w="2066" w:type="dxa"/>
                  <w:vMerge w:val="restart"/>
                  <w:tcBorders>
                    <w:tl2br w:val="nil"/>
                    <w:tr2bl w:val="nil"/>
                  </w:tcBorders>
                  <w:noWrap w:val="0"/>
                  <w:vAlign w:val="center"/>
                </w:tcPr>
                <w:p w14:paraId="32D8BDD5">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施工场界扬尘（总悬浮颗粒物TSP）</w:t>
                  </w:r>
                </w:p>
              </w:tc>
              <w:tc>
                <w:tcPr>
                  <w:tcW w:w="1110" w:type="dxa"/>
                  <w:vMerge w:val="restart"/>
                  <w:tcBorders>
                    <w:tl2br w:val="nil"/>
                    <w:tr2bl w:val="nil"/>
                  </w:tcBorders>
                  <w:noWrap w:val="0"/>
                  <w:vAlign w:val="center"/>
                </w:tcPr>
                <w:p w14:paraId="027766B8">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周界外浓度最高点</w:t>
                  </w:r>
                </w:p>
              </w:tc>
              <w:tc>
                <w:tcPr>
                  <w:tcW w:w="2769" w:type="dxa"/>
                  <w:tcBorders>
                    <w:tl2br w:val="nil"/>
                    <w:tr2bl w:val="nil"/>
                  </w:tcBorders>
                  <w:noWrap w:val="0"/>
                  <w:vAlign w:val="center"/>
                </w:tcPr>
                <w:p w14:paraId="1843885E">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拆除、土方及地基处理工程</w:t>
                  </w:r>
                </w:p>
              </w:tc>
              <w:tc>
                <w:tcPr>
                  <w:tcW w:w="1655" w:type="dxa"/>
                  <w:tcBorders>
                    <w:tl2br w:val="nil"/>
                    <w:tr2bl w:val="nil"/>
                  </w:tcBorders>
                  <w:noWrap w:val="0"/>
                  <w:vAlign w:val="center"/>
                </w:tcPr>
                <w:p w14:paraId="0578C6AA">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≤0.8</w:t>
                  </w:r>
                </w:p>
              </w:tc>
            </w:tr>
            <w:tr w14:paraId="44E776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99" w:type="dxa"/>
                  <w:tcBorders>
                    <w:tl2br w:val="nil"/>
                    <w:tr2bl w:val="nil"/>
                  </w:tcBorders>
                  <w:noWrap w:val="0"/>
                  <w:vAlign w:val="center"/>
                </w:tcPr>
                <w:p w14:paraId="28C7CEFF">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2</w:t>
                  </w:r>
                </w:p>
              </w:tc>
              <w:tc>
                <w:tcPr>
                  <w:tcW w:w="2066" w:type="dxa"/>
                  <w:vMerge w:val="continue"/>
                  <w:tcBorders>
                    <w:tl2br w:val="nil"/>
                    <w:tr2bl w:val="nil"/>
                  </w:tcBorders>
                  <w:noWrap w:val="0"/>
                  <w:vAlign w:val="center"/>
                </w:tcPr>
                <w:p w14:paraId="48DE37F0">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c>
                <w:tcPr>
                  <w:tcW w:w="1110" w:type="dxa"/>
                  <w:vMerge w:val="continue"/>
                  <w:tcBorders>
                    <w:tl2br w:val="nil"/>
                    <w:tr2bl w:val="nil"/>
                  </w:tcBorders>
                  <w:noWrap w:val="0"/>
                  <w:vAlign w:val="center"/>
                </w:tcPr>
                <w:p w14:paraId="4A1C6735">
                  <w:pPr>
                    <w:keepNext w:val="0"/>
                    <w:keepLines w:val="0"/>
                    <w:pageBreakBefore w:val="0"/>
                    <w:widowControl/>
                    <w:kinsoku/>
                    <w:wordWrap/>
                    <w:overflowPunct/>
                    <w:topLinePunct w:val="0"/>
                    <w:autoSpaceDE/>
                    <w:autoSpaceDN/>
                    <w:bidi w:val="0"/>
                    <w:adjustRightInd/>
                    <w:snapToGrid w:val="0"/>
                    <w:jc w:val="left"/>
                    <w:textAlignment w:val="auto"/>
                    <w:rPr>
                      <w:rFonts w:hint="default" w:ascii="Times New Roman" w:hAnsi="Times New Roman" w:cs="Times New Roman"/>
                      <w:color w:val="auto"/>
                      <w:szCs w:val="21"/>
                      <w:highlight w:val="none"/>
                    </w:rPr>
                  </w:pPr>
                </w:p>
              </w:tc>
              <w:tc>
                <w:tcPr>
                  <w:tcW w:w="2769" w:type="dxa"/>
                  <w:tcBorders>
                    <w:tl2br w:val="nil"/>
                    <w:tr2bl w:val="nil"/>
                  </w:tcBorders>
                  <w:noWrap w:val="0"/>
                  <w:vAlign w:val="center"/>
                </w:tcPr>
                <w:p w14:paraId="75312734">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基础、主体结构及装饰工程</w:t>
                  </w:r>
                </w:p>
              </w:tc>
              <w:tc>
                <w:tcPr>
                  <w:tcW w:w="1655" w:type="dxa"/>
                  <w:tcBorders>
                    <w:tl2br w:val="nil"/>
                    <w:tr2bl w:val="nil"/>
                  </w:tcBorders>
                  <w:noWrap w:val="0"/>
                  <w:vAlign w:val="center"/>
                </w:tcPr>
                <w:p w14:paraId="3BF99B91">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≤0.7</w:t>
                  </w:r>
                </w:p>
              </w:tc>
            </w:tr>
          </w:tbl>
          <w:p w14:paraId="788400F3">
            <w:pPr>
              <w:pStyle w:val="7"/>
              <w:keepNext w:val="0"/>
              <w:keepLines w:val="0"/>
              <w:pageBreakBefore w:val="0"/>
              <w:widowControl w:val="0"/>
              <w:kinsoku/>
              <w:wordWrap/>
              <w:overflowPunct/>
              <w:topLinePunct w:val="0"/>
              <w:autoSpaceDE/>
              <w:autoSpaceDN/>
              <w:bidi w:val="0"/>
              <w:adjustRightInd/>
              <w:snapToGrid w:val="0"/>
              <w:spacing w:beforeLines="0" w:line="360" w:lineRule="auto"/>
              <w:ind w:left="0" w:leftChars="0" w:right="0" w:rightChars="0" w:firstLine="420" w:firstLineChars="200"/>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注：CO和NO</w:t>
            </w:r>
            <w:r>
              <w:rPr>
                <w:rFonts w:hint="default" w:ascii="Times New Roman" w:hAnsi="Times New Roman" w:cs="Times New Roman"/>
                <w:b/>
                <w:bCs/>
                <w:color w:val="auto"/>
                <w:sz w:val="21"/>
                <w:szCs w:val="21"/>
                <w:highlight w:val="none"/>
                <w:vertAlign w:val="subscript"/>
              </w:rPr>
              <w:t>2</w:t>
            </w:r>
            <w:r>
              <w:rPr>
                <w:rFonts w:hint="default" w:ascii="Times New Roman" w:hAnsi="Times New Roman" w:cs="Times New Roman"/>
                <w:b/>
                <w:bCs/>
                <w:color w:val="auto"/>
                <w:sz w:val="21"/>
                <w:szCs w:val="21"/>
                <w:highlight w:val="none"/>
              </w:rPr>
              <w:t>浓度限值参照执行《</w:t>
            </w:r>
            <w:r>
              <w:rPr>
                <w:rFonts w:hint="eastAsia" w:ascii="Times New Roman" w:cs="Times New Roman"/>
                <w:b/>
                <w:bCs/>
                <w:color w:val="auto"/>
                <w:sz w:val="21"/>
                <w:szCs w:val="21"/>
                <w:highlight w:val="none"/>
                <w:lang w:eastAsia="zh-CN"/>
              </w:rPr>
              <w:t>工作场所有害因素职业接触限值（系列）</w:t>
            </w:r>
            <w:r>
              <w:rPr>
                <w:rFonts w:hint="default" w:ascii="Times New Roman" w:hAnsi="Times New Roman" w:cs="Times New Roman"/>
                <w:b/>
                <w:bCs/>
                <w:color w:val="auto"/>
                <w:sz w:val="21"/>
                <w:szCs w:val="21"/>
                <w:highlight w:val="none"/>
              </w:rPr>
              <w:t>》（GBZ2-2007）中短时间接触容许浓度，CO≤30mg/m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，NO</w:t>
            </w:r>
            <w:r>
              <w:rPr>
                <w:rFonts w:hint="default" w:ascii="Times New Roman" w:hAnsi="Times New Roman" w:cs="Times New Roman"/>
                <w:b/>
                <w:bCs/>
                <w:color w:val="auto"/>
                <w:sz w:val="21"/>
                <w:szCs w:val="21"/>
                <w:highlight w:val="none"/>
                <w:vertAlign w:val="subscript"/>
              </w:rPr>
              <w:t>2</w:t>
            </w:r>
            <w:r>
              <w:rPr>
                <w:rFonts w:hint="default" w:ascii="Times New Roman" w:hAnsi="Times New Roman" w:cs="Times New Roman"/>
                <w:b/>
                <w:bCs/>
                <w:color w:val="auto"/>
                <w:sz w:val="21"/>
                <w:szCs w:val="21"/>
                <w:highlight w:val="none"/>
              </w:rPr>
              <w:t>≤10mg/m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p w14:paraId="76C2CCA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auto"/>
                <w:kern w:val="0"/>
                <w:sz w:val="24"/>
                <w:szCs w:val="24"/>
                <w:highlight w:val="none"/>
              </w:rPr>
            </w:pP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2</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噪声：建筑施工噪声执行《建筑施工场界环境噪声排放标准》（GB12523-2011）表1标准限值。</w:t>
            </w:r>
            <w:r>
              <w:rPr>
                <w:rFonts w:hint="eastAsia" w:cs="Times New Roman"/>
                <w:color w:val="auto"/>
                <w:kern w:val="0"/>
                <w:sz w:val="24"/>
                <w:szCs w:val="24"/>
                <w:highlight w:val="none"/>
                <w:lang w:val="en-US" w:eastAsia="zh-CN"/>
              </w:rPr>
              <w:t>详见表3-8。</w:t>
            </w:r>
          </w:p>
          <w:p w14:paraId="47DE9D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26"/>
                <w:rFonts w:hint="default" w:ascii="Times New Roman" w:hAnsi="Times New Roman" w:cs="Times New Roman"/>
                <w:color w:val="auto"/>
                <w:sz w:val="21"/>
                <w:szCs w:val="21"/>
                <w:highlight w:val="none"/>
              </w:rPr>
            </w:pPr>
            <w:bookmarkStart w:id="6" w:name="_Toc6061"/>
            <w:bookmarkStart w:id="7" w:name="_Toc17447"/>
            <w:bookmarkStart w:id="8" w:name="_Toc28835"/>
            <w:bookmarkStart w:id="9" w:name="_Toc18297"/>
            <w:bookmarkStart w:id="10" w:name="_Toc17824"/>
            <w:r>
              <w:rPr>
                <w:rStyle w:val="26"/>
                <w:rFonts w:hint="default" w:ascii="Times New Roman" w:hAnsi="Times New Roman" w:cs="Times New Roman"/>
                <w:color w:val="auto"/>
                <w:sz w:val="21"/>
                <w:szCs w:val="21"/>
                <w:highlight w:val="none"/>
                <w:lang w:val="en-US" w:eastAsia="zh-CN"/>
              </w:rPr>
              <w:t>表</w:t>
            </w:r>
            <w:r>
              <w:rPr>
                <w:rStyle w:val="26"/>
                <w:rFonts w:hint="eastAsia" w:cs="Times New Roman"/>
                <w:color w:val="auto"/>
                <w:sz w:val="21"/>
                <w:szCs w:val="21"/>
                <w:highlight w:val="none"/>
                <w:lang w:val="en-US" w:eastAsia="zh-CN"/>
              </w:rPr>
              <w:t xml:space="preserve">3-8 </w:t>
            </w:r>
            <w:r>
              <w:rPr>
                <w:rStyle w:val="26"/>
                <w:rFonts w:hint="default" w:ascii="Times New Roman" w:hAnsi="Times New Roman" w:cs="Times New Roman"/>
                <w:color w:val="auto"/>
                <w:sz w:val="21"/>
                <w:szCs w:val="21"/>
                <w:highlight w:val="none"/>
                <w:lang w:val="en-US" w:eastAsia="zh-CN"/>
              </w:rPr>
              <w:t xml:space="preserve"> 建筑施工厂界环境噪声排放标准</w:t>
            </w:r>
            <w:r>
              <w:rPr>
                <w:rStyle w:val="26"/>
                <w:rFonts w:hint="eastAsia" w:ascii="Times New Roman" w:hAnsi="Times New Roman" w:cs="Times New Roman"/>
                <w:color w:val="auto"/>
                <w:sz w:val="21"/>
                <w:szCs w:val="21"/>
                <w:highlight w:val="none"/>
                <w:lang w:val="en-US" w:eastAsia="zh-CN"/>
              </w:rPr>
              <w:t xml:space="preserve">  </w:t>
            </w:r>
            <w:r>
              <w:rPr>
                <w:rStyle w:val="26"/>
                <w:rFonts w:hint="default" w:ascii="Times New Roman" w:hAnsi="Times New Roman" w:cs="Times New Roman"/>
                <w:color w:val="auto"/>
                <w:sz w:val="21"/>
                <w:szCs w:val="21"/>
                <w:highlight w:val="none"/>
                <w:lang w:val="en-US" w:eastAsia="zh-CN"/>
              </w:rPr>
              <w:t>单位：dB</w:t>
            </w:r>
            <w:r>
              <w:rPr>
                <w:rStyle w:val="26"/>
                <w:rFonts w:hint="eastAsia" w:cs="Times New Roman"/>
                <w:color w:val="auto"/>
                <w:sz w:val="21"/>
                <w:szCs w:val="21"/>
                <w:highlight w:val="none"/>
                <w:lang w:val="en-US" w:eastAsia="zh-CN"/>
              </w:rPr>
              <w:t>（</w:t>
            </w:r>
            <w:r>
              <w:rPr>
                <w:rStyle w:val="26"/>
                <w:rFonts w:hint="default" w:ascii="Times New Roman" w:hAnsi="Times New Roman" w:cs="Times New Roman"/>
                <w:color w:val="auto"/>
                <w:sz w:val="21"/>
                <w:szCs w:val="21"/>
                <w:highlight w:val="none"/>
                <w:lang w:val="en-US" w:eastAsia="zh-CN"/>
              </w:rPr>
              <w:t>A</w:t>
            </w:r>
            <w:r>
              <w:rPr>
                <w:rStyle w:val="26"/>
                <w:rFonts w:hint="eastAsia" w:cs="Times New Roman"/>
                <w:color w:val="auto"/>
                <w:sz w:val="21"/>
                <w:szCs w:val="21"/>
                <w:highlight w:val="none"/>
                <w:lang w:val="en-US" w:eastAsia="zh-CN"/>
              </w:rPr>
              <w:t>）</w:t>
            </w:r>
          </w:p>
          <w:bookmarkEnd w:id="6"/>
          <w:bookmarkEnd w:id="7"/>
          <w:bookmarkEnd w:id="8"/>
          <w:bookmarkEnd w:id="9"/>
          <w:bookmarkEnd w:id="10"/>
          <w:tbl>
            <w:tblPr>
              <w:tblStyle w:val="14"/>
              <w:tblW w:w="8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5206"/>
              <w:gridCol w:w="906"/>
              <w:gridCol w:w="906"/>
            </w:tblGrid>
            <w:tr w14:paraId="40122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001" w:type="dxa"/>
                  <w:vMerge w:val="restart"/>
                  <w:vAlign w:val="center"/>
                </w:tcPr>
                <w:p w14:paraId="61BD165F">
                  <w:pPr>
                    <w:spacing w:line="240" w:lineRule="atLeas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val="en-US" w:eastAsia="zh-CN"/>
                    </w:rPr>
                    <w:t>施工期</w:t>
                  </w:r>
                </w:p>
              </w:tc>
              <w:tc>
                <w:tcPr>
                  <w:tcW w:w="5206" w:type="dxa"/>
                  <w:vMerge w:val="restart"/>
                  <w:vAlign w:val="center"/>
                </w:tcPr>
                <w:p w14:paraId="455CE810">
                  <w:pPr>
                    <w:spacing w:line="24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建筑施工场界环境噪声排放标准</w:t>
                  </w:r>
                  <w:r>
                    <w:rPr>
                      <w:rFonts w:hint="default" w:ascii="Times New Roman" w:hAnsi="Times New Roman" w:cs="Times New Roman"/>
                      <w:color w:val="auto"/>
                      <w:highlight w:val="none"/>
                      <w:lang w:val="en-US" w:eastAsia="zh-CN"/>
                    </w:rPr>
                    <w:t>》（GB12523-2011）</w:t>
                  </w:r>
                </w:p>
              </w:tc>
              <w:tc>
                <w:tcPr>
                  <w:tcW w:w="906" w:type="dxa"/>
                  <w:vAlign w:val="center"/>
                </w:tcPr>
                <w:p w14:paraId="641C3753">
                  <w:pPr>
                    <w:spacing w:line="240" w:lineRule="atLeas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昼间</w:t>
                  </w:r>
                </w:p>
              </w:tc>
              <w:tc>
                <w:tcPr>
                  <w:tcW w:w="906" w:type="dxa"/>
                  <w:vAlign w:val="center"/>
                </w:tcPr>
                <w:p w14:paraId="6FF1B8BF">
                  <w:pPr>
                    <w:spacing w:line="240" w:lineRule="atLeas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夜间</w:t>
                  </w:r>
                </w:p>
              </w:tc>
            </w:tr>
            <w:tr w14:paraId="6AE7A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001" w:type="dxa"/>
                  <w:vMerge w:val="continue"/>
                  <w:vAlign w:val="center"/>
                </w:tcPr>
                <w:p w14:paraId="1E3386F7">
                  <w:pPr>
                    <w:spacing w:line="240" w:lineRule="atLeast"/>
                    <w:jc w:val="center"/>
                    <w:rPr>
                      <w:color w:val="auto"/>
                      <w:highlight w:val="none"/>
                    </w:rPr>
                  </w:pPr>
                </w:p>
              </w:tc>
              <w:tc>
                <w:tcPr>
                  <w:tcW w:w="5206" w:type="dxa"/>
                  <w:vMerge w:val="continue"/>
                  <w:vAlign w:val="center"/>
                </w:tcPr>
                <w:p w14:paraId="1607423B">
                  <w:pPr>
                    <w:spacing w:line="240" w:lineRule="atLeast"/>
                    <w:jc w:val="center"/>
                    <w:rPr>
                      <w:color w:val="auto"/>
                      <w:highlight w:val="none"/>
                    </w:rPr>
                  </w:pPr>
                </w:p>
              </w:tc>
              <w:tc>
                <w:tcPr>
                  <w:tcW w:w="906" w:type="dxa"/>
                  <w:vAlign w:val="center"/>
                </w:tcPr>
                <w:p w14:paraId="3C63B725">
                  <w:pPr>
                    <w:spacing w:line="240" w:lineRule="atLeast"/>
                    <w:jc w:val="center"/>
                    <w:rPr>
                      <w:rFonts w:hint="default" w:eastAsia="宋体"/>
                      <w:color w:val="auto"/>
                      <w:highlight w:val="none"/>
                      <w:lang w:val="en-US" w:eastAsia="zh-CN"/>
                    </w:rPr>
                  </w:pPr>
                  <w:r>
                    <w:rPr>
                      <w:rFonts w:hint="eastAsia"/>
                      <w:color w:val="auto"/>
                      <w:highlight w:val="none"/>
                      <w:lang w:val="en-US" w:eastAsia="zh-CN"/>
                    </w:rPr>
                    <w:t>70</w:t>
                  </w:r>
                </w:p>
              </w:tc>
              <w:tc>
                <w:tcPr>
                  <w:tcW w:w="906" w:type="dxa"/>
                  <w:vAlign w:val="center"/>
                </w:tcPr>
                <w:p w14:paraId="389E7B96">
                  <w:pPr>
                    <w:spacing w:line="240" w:lineRule="atLeast"/>
                    <w:jc w:val="center"/>
                    <w:rPr>
                      <w:rFonts w:hint="default" w:eastAsia="宋体"/>
                      <w:color w:val="auto"/>
                      <w:highlight w:val="none"/>
                      <w:lang w:val="en-US" w:eastAsia="zh-CN"/>
                    </w:rPr>
                  </w:pPr>
                  <w:r>
                    <w:rPr>
                      <w:rFonts w:hint="eastAsia"/>
                      <w:color w:val="auto"/>
                      <w:highlight w:val="none"/>
                      <w:lang w:val="en-US" w:eastAsia="zh-CN"/>
                    </w:rPr>
                    <w:t>55</w:t>
                  </w:r>
                </w:p>
              </w:tc>
            </w:tr>
          </w:tbl>
          <w:p w14:paraId="3D22AB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（3）废水：施工期生产废水回用，不外排，生活污水依托附近农户旱厕，定期清掏。</w:t>
            </w:r>
          </w:p>
          <w:p w14:paraId="19AD6C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auto"/>
                <w:lang w:val="en-US" w:eastAsia="zh-CN"/>
              </w:rPr>
            </w:pPr>
            <w:r>
              <w:rPr>
                <w:rFonts w:hint="default" w:ascii="Times New Roman" w:hAnsi="Times New Roman" w:eastAsia="宋体" w:cs="Times New Roman"/>
                <w:color w:val="auto"/>
                <w:kern w:val="0"/>
                <w:sz w:val="24"/>
                <w:szCs w:val="24"/>
                <w:highlight w:val="none"/>
              </w:rPr>
              <w:t>（4）固体废物：本项目施工期和运营期一般固体废物执行《一般工业固体废物贮存和填埋污染控制标准》</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GB18599-2020</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的有关规定。</w:t>
            </w:r>
          </w:p>
        </w:tc>
      </w:tr>
      <w:tr w14:paraId="2B9E2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93" w:hRule="atLeast"/>
          <w:jc w:val="center"/>
        </w:trPr>
        <w:tc>
          <w:tcPr>
            <w:tcW w:w="855" w:type="dxa"/>
            <w:tcBorders>
              <w:tl2br w:val="nil"/>
              <w:tr2bl w:val="nil"/>
            </w:tcBorders>
            <w:noWrap w:val="0"/>
            <w:vAlign w:val="center"/>
          </w:tcPr>
          <w:p w14:paraId="56FE14DC">
            <w:pPr>
              <w:adjustRightInd w:val="0"/>
              <w:snapToGrid w:val="0"/>
              <w:jc w:val="center"/>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其他</w:t>
            </w:r>
          </w:p>
        </w:tc>
        <w:tc>
          <w:tcPr>
            <w:tcW w:w="8302" w:type="dxa"/>
            <w:tcBorders>
              <w:tl2br w:val="nil"/>
              <w:tr2bl w:val="nil"/>
            </w:tcBorders>
            <w:noWrap w:val="0"/>
            <w:vAlign w:val="center"/>
          </w:tcPr>
          <w:p w14:paraId="5FD73D9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无</w:t>
            </w:r>
          </w:p>
        </w:tc>
      </w:tr>
    </w:tbl>
    <w:p w14:paraId="160321FA">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30F7F8B">
      <w:pPr>
        <w:pStyle w:val="13"/>
        <w:keepNext w:val="0"/>
        <w:keepLines w:val="0"/>
        <w:pageBreakBefore w:val="0"/>
        <w:widowControl/>
        <w:kinsoku/>
        <w:wordWrap/>
        <w:overflowPunct/>
        <w:topLinePunct w:val="0"/>
        <w:autoSpaceDE/>
        <w:autoSpaceDN/>
        <w:bidi w:val="0"/>
        <w:adjustRightInd/>
        <w:snapToGrid w:val="0"/>
        <w:spacing w:before="0" w:beforeAutospacing="0" w:after="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11" w:name="_Toc21522"/>
      <w:r>
        <w:rPr>
          <w:rFonts w:hint="default" w:ascii="Times New Roman" w:hAnsi="Times New Roman" w:eastAsia="黑体" w:cs="Times New Roman"/>
          <w:snapToGrid w:val="0"/>
          <w:color w:val="auto"/>
          <w:sz w:val="30"/>
          <w:szCs w:val="30"/>
          <w:highlight w:val="none"/>
        </w:rPr>
        <w:t>四、生态环境影响分析</w:t>
      </w:r>
      <w:bookmarkEnd w:id="11"/>
    </w:p>
    <w:tbl>
      <w:tblPr>
        <w:tblStyle w:val="14"/>
        <w:tblW w:w="93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2172D7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9" w:type="dxa"/>
            <w:tcBorders>
              <w:tl2br w:val="nil"/>
              <w:tr2bl w:val="nil"/>
            </w:tcBorders>
            <w:noWrap w:val="0"/>
            <w:tcMar>
              <w:left w:w="28" w:type="dxa"/>
              <w:right w:w="28" w:type="dxa"/>
            </w:tcMar>
            <w:vAlign w:val="center"/>
          </w:tcPr>
          <w:p w14:paraId="47A43BCF">
            <w:pPr>
              <w:pStyle w:val="13"/>
              <w:adjustRightInd w:val="0"/>
              <w:snapToGrid w:val="0"/>
              <w:spacing w:before="0" w:beforeAutospacing="0" w:after="0" w:afterAutospacing="0"/>
              <w:jc w:val="center"/>
              <w:rPr>
                <w:rFonts w:hint="default" w:ascii="Times New Roman" w:hAnsi="Times New Roman" w:cs="Times New Roman"/>
                <w:bCs/>
                <w:color w:val="auto"/>
                <w:kern w:val="2"/>
                <w:sz w:val="24"/>
                <w:szCs w:val="24"/>
                <w:highlight w:val="none"/>
              </w:rPr>
            </w:pPr>
            <w:bookmarkStart w:id="12" w:name="_Hlk49796138"/>
            <w:r>
              <w:rPr>
                <w:rFonts w:hint="default" w:ascii="Times New Roman" w:hAnsi="Times New Roman" w:cs="Times New Roman"/>
                <w:bCs/>
                <w:color w:val="auto"/>
                <w:spacing w:val="10"/>
                <w:kern w:val="2"/>
                <w:sz w:val="24"/>
                <w:szCs w:val="24"/>
                <w:highlight w:val="none"/>
              </w:rPr>
              <w:t>施工期生态环境影响分析</w:t>
            </w:r>
            <w:bookmarkEnd w:id="12"/>
          </w:p>
        </w:tc>
        <w:tc>
          <w:tcPr>
            <w:tcW w:w="8363" w:type="dxa"/>
            <w:tcBorders>
              <w:tl2br w:val="nil"/>
              <w:tr2bl w:val="nil"/>
            </w:tcBorders>
            <w:noWrap w:val="0"/>
            <w:vAlign w:val="top"/>
          </w:tcPr>
          <w:p w14:paraId="56FFE30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highlight w:val="none"/>
                <w:lang w:val="en-US" w:eastAsia="zh-CN"/>
              </w:rPr>
              <w:t>生态环境影响</w:t>
            </w:r>
          </w:p>
          <w:p w14:paraId="6A9AF2B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eastAsia" w:eastAsia="宋体" w:cs="Times New Roman"/>
                <w:b/>
                <w:bCs/>
                <w:color w:val="auto"/>
                <w:sz w:val="24"/>
                <w:szCs w:val="24"/>
                <w:highlight w:val="none"/>
                <w:lang w:val="en-US" w:eastAsia="zh-CN"/>
              </w:rPr>
              <w:t>废渣堆场施工区（4处渣堆本体治理范围）</w:t>
            </w:r>
          </w:p>
          <w:p w14:paraId="14AF94E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eastAsia" w:eastAsia="宋体" w:cs="Times New Roman"/>
                <w:color w:val="auto"/>
                <w:sz w:val="24"/>
                <w:szCs w:val="24"/>
                <w:highlight w:val="none"/>
                <w:lang w:val="en-US" w:eastAsia="zh-CN"/>
              </w:rPr>
              <w:t>扰动范围：原有废渣堆占地7207.51</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2</w:t>
            </w:r>
            <w:r>
              <w:rPr>
                <w:rFonts w:hint="eastAsia" w:eastAsia="宋体" w:cs="Times New Roman"/>
                <w:color w:val="auto"/>
                <w:sz w:val="24"/>
                <w:szCs w:val="24"/>
                <w:highlight w:val="none"/>
                <w:lang w:val="en-US" w:eastAsia="zh-CN"/>
              </w:rPr>
              <w:t>，仅在原有堆体红线内作业，不向外扩挖原生山体林地。</w:t>
            </w:r>
          </w:p>
          <w:p w14:paraId="2E00EED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eastAsia" w:eastAsia="宋体" w:cs="Times New Roman"/>
                <w:color w:val="auto"/>
                <w:sz w:val="24"/>
                <w:szCs w:val="24"/>
                <w:highlight w:val="none"/>
                <w:lang w:val="en-US" w:eastAsia="zh-CN"/>
              </w:rPr>
              <w:t>生态破坏形式：①削坡整形工序剥离表层少量残存覆土、零星原生杂草，局部坡面短期完全裸露，加剧短时水土流失；②机械碾压扰动渣体表层松散矿渣，降雨易形成坡面冲刷，短暂扩大区域面源污染；③施工临时堆料、防渗膜临时堆放占用局部已自然恢复的稀疏灌草斑块。</w:t>
            </w:r>
          </w:p>
          <w:p w14:paraId="7CEF8D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eastAsia" w:eastAsia="宋体" w:cs="Times New Roman"/>
                <w:color w:val="auto"/>
                <w:sz w:val="24"/>
                <w:szCs w:val="24"/>
                <w:highlight w:val="none"/>
                <w:lang w:val="en-US" w:eastAsia="zh-CN"/>
              </w:rPr>
              <w:t>生态风险：渣体无植被缓冲，暴雨易产生含重金属泥沙径流汇入支沟，短期破坏沟道小型草本生境。</w:t>
            </w:r>
          </w:p>
          <w:p w14:paraId="5E9A57F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w:t>
            </w:r>
            <w:r>
              <w:rPr>
                <w:rFonts w:hint="eastAsia" w:eastAsia="宋体" w:cs="Times New Roman"/>
                <w:b/>
                <w:bCs/>
                <w:color w:val="auto"/>
                <w:sz w:val="24"/>
                <w:szCs w:val="24"/>
                <w:highlight w:val="none"/>
                <w:lang w:val="en-US" w:eastAsia="zh-CN"/>
              </w:rPr>
              <w:t>取土场（陈家取土场）</w:t>
            </w:r>
          </w:p>
          <w:p w14:paraId="051D3F2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eastAsia" w:eastAsia="宋体" w:cs="Times New Roman"/>
                <w:color w:val="auto"/>
                <w:sz w:val="24"/>
                <w:szCs w:val="24"/>
                <w:highlight w:val="none"/>
                <w:lang w:val="en-US" w:eastAsia="zh-CN"/>
              </w:rPr>
              <w:t>扰动范围：取土开挖区域，占地约13000</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2</w:t>
            </w:r>
            <w:r>
              <w:rPr>
                <w:rFonts w:hint="eastAsia" w:eastAsia="宋体" w:cs="Times New Roman"/>
                <w:color w:val="auto"/>
                <w:sz w:val="24"/>
                <w:szCs w:val="24"/>
                <w:highlight w:val="none"/>
                <w:lang w:val="en-US" w:eastAsia="zh-CN"/>
              </w:rPr>
              <w:t>，土源为荒坡黄褐土，无成片乔木。</w:t>
            </w:r>
          </w:p>
          <w:p w14:paraId="4DE97CA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eastAsia" w:eastAsia="宋体" w:cs="Times New Roman"/>
                <w:color w:val="auto"/>
                <w:sz w:val="24"/>
                <w:szCs w:val="24"/>
                <w:highlight w:val="none"/>
                <w:lang w:val="en-US" w:eastAsia="zh-CN"/>
              </w:rPr>
              <w:t>生态破坏形式：①表层腐殖土剥离，原生草本、低矮灌木完全清除，形成开挖裸露边坡；②取土开挖形成新陡坡，临时无植被覆盖，水土流失风险显著提升；③土方装卸、运输扬尘覆盖周边植被叶面，抑制植物光合作用。</w:t>
            </w:r>
          </w:p>
          <w:p w14:paraId="4BD7F0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eastAsia" w:eastAsia="宋体" w:cs="Times New Roman"/>
                <w:color w:val="auto"/>
                <w:sz w:val="24"/>
                <w:szCs w:val="24"/>
                <w:highlight w:val="none"/>
                <w:lang w:val="en-US" w:eastAsia="zh-CN"/>
              </w:rPr>
              <w:t>生态风险：开挖边坡无临时截排，雨水冲刷携带泥沙汇入下方林地、小型冲沟。</w:t>
            </w:r>
          </w:p>
          <w:p w14:paraId="3FD3A2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b/>
                <w:bCs/>
                <w:color w:val="auto"/>
                <w:sz w:val="24"/>
                <w:szCs w:val="24"/>
                <w:highlight w:val="none"/>
                <w:lang w:val="en-US" w:eastAsia="zh-CN"/>
              </w:rPr>
              <w:t>3.</w:t>
            </w:r>
            <w:r>
              <w:rPr>
                <w:rFonts w:hint="eastAsia" w:eastAsia="宋体" w:cs="Times New Roman"/>
                <w:b/>
                <w:bCs/>
                <w:color w:val="auto"/>
                <w:sz w:val="24"/>
                <w:szCs w:val="24"/>
                <w:highlight w:val="none"/>
                <w:lang w:val="en-US" w:eastAsia="zh-CN"/>
              </w:rPr>
              <w:t>进场临时施工道路（总长1270m，宽4m）</w:t>
            </w:r>
          </w:p>
          <w:p w14:paraId="09F45EC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eastAsia" w:eastAsia="宋体" w:cs="Times New Roman"/>
                <w:color w:val="auto"/>
                <w:sz w:val="24"/>
                <w:szCs w:val="24"/>
                <w:highlight w:val="none"/>
                <w:lang w:val="en-US" w:eastAsia="zh-CN"/>
              </w:rPr>
              <w:t>扰动范围：道路全线占用原有荒坡、废弃采矿便道，不穿越成片公益林地。</w:t>
            </w:r>
          </w:p>
          <w:p w14:paraId="0729EF1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eastAsia" w:eastAsia="宋体" w:cs="Times New Roman"/>
                <w:color w:val="auto"/>
                <w:sz w:val="24"/>
                <w:szCs w:val="24"/>
                <w:highlight w:val="none"/>
                <w:lang w:val="en-US" w:eastAsia="zh-CN"/>
              </w:rPr>
              <w:t>生态破坏形式：①路基开挖、碎石铺垫碾压破坏道路沿线带状草本植被；②车辆行驶扬尘长期沉降道路两侧植物；③道路边坡开挖形成裸露断面，易产生坡面细沟侵蚀。</w:t>
            </w:r>
          </w:p>
          <w:p w14:paraId="221FE14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eastAsia" w:eastAsia="宋体" w:cs="Times New Roman"/>
                <w:color w:val="auto"/>
                <w:sz w:val="24"/>
                <w:szCs w:val="24"/>
                <w:highlight w:val="none"/>
                <w:lang w:val="en-US" w:eastAsia="zh-CN"/>
              </w:rPr>
              <w:t>生态风险：雨天路面泥沙径流沿路侧坡下泄，扰动下层林地土壤</w:t>
            </w:r>
            <w:r>
              <w:rPr>
                <w:rFonts w:hint="eastAsia" w:cs="Times New Roman"/>
                <w:color w:val="auto"/>
                <w:sz w:val="24"/>
                <w:szCs w:val="24"/>
                <w:highlight w:val="none"/>
                <w:lang w:val="en-US" w:eastAsia="zh-CN"/>
              </w:rPr>
              <w:t>。</w:t>
            </w:r>
          </w:p>
          <w:p w14:paraId="0A34F2A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eastAsia="宋体" w:cs="Times New Roman"/>
                <w:b/>
                <w:bCs/>
                <w:color w:val="auto"/>
                <w:sz w:val="24"/>
                <w:szCs w:val="24"/>
                <w:highlight w:val="none"/>
                <w:lang w:val="en-US" w:eastAsia="zh-CN"/>
              </w:rPr>
              <w:t>大气环境影响分析</w:t>
            </w:r>
          </w:p>
          <w:p w14:paraId="7FE5977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本项目场地施工活动对环境空气的影响主要是基础建筑材料运输、卸载中的扬尘，临时物料堆场和裸露地表产生的风蚀扬尘以及建材运输车辆、施工车辆排放尾气等。</w:t>
            </w:r>
          </w:p>
          <w:p w14:paraId="126CE55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施工扬尘</w:t>
            </w:r>
          </w:p>
          <w:p w14:paraId="22FCC6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施工扬尘污染主要来源于土方的挖掘、堆放、回填和清运过程</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建筑材料运输、装卸、堆放过程</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各种施工车辆运输过程</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施工垃圾堆放和清运过程以及场地平整、道路施工过</w:t>
            </w:r>
            <w:r>
              <w:rPr>
                <w:rFonts w:hint="eastAsia" w:cs="Times New Roman"/>
                <w:color w:val="auto"/>
                <w:sz w:val="24"/>
                <w:szCs w:val="24"/>
                <w:highlight w:val="none"/>
                <w:lang w:val="en-US" w:eastAsia="zh-CN"/>
              </w:rPr>
              <w:t>程中</w:t>
            </w:r>
            <w:r>
              <w:rPr>
                <w:rFonts w:hint="default" w:ascii="Times New Roman" w:hAnsi="Times New Roman" w:eastAsia="宋体" w:cs="Times New Roman"/>
                <w:color w:val="auto"/>
                <w:sz w:val="24"/>
                <w:szCs w:val="24"/>
                <w:highlight w:val="none"/>
                <w:lang w:val="en-US" w:eastAsia="zh-CN"/>
              </w:rPr>
              <w:t>产生的扬尘。施工现场周围粉尘浓度与源强大小及源强距离有关，其中风速越大，颗粒越小，原料土沙的含水率越小，扬尘的产生量就越大。同时，距离不同，扬尘污染影响程度亦不同。在一般气象条件下，施工扬尘的影响范围主要为其下风向200m范围内。</w:t>
            </w:r>
          </w:p>
          <w:p w14:paraId="605B0A9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在一般气象条件下，施工扬尘的影响范围主要为其下风向200m范围内。根据已建类似工程实际调查资料，见下表。</w:t>
            </w:r>
          </w:p>
          <w:p w14:paraId="5A52D713">
            <w:pPr>
              <w:tabs>
                <w:tab w:val="left" w:pos="4813"/>
              </w:tabs>
              <w:jc w:val="center"/>
              <w:rPr>
                <w:b/>
                <w:color w:val="auto"/>
                <w:szCs w:val="21"/>
                <w:highlight w:val="none"/>
              </w:rPr>
            </w:pPr>
            <w:r>
              <w:rPr>
                <w:rFonts w:eastAsia="新宋体"/>
                <w:b/>
                <w:color w:val="auto"/>
                <w:szCs w:val="21"/>
                <w:highlight w:val="none"/>
              </w:rPr>
              <w:t>表4-1  施工现场扬尘（TSP）对环境的污染状况表</w:t>
            </w:r>
          </w:p>
          <w:tbl>
            <w:tblPr>
              <w:tblStyle w:val="14"/>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41"/>
              <w:gridCol w:w="957"/>
              <w:gridCol w:w="957"/>
              <w:gridCol w:w="966"/>
              <w:gridCol w:w="966"/>
              <w:gridCol w:w="966"/>
              <w:gridCol w:w="965"/>
            </w:tblGrid>
            <w:tr w14:paraId="1026C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43" w:type="pct"/>
                  <w:tcBorders>
                    <w:tl2br w:val="nil"/>
                    <w:tr2bl w:val="nil"/>
                  </w:tcBorders>
                  <w:noWrap w:val="0"/>
                  <w:vAlign w:val="center"/>
                </w:tcPr>
                <w:p w14:paraId="4058744C">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工地下风向距离</w:t>
                  </w:r>
                  <w:r>
                    <w:rPr>
                      <w:rFonts w:hint="eastAsia"/>
                      <w:color w:val="auto"/>
                      <w:sz w:val="21"/>
                      <w:szCs w:val="21"/>
                      <w:highlight w:val="none"/>
                    </w:rPr>
                    <w:t>（m）</w:t>
                  </w:r>
                </w:p>
              </w:tc>
              <w:tc>
                <w:tcPr>
                  <w:tcW w:w="589" w:type="pct"/>
                  <w:tcBorders>
                    <w:tl2br w:val="nil"/>
                    <w:tr2bl w:val="nil"/>
                  </w:tcBorders>
                  <w:noWrap w:val="0"/>
                  <w:vAlign w:val="center"/>
                </w:tcPr>
                <w:p w14:paraId="1040BA39">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20</w:t>
                  </w:r>
                </w:p>
              </w:tc>
              <w:tc>
                <w:tcPr>
                  <w:tcW w:w="589" w:type="pct"/>
                  <w:tcBorders>
                    <w:tl2br w:val="nil"/>
                    <w:tr2bl w:val="nil"/>
                  </w:tcBorders>
                  <w:noWrap w:val="0"/>
                  <w:vAlign w:val="center"/>
                </w:tcPr>
                <w:p w14:paraId="0622AE23">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50</w:t>
                  </w:r>
                </w:p>
              </w:tc>
              <w:tc>
                <w:tcPr>
                  <w:tcW w:w="595" w:type="pct"/>
                  <w:tcBorders>
                    <w:tl2br w:val="nil"/>
                    <w:tr2bl w:val="nil"/>
                  </w:tcBorders>
                  <w:noWrap w:val="0"/>
                  <w:vAlign w:val="center"/>
                </w:tcPr>
                <w:p w14:paraId="09894DB0">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100</w:t>
                  </w:r>
                </w:p>
              </w:tc>
              <w:tc>
                <w:tcPr>
                  <w:tcW w:w="595" w:type="pct"/>
                  <w:tcBorders>
                    <w:tl2br w:val="nil"/>
                    <w:tr2bl w:val="nil"/>
                  </w:tcBorders>
                  <w:noWrap w:val="0"/>
                  <w:vAlign w:val="center"/>
                </w:tcPr>
                <w:p w14:paraId="78205086">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150</w:t>
                  </w:r>
                </w:p>
              </w:tc>
              <w:tc>
                <w:tcPr>
                  <w:tcW w:w="595" w:type="pct"/>
                  <w:tcBorders>
                    <w:tl2br w:val="nil"/>
                    <w:tr2bl w:val="nil"/>
                  </w:tcBorders>
                  <w:noWrap w:val="0"/>
                  <w:vAlign w:val="center"/>
                </w:tcPr>
                <w:p w14:paraId="239C73CB">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200</w:t>
                  </w:r>
                </w:p>
              </w:tc>
              <w:tc>
                <w:tcPr>
                  <w:tcW w:w="595" w:type="pct"/>
                  <w:tcBorders>
                    <w:tl2br w:val="nil"/>
                    <w:tr2bl w:val="nil"/>
                  </w:tcBorders>
                  <w:noWrap w:val="0"/>
                  <w:vAlign w:val="center"/>
                </w:tcPr>
                <w:p w14:paraId="2609202B">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300</w:t>
                  </w:r>
                </w:p>
              </w:tc>
            </w:tr>
            <w:tr w14:paraId="79D18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43" w:type="pct"/>
                  <w:tcBorders>
                    <w:tl2br w:val="nil"/>
                    <w:tr2bl w:val="nil"/>
                  </w:tcBorders>
                  <w:noWrap w:val="0"/>
                  <w:vAlign w:val="center"/>
                </w:tcPr>
                <w:p w14:paraId="222644FB">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浓度</w:t>
                  </w:r>
                  <w:r>
                    <w:rPr>
                      <w:rFonts w:hint="eastAsia"/>
                      <w:color w:val="auto"/>
                      <w:sz w:val="21"/>
                      <w:szCs w:val="21"/>
                      <w:highlight w:val="none"/>
                    </w:rPr>
                    <w:t>（</w:t>
                  </w:r>
                  <w:r>
                    <w:rPr>
                      <w:color w:val="auto"/>
                      <w:sz w:val="21"/>
                      <w:szCs w:val="21"/>
                      <w:highlight w:val="none"/>
                    </w:rPr>
                    <w:t>mg/m</w:t>
                  </w:r>
                  <w:r>
                    <w:rPr>
                      <w:color w:val="auto"/>
                      <w:sz w:val="21"/>
                      <w:szCs w:val="21"/>
                      <w:highlight w:val="none"/>
                      <w:vertAlign w:val="superscript"/>
                    </w:rPr>
                    <w:t>3</w:t>
                  </w:r>
                  <w:r>
                    <w:rPr>
                      <w:rFonts w:hint="eastAsia"/>
                      <w:color w:val="auto"/>
                      <w:sz w:val="21"/>
                      <w:szCs w:val="21"/>
                      <w:highlight w:val="none"/>
                    </w:rPr>
                    <w:t>）</w:t>
                  </w:r>
                </w:p>
              </w:tc>
              <w:tc>
                <w:tcPr>
                  <w:tcW w:w="589" w:type="pct"/>
                  <w:tcBorders>
                    <w:tl2br w:val="nil"/>
                    <w:tr2bl w:val="nil"/>
                  </w:tcBorders>
                  <w:noWrap w:val="0"/>
                  <w:vAlign w:val="center"/>
                </w:tcPr>
                <w:p w14:paraId="745385CC">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1.303</w:t>
                  </w:r>
                </w:p>
              </w:tc>
              <w:tc>
                <w:tcPr>
                  <w:tcW w:w="589" w:type="pct"/>
                  <w:tcBorders>
                    <w:tl2br w:val="nil"/>
                    <w:tr2bl w:val="nil"/>
                  </w:tcBorders>
                  <w:noWrap w:val="0"/>
                  <w:vAlign w:val="center"/>
                </w:tcPr>
                <w:p w14:paraId="7A4579F8">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0.722</w:t>
                  </w:r>
                </w:p>
              </w:tc>
              <w:tc>
                <w:tcPr>
                  <w:tcW w:w="595" w:type="pct"/>
                  <w:tcBorders>
                    <w:tl2br w:val="nil"/>
                    <w:tr2bl w:val="nil"/>
                  </w:tcBorders>
                  <w:noWrap w:val="0"/>
                  <w:vAlign w:val="center"/>
                </w:tcPr>
                <w:p w14:paraId="0B373EBF">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0.402</w:t>
                  </w:r>
                </w:p>
              </w:tc>
              <w:tc>
                <w:tcPr>
                  <w:tcW w:w="595" w:type="pct"/>
                  <w:tcBorders>
                    <w:tl2br w:val="nil"/>
                    <w:tr2bl w:val="nil"/>
                  </w:tcBorders>
                  <w:noWrap w:val="0"/>
                  <w:vAlign w:val="center"/>
                </w:tcPr>
                <w:p w14:paraId="3D01D70F">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0.311</w:t>
                  </w:r>
                </w:p>
              </w:tc>
              <w:tc>
                <w:tcPr>
                  <w:tcW w:w="595" w:type="pct"/>
                  <w:tcBorders>
                    <w:tl2br w:val="nil"/>
                    <w:tr2bl w:val="nil"/>
                  </w:tcBorders>
                  <w:noWrap w:val="0"/>
                  <w:vAlign w:val="center"/>
                </w:tcPr>
                <w:p w14:paraId="37B6EBE5">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0.270</w:t>
                  </w:r>
                </w:p>
              </w:tc>
              <w:tc>
                <w:tcPr>
                  <w:tcW w:w="595" w:type="pct"/>
                  <w:tcBorders>
                    <w:tl2br w:val="nil"/>
                    <w:tr2bl w:val="nil"/>
                  </w:tcBorders>
                  <w:noWrap w:val="0"/>
                  <w:vAlign w:val="center"/>
                </w:tcPr>
                <w:p w14:paraId="4B8E856F">
                  <w:pPr>
                    <w:keepNext w:val="0"/>
                    <w:keepLines w:val="0"/>
                    <w:pageBreakBefore w:val="0"/>
                    <w:widowControl w:val="0"/>
                    <w:kinsoku/>
                    <w:wordWrap/>
                    <w:overflowPunct/>
                    <w:topLinePunct w:val="0"/>
                    <w:autoSpaceDE/>
                    <w:autoSpaceDN/>
                    <w:bidi w:val="0"/>
                    <w:adjustRightInd/>
                    <w:snapToGrid w:val="0"/>
                    <w:jc w:val="center"/>
                    <w:textAlignment w:val="auto"/>
                    <w:rPr>
                      <w:color w:val="auto"/>
                      <w:sz w:val="21"/>
                      <w:szCs w:val="21"/>
                      <w:highlight w:val="none"/>
                    </w:rPr>
                  </w:pPr>
                  <w:r>
                    <w:rPr>
                      <w:color w:val="auto"/>
                      <w:sz w:val="21"/>
                      <w:szCs w:val="21"/>
                      <w:highlight w:val="none"/>
                    </w:rPr>
                    <w:t>0.210</w:t>
                  </w:r>
                </w:p>
              </w:tc>
            </w:tr>
          </w:tbl>
          <w:p w14:paraId="2F0B0A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由上表可知，项目施工扬尘主要影响在周边200m范围内，在60m处可满足《施工场界扬尘排放限值》</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DB61/1078-2017</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中无组织粉尘浓度最高点浓度限值。</w:t>
            </w:r>
          </w:p>
          <w:p w14:paraId="0EEABBC0">
            <w:pPr>
              <w:snapToGrid w:val="0"/>
              <w:spacing w:before="120" w:beforeLines="50" w:line="360" w:lineRule="auto"/>
              <w:ind w:firstLine="480" w:firstLineChars="200"/>
              <w:rPr>
                <w:rFonts w:eastAsia="新宋体"/>
                <w:color w:val="auto"/>
                <w:sz w:val="24"/>
                <w:highlight w:val="none"/>
              </w:rPr>
            </w:pPr>
            <w:r>
              <w:rPr>
                <w:rFonts w:hint="eastAsia" w:eastAsia="新宋体"/>
                <w:color w:val="auto"/>
                <w:sz w:val="24"/>
                <w:highlight w:val="none"/>
                <w:lang w:val="en-US" w:eastAsia="zh-CN"/>
              </w:rPr>
              <w:t>2.</w:t>
            </w:r>
            <w:r>
              <w:rPr>
                <w:rFonts w:eastAsia="新宋体"/>
                <w:color w:val="auto"/>
                <w:sz w:val="24"/>
                <w:highlight w:val="none"/>
              </w:rPr>
              <w:t>运输扬尘</w:t>
            </w:r>
          </w:p>
          <w:p w14:paraId="36272430">
            <w:pPr>
              <w:snapToGrid w:val="0"/>
              <w:spacing w:line="360" w:lineRule="auto"/>
              <w:ind w:firstLine="480" w:firstLineChars="200"/>
              <w:rPr>
                <w:rFonts w:eastAsia="新宋体"/>
                <w:color w:val="auto"/>
                <w:sz w:val="24"/>
                <w:highlight w:val="none"/>
              </w:rPr>
            </w:pPr>
            <w:r>
              <w:rPr>
                <w:rFonts w:hint="eastAsia" w:eastAsia="新宋体"/>
                <w:color w:val="auto"/>
                <w:sz w:val="24"/>
                <w:highlight w:val="none"/>
              </w:rPr>
              <w:t>物料运输过程中车辆沿途洒落于道路上的废渣，以及沉积在道路上</w:t>
            </w:r>
            <w:r>
              <w:rPr>
                <w:rFonts w:hint="eastAsia" w:eastAsia="新宋体"/>
                <w:color w:val="auto"/>
                <w:sz w:val="24"/>
                <w:highlight w:val="none"/>
                <w:lang w:eastAsia="zh-CN"/>
              </w:rPr>
              <w:t>其他</w:t>
            </w:r>
            <w:r>
              <w:rPr>
                <w:rFonts w:hint="eastAsia" w:eastAsia="新宋体"/>
                <w:color w:val="auto"/>
                <w:sz w:val="24"/>
                <w:highlight w:val="none"/>
              </w:rPr>
              <w:t>排放源排放的颗粒物，经来往车辆碾压后也会导致粒径较小的颗粒物进入空气，形成二次扬尘，会给施工场地周围和施工运输沿线的敏感目标大气环境带来一定程度的污染。车辆在行驶过程中产生的扬尘，在完全干燥的情况下，可按下列经验公式计算</w:t>
            </w:r>
            <w:r>
              <w:rPr>
                <w:rFonts w:eastAsia="新宋体"/>
                <w:color w:val="auto"/>
                <w:sz w:val="24"/>
                <w:highlight w:val="none"/>
              </w:rPr>
              <w:t>：</w:t>
            </w:r>
          </w:p>
          <w:p w14:paraId="7E9B5432">
            <w:pPr>
              <w:snapToGrid w:val="0"/>
              <w:spacing w:line="360" w:lineRule="auto"/>
              <w:ind w:firstLine="480" w:firstLineChars="200"/>
              <w:jc w:val="center"/>
              <w:rPr>
                <w:rFonts w:eastAsia="等线 Light"/>
                <w:color w:val="auto"/>
                <w:sz w:val="24"/>
                <w:highlight w:val="none"/>
              </w:rPr>
            </w:pPr>
            <w:r>
              <w:rPr>
                <w:color w:val="auto"/>
                <w:sz w:val="24"/>
                <w:highlight w:val="none"/>
              </w:rPr>
              <w:t>Q=0.123</w:t>
            </w:r>
            <w:r>
              <w:rPr>
                <w:rFonts w:hint="eastAsia"/>
                <w:color w:val="auto"/>
                <w:sz w:val="24"/>
                <w:highlight w:val="none"/>
                <w:lang w:eastAsia="zh-CN"/>
              </w:rPr>
              <w:t>（</w:t>
            </w:r>
            <w:r>
              <w:rPr>
                <w:color w:val="auto"/>
                <w:sz w:val="24"/>
                <w:highlight w:val="none"/>
              </w:rPr>
              <w:t>V/5</w:t>
            </w:r>
            <w:r>
              <w:rPr>
                <w:rFonts w:hint="eastAsia"/>
                <w:color w:val="auto"/>
                <w:sz w:val="24"/>
                <w:highlight w:val="none"/>
                <w:lang w:eastAsia="zh-CN"/>
              </w:rPr>
              <w:t>）</w:t>
            </w:r>
            <w:r>
              <w:rPr>
                <w:rFonts w:hint="eastAsia"/>
                <w:color w:val="auto"/>
                <w:sz w:val="24"/>
                <w:highlight w:val="none"/>
                <w:lang w:val="en-US" w:eastAsia="zh-CN"/>
              </w:rPr>
              <w:t>*（</w:t>
            </w:r>
            <w:r>
              <w:rPr>
                <w:color w:val="auto"/>
                <w:sz w:val="24"/>
                <w:highlight w:val="none"/>
              </w:rPr>
              <w:t>W/6.8</w:t>
            </w:r>
            <w:r>
              <w:rPr>
                <w:rFonts w:hint="eastAsia"/>
                <w:color w:val="auto"/>
                <w:sz w:val="24"/>
                <w:highlight w:val="none"/>
                <w:lang w:eastAsia="zh-CN"/>
              </w:rPr>
              <w:t>）</w:t>
            </w:r>
            <w:r>
              <w:rPr>
                <w:color w:val="auto"/>
                <w:sz w:val="24"/>
                <w:highlight w:val="none"/>
                <w:vertAlign w:val="superscript"/>
              </w:rPr>
              <w:t>0.85</w:t>
            </w:r>
            <w:r>
              <w:rPr>
                <w:rFonts w:hint="eastAsia"/>
                <w:color w:val="auto"/>
                <w:sz w:val="24"/>
                <w:highlight w:val="none"/>
                <w:vertAlign w:val="baseline"/>
                <w:lang w:val="en-US" w:eastAsia="zh-CN"/>
              </w:rPr>
              <w:t>*（</w:t>
            </w:r>
            <w:r>
              <w:rPr>
                <w:color w:val="auto"/>
                <w:sz w:val="24"/>
                <w:highlight w:val="none"/>
              </w:rPr>
              <w:t>P/0.5</w:t>
            </w:r>
            <w:r>
              <w:rPr>
                <w:rFonts w:hint="eastAsia"/>
                <w:color w:val="auto"/>
                <w:sz w:val="24"/>
                <w:highlight w:val="none"/>
                <w:lang w:eastAsia="zh-CN"/>
              </w:rPr>
              <w:t>）</w:t>
            </w:r>
            <w:r>
              <w:rPr>
                <w:color w:val="auto"/>
                <w:sz w:val="24"/>
                <w:highlight w:val="none"/>
                <w:vertAlign w:val="superscript"/>
              </w:rPr>
              <w:t>0.75</w:t>
            </w:r>
          </w:p>
          <w:p w14:paraId="672CAC1D">
            <w:pPr>
              <w:tabs>
                <w:tab w:val="left" w:pos="4813"/>
              </w:tabs>
              <w:snapToGrid w:val="0"/>
              <w:spacing w:line="360" w:lineRule="auto"/>
              <w:ind w:firstLine="480" w:firstLineChars="200"/>
              <w:rPr>
                <w:rFonts w:eastAsia="新宋体"/>
                <w:color w:val="auto"/>
                <w:sz w:val="24"/>
                <w:highlight w:val="none"/>
              </w:rPr>
            </w:pPr>
            <w:r>
              <w:rPr>
                <w:rFonts w:eastAsia="新宋体"/>
                <w:color w:val="auto"/>
                <w:sz w:val="24"/>
                <w:highlight w:val="none"/>
              </w:rPr>
              <w:t>式中：Q—汽车行驶的扬尘，kg/km·；</w:t>
            </w:r>
          </w:p>
          <w:p w14:paraId="537512DF">
            <w:pPr>
              <w:tabs>
                <w:tab w:val="left" w:pos="4813"/>
              </w:tabs>
              <w:snapToGrid w:val="0"/>
              <w:spacing w:line="360" w:lineRule="auto"/>
              <w:ind w:firstLine="480" w:firstLineChars="200"/>
              <w:rPr>
                <w:rFonts w:eastAsia="新宋体"/>
                <w:color w:val="auto"/>
                <w:sz w:val="24"/>
                <w:highlight w:val="none"/>
              </w:rPr>
            </w:pPr>
            <w:r>
              <w:rPr>
                <w:rFonts w:eastAsia="新宋体"/>
                <w:color w:val="auto"/>
                <w:sz w:val="24"/>
                <w:highlight w:val="none"/>
              </w:rPr>
              <w:t>V—汽车速度，km/hr；</w:t>
            </w:r>
          </w:p>
          <w:p w14:paraId="1BD13027">
            <w:pPr>
              <w:tabs>
                <w:tab w:val="left" w:pos="4813"/>
              </w:tabs>
              <w:snapToGrid w:val="0"/>
              <w:spacing w:line="360" w:lineRule="auto"/>
              <w:ind w:firstLine="480" w:firstLineChars="200"/>
              <w:rPr>
                <w:rFonts w:eastAsia="新宋体"/>
                <w:color w:val="auto"/>
                <w:sz w:val="24"/>
                <w:highlight w:val="none"/>
              </w:rPr>
            </w:pPr>
            <w:r>
              <w:rPr>
                <w:rFonts w:eastAsia="新宋体"/>
                <w:color w:val="auto"/>
                <w:sz w:val="24"/>
                <w:highlight w:val="none"/>
              </w:rPr>
              <w:t>W—汽车载重量，吨；</w:t>
            </w:r>
          </w:p>
          <w:p w14:paraId="4B9539FF">
            <w:pPr>
              <w:tabs>
                <w:tab w:val="left" w:pos="4813"/>
              </w:tabs>
              <w:snapToGrid w:val="0"/>
              <w:spacing w:line="360" w:lineRule="auto"/>
              <w:ind w:firstLine="480" w:firstLineChars="200"/>
              <w:rPr>
                <w:rFonts w:eastAsia="新宋体"/>
                <w:color w:val="auto"/>
                <w:sz w:val="24"/>
                <w:highlight w:val="none"/>
              </w:rPr>
            </w:pPr>
            <w:r>
              <w:rPr>
                <w:rFonts w:eastAsia="新宋体"/>
                <w:color w:val="auto"/>
                <w:sz w:val="24"/>
                <w:highlight w:val="none"/>
              </w:rPr>
              <w:t>P—道路表面粉尘量，kg/m</w:t>
            </w:r>
            <w:r>
              <w:rPr>
                <w:rFonts w:eastAsia="新宋体"/>
                <w:color w:val="auto"/>
                <w:sz w:val="24"/>
                <w:highlight w:val="none"/>
                <w:vertAlign w:val="superscript"/>
              </w:rPr>
              <w:t>2</w:t>
            </w:r>
            <w:r>
              <w:rPr>
                <w:rFonts w:eastAsia="新宋体"/>
                <w:color w:val="auto"/>
                <w:sz w:val="24"/>
                <w:highlight w:val="none"/>
              </w:rPr>
              <w:t>。</w:t>
            </w:r>
          </w:p>
          <w:p w14:paraId="560BA5FE">
            <w:pPr>
              <w:tabs>
                <w:tab w:val="left" w:pos="4813"/>
              </w:tabs>
              <w:snapToGrid w:val="0"/>
              <w:spacing w:line="360" w:lineRule="auto"/>
              <w:ind w:firstLine="480" w:firstLineChars="200"/>
              <w:rPr>
                <w:rFonts w:eastAsia="新宋体"/>
                <w:color w:val="auto"/>
                <w:sz w:val="24"/>
                <w:highlight w:val="none"/>
              </w:rPr>
            </w:pPr>
            <w:r>
              <w:rPr>
                <w:rFonts w:eastAsia="新宋体"/>
                <w:color w:val="auto"/>
                <w:sz w:val="24"/>
                <w:highlight w:val="none"/>
              </w:rPr>
              <w:t>表4-2为一辆10吨卡车，通过一段长度为</w:t>
            </w:r>
            <w:r>
              <w:rPr>
                <w:rFonts w:hint="eastAsia" w:eastAsia="新宋体"/>
                <w:color w:val="auto"/>
                <w:sz w:val="24"/>
                <w:highlight w:val="none"/>
                <w:lang w:val="en-US" w:eastAsia="zh-CN"/>
              </w:rPr>
              <w:t>14</w:t>
            </w:r>
            <w:r>
              <w:rPr>
                <w:rFonts w:eastAsia="新宋体"/>
                <w:color w:val="auto"/>
                <w:sz w:val="24"/>
                <w:highlight w:val="none"/>
              </w:rPr>
              <w:t>km的路面时，不同路面清洁程度，不同行驶速度情况下的扬尘量。</w:t>
            </w:r>
          </w:p>
          <w:p w14:paraId="1CBA2D2A">
            <w:pPr>
              <w:tabs>
                <w:tab w:val="left" w:pos="4813"/>
              </w:tabs>
              <w:jc w:val="center"/>
              <w:rPr>
                <w:rFonts w:eastAsia="新宋体"/>
                <w:b/>
                <w:color w:val="auto"/>
                <w:szCs w:val="21"/>
                <w:highlight w:val="none"/>
              </w:rPr>
            </w:pPr>
          </w:p>
          <w:p w14:paraId="5087C437">
            <w:pPr>
              <w:tabs>
                <w:tab w:val="left" w:pos="4813"/>
              </w:tabs>
              <w:jc w:val="center"/>
              <w:rPr>
                <w:rFonts w:eastAsia="新宋体"/>
                <w:b/>
                <w:color w:val="auto"/>
                <w:szCs w:val="21"/>
                <w:highlight w:val="none"/>
              </w:rPr>
            </w:pPr>
          </w:p>
          <w:p w14:paraId="5E2677B5">
            <w:pPr>
              <w:tabs>
                <w:tab w:val="left" w:pos="4813"/>
              </w:tabs>
              <w:jc w:val="center"/>
              <w:rPr>
                <w:rFonts w:eastAsia="新宋体"/>
                <w:b/>
                <w:color w:val="auto"/>
                <w:szCs w:val="21"/>
                <w:highlight w:val="none"/>
              </w:rPr>
            </w:pPr>
            <w:r>
              <w:rPr>
                <w:rFonts w:eastAsia="新宋体"/>
                <w:b/>
                <w:color w:val="auto"/>
                <w:szCs w:val="21"/>
                <w:highlight w:val="none"/>
              </w:rPr>
              <w:t>表4-2   不同车速和地面清洁程度的汽车扬尘  单位：kg/辆·km</w:t>
            </w:r>
          </w:p>
          <w:tbl>
            <w:tblPr>
              <w:tblStyle w:val="14"/>
              <w:tblW w:w="499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128"/>
              <w:gridCol w:w="1128"/>
              <w:gridCol w:w="1128"/>
              <w:gridCol w:w="1128"/>
              <w:gridCol w:w="1128"/>
              <w:gridCol w:w="1130"/>
            </w:tblGrid>
            <w:tr w14:paraId="198DCE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24" w:type="pct"/>
                  <w:tcBorders>
                    <w:tl2br w:val="nil"/>
                    <w:tr2bl w:val="nil"/>
                  </w:tcBorders>
                  <w:noWrap w:val="0"/>
                  <w:vAlign w:val="center"/>
                </w:tcPr>
                <w:p w14:paraId="7DFBD25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车速</w:t>
                  </w:r>
                </w:p>
              </w:tc>
              <w:tc>
                <w:tcPr>
                  <w:tcW w:w="695" w:type="pct"/>
                  <w:tcBorders>
                    <w:tl2br w:val="nil"/>
                    <w:tr2bl w:val="nil"/>
                  </w:tcBorders>
                  <w:noWrap w:val="0"/>
                  <w:vAlign w:val="center"/>
                </w:tcPr>
                <w:p w14:paraId="44E54048">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color w:val="auto"/>
                      <w:highlight w:val="none"/>
                      <w:vertAlign w:val="baseline"/>
                      <w:lang w:eastAsia="zh-CN"/>
                    </w:rPr>
                  </w:pPr>
                  <w:r>
                    <w:rPr>
                      <w:color w:val="auto"/>
                      <w:highlight w:val="none"/>
                    </w:rPr>
                    <w:t>0.1</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c>
                <w:tcPr>
                  <w:tcW w:w="695" w:type="pct"/>
                  <w:tcBorders>
                    <w:tl2br w:val="nil"/>
                    <w:tr2bl w:val="nil"/>
                  </w:tcBorders>
                  <w:noWrap w:val="0"/>
                  <w:vAlign w:val="center"/>
                </w:tcPr>
                <w:p w14:paraId="55B3CC7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c>
                <w:tcPr>
                  <w:tcW w:w="695" w:type="pct"/>
                  <w:tcBorders>
                    <w:tl2br w:val="nil"/>
                    <w:tr2bl w:val="nil"/>
                  </w:tcBorders>
                  <w:noWrap w:val="0"/>
                  <w:vAlign w:val="center"/>
                </w:tcPr>
                <w:p w14:paraId="6CA19906">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0.3</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c>
                <w:tcPr>
                  <w:tcW w:w="695" w:type="pct"/>
                  <w:tcBorders>
                    <w:tl2br w:val="nil"/>
                    <w:tr2bl w:val="nil"/>
                  </w:tcBorders>
                  <w:noWrap w:val="0"/>
                  <w:vAlign w:val="center"/>
                </w:tcPr>
                <w:p w14:paraId="440A5EAA">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0.4</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c>
                <w:tcPr>
                  <w:tcW w:w="695" w:type="pct"/>
                  <w:tcBorders>
                    <w:tl2br w:val="nil"/>
                    <w:tr2bl w:val="nil"/>
                  </w:tcBorders>
                  <w:noWrap w:val="0"/>
                  <w:vAlign w:val="center"/>
                </w:tcPr>
                <w:p w14:paraId="5126663C">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0.5</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c>
                <w:tcPr>
                  <w:tcW w:w="696" w:type="pct"/>
                  <w:tcBorders>
                    <w:tl2br w:val="nil"/>
                    <w:tr2bl w:val="nil"/>
                  </w:tcBorders>
                  <w:noWrap w:val="0"/>
                  <w:vAlign w:val="center"/>
                </w:tcPr>
                <w:p w14:paraId="0B1AE411">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1</w:t>
                  </w:r>
                  <w:r>
                    <w:rPr>
                      <w:rFonts w:hint="eastAsia"/>
                      <w:color w:val="auto"/>
                      <w:highlight w:val="none"/>
                      <w:lang w:eastAsia="zh-CN"/>
                    </w:rPr>
                    <w:t>（</w:t>
                  </w:r>
                  <w:r>
                    <w:rPr>
                      <w:color w:val="auto"/>
                      <w:highlight w:val="none"/>
                    </w:rPr>
                    <w:t>kg/m</w:t>
                  </w:r>
                  <w:r>
                    <w:rPr>
                      <w:color w:val="auto"/>
                      <w:highlight w:val="none"/>
                      <w:vertAlign w:val="superscript"/>
                    </w:rPr>
                    <w:t>2</w:t>
                  </w:r>
                  <w:r>
                    <w:rPr>
                      <w:rFonts w:hint="eastAsia"/>
                      <w:color w:val="auto"/>
                      <w:highlight w:val="none"/>
                      <w:vertAlign w:val="baseline"/>
                      <w:lang w:eastAsia="zh-CN"/>
                    </w:rPr>
                    <w:t>）</w:t>
                  </w:r>
                </w:p>
              </w:tc>
            </w:tr>
            <w:tr w14:paraId="0DA91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4" w:type="pct"/>
                  <w:tcBorders>
                    <w:tl2br w:val="nil"/>
                    <w:tr2bl w:val="nil"/>
                  </w:tcBorders>
                  <w:noWrap w:val="0"/>
                  <w:vAlign w:val="center"/>
                </w:tcPr>
                <w:p w14:paraId="622CF15C">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color w:val="auto"/>
                      <w:highlight w:val="none"/>
                      <w:lang w:eastAsia="zh-CN"/>
                    </w:rPr>
                  </w:pPr>
                  <w:r>
                    <w:rPr>
                      <w:color w:val="auto"/>
                      <w:highlight w:val="none"/>
                    </w:rPr>
                    <w:t>5</w:t>
                  </w:r>
                  <w:r>
                    <w:rPr>
                      <w:rFonts w:hint="eastAsia"/>
                      <w:color w:val="auto"/>
                      <w:highlight w:val="none"/>
                      <w:lang w:eastAsia="zh-CN"/>
                    </w:rPr>
                    <w:t>（</w:t>
                  </w:r>
                  <w:r>
                    <w:rPr>
                      <w:color w:val="auto"/>
                      <w:highlight w:val="none"/>
                    </w:rPr>
                    <w:t>km/hr</w:t>
                  </w:r>
                  <w:r>
                    <w:rPr>
                      <w:rFonts w:hint="eastAsia"/>
                      <w:color w:val="auto"/>
                      <w:highlight w:val="none"/>
                      <w:lang w:eastAsia="zh-CN"/>
                    </w:rPr>
                    <w:t>）</w:t>
                  </w:r>
                </w:p>
              </w:tc>
              <w:tc>
                <w:tcPr>
                  <w:tcW w:w="695" w:type="pct"/>
                  <w:tcBorders>
                    <w:tl2br w:val="nil"/>
                    <w:tr2bl w:val="nil"/>
                  </w:tcBorders>
                  <w:noWrap w:val="0"/>
                  <w:vAlign w:val="center"/>
                </w:tcPr>
                <w:p w14:paraId="651AF155">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0.051056</w:t>
                  </w:r>
                </w:p>
              </w:tc>
              <w:tc>
                <w:tcPr>
                  <w:tcW w:w="695" w:type="pct"/>
                  <w:tcBorders>
                    <w:tl2br w:val="nil"/>
                    <w:tr2bl w:val="nil"/>
                  </w:tcBorders>
                  <w:noWrap w:val="0"/>
                  <w:vAlign w:val="center"/>
                </w:tcPr>
                <w:p w14:paraId="4873479E">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0.085865</w:t>
                  </w:r>
                </w:p>
              </w:tc>
              <w:tc>
                <w:tcPr>
                  <w:tcW w:w="695" w:type="pct"/>
                  <w:tcBorders>
                    <w:tl2br w:val="nil"/>
                    <w:tr2bl w:val="nil"/>
                  </w:tcBorders>
                  <w:noWrap w:val="0"/>
                  <w:vAlign w:val="center"/>
                </w:tcPr>
                <w:p w14:paraId="07487E6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0.116382</w:t>
                  </w:r>
                </w:p>
              </w:tc>
              <w:tc>
                <w:tcPr>
                  <w:tcW w:w="695" w:type="pct"/>
                  <w:tcBorders>
                    <w:tl2br w:val="nil"/>
                    <w:tr2bl w:val="nil"/>
                  </w:tcBorders>
                  <w:noWrap w:val="0"/>
                  <w:vAlign w:val="center"/>
                </w:tcPr>
                <w:p w14:paraId="27C87F3D">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0.144408</w:t>
                  </w:r>
                </w:p>
              </w:tc>
              <w:tc>
                <w:tcPr>
                  <w:tcW w:w="695" w:type="pct"/>
                  <w:tcBorders>
                    <w:tl2br w:val="nil"/>
                    <w:tr2bl w:val="nil"/>
                  </w:tcBorders>
                  <w:noWrap w:val="0"/>
                  <w:vAlign w:val="center"/>
                </w:tcPr>
                <w:p w14:paraId="2BDCD6A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0.170715</w:t>
                  </w:r>
                </w:p>
              </w:tc>
              <w:tc>
                <w:tcPr>
                  <w:tcW w:w="696" w:type="pct"/>
                  <w:tcBorders>
                    <w:tl2br w:val="nil"/>
                    <w:tr2bl w:val="nil"/>
                  </w:tcBorders>
                  <w:noWrap w:val="0"/>
                  <w:vAlign w:val="center"/>
                </w:tcPr>
                <w:p w14:paraId="65AFDFE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0.287108</w:t>
                  </w:r>
                </w:p>
              </w:tc>
            </w:tr>
            <w:tr w14:paraId="5C5AC9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4" w:type="pct"/>
                  <w:tcBorders>
                    <w:tl2br w:val="nil"/>
                    <w:tr2bl w:val="nil"/>
                  </w:tcBorders>
                  <w:noWrap w:val="0"/>
                  <w:vAlign w:val="center"/>
                </w:tcPr>
                <w:p w14:paraId="038C91F0">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color w:val="auto"/>
                      <w:highlight w:val="none"/>
                      <w:lang w:eastAsia="zh-CN"/>
                    </w:rPr>
                  </w:pPr>
                  <w:r>
                    <w:rPr>
                      <w:color w:val="auto"/>
                      <w:highlight w:val="none"/>
                    </w:rPr>
                    <w:t>10</w:t>
                  </w:r>
                  <w:r>
                    <w:rPr>
                      <w:rFonts w:hint="eastAsia"/>
                      <w:color w:val="auto"/>
                      <w:highlight w:val="none"/>
                      <w:lang w:eastAsia="zh-CN"/>
                    </w:rPr>
                    <w:t>（</w:t>
                  </w:r>
                  <w:r>
                    <w:rPr>
                      <w:color w:val="auto"/>
                      <w:highlight w:val="none"/>
                    </w:rPr>
                    <w:t>km/hr</w:t>
                  </w:r>
                  <w:r>
                    <w:rPr>
                      <w:rFonts w:hint="eastAsia"/>
                      <w:color w:val="auto"/>
                      <w:highlight w:val="none"/>
                      <w:lang w:eastAsia="zh-CN"/>
                    </w:rPr>
                    <w:t>）</w:t>
                  </w:r>
                </w:p>
              </w:tc>
              <w:tc>
                <w:tcPr>
                  <w:tcW w:w="695" w:type="pct"/>
                  <w:tcBorders>
                    <w:tl2br w:val="nil"/>
                    <w:tr2bl w:val="nil"/>
                  </w:tcBorders>
                  <w:noWrap w:val="0"/>
                  <w:vAlign w:val="center"/>
                </w:tcPr>
                <w:p w14:paraId="58B6713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0.102112</w:t>
                  </w:r>
                </w:p>
              </w:tc>
              <w:tc>
                <w:tcPr>
                  <w:tcW w:w="695" w:type="pct"/>
                  <w:tcBorders>
                    <w:tl2br w:val="nil"/>
                    <w:tr2bl w:val="nil"/>
                  </w:tcBorders>
                  <w:noWrap w:val="0"/>
                  <w:vAlign w:val="center"/>
                </w:tcPr>
                <w:p w14:paraId="0AC9BB83">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0.171731</w:t>
                  </w:r>
                </w:p>
              </w:tc>
              <w:tc>
                <w:tcPr>
                  <w:tcW w:w="695" w:type="pct"/>
                  <w:tcBorders>
                    <w:tl2br w:val="nil"/>
                    <w:tr2bl w:val="nil"/>
                  </w:tcBorders>
                  <w:noWrap w:val="0"/>
                  <w:vAlign w:val="center"/>
                </w:tcPr>
                <w:p w14:paraId="2BDE0B5D">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0.232764</w:t>
                  </w:r>
                </w:p>
              </w:tc>
              <w:tc>
                <w:tcPr>
                  <w:tcW w:w="695" w:type="pct"/>
                  <w:tcBorders>
                    <w:tl2br w:val="nil"/>
                    <w:tr2bl w:val="nil"/>
                  </w:tcBorders>
                  <w:noWrap w:val="0"/>
                  <w:vAlign w:val="center"/>
                </w:tcPr>
                <w:p w14:paraId="4A31A3A9">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0.288815</w:t>
                  </w:r>
                </w:p>
              </w:tc>
              <w:tc>
                <w:tcPr>
                  <w:tcW w:w="695" w:type="pct"/>
                  <w:tcBorders>
                    <w:tl2br w:val="nil"/>
                    <w:tr2bl w:val="nil"/>
                  </w:tcBorders>
                  <w:noWrap w:val="0"/>
                  <w:vAlign w:val="center"/>
                </w:tcPr>
                <w:p w14:paraId="0A8E2D94">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0.341431</w:t>
                  </w:r>
                </w:p>
              </w:tc>
              <w:tc>
                <w:tcPr>
                  <w:tcW w:w="696" w:type="pct"/>
                  <w:tcBorders>
                    <w:tl2br w:val="nil"/>
                    <w:tr2bl w:val="nil"/>
                  </w:tcBorders>
                  <w:noWrap w:val="0"/>
                  <w:vAlign w:val="center"/>
                </w:tcPr>
                <w:p w14:paraId="0F91A170">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0.574216</w:t>
                  </w:r>
                </w:p>
              </w:tc>
            </w:tr>
            <w:tr w14:paraId="0E139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824" w:type="pct"/>
                  <w:tcBorders>
                    <w:tl2br w:val="nil"/>
                    <w:tr2bl w:val="nil"/>
                  </w:tcBorders>
                  <w:noWrap w:val="0"/>
                  <w:vAlign w:val="center"/>
                </w:tcPr>
                <w:p w14:paraId="273BBF99">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color w:val="auto"/>
                      <w:highlight w:val="none"/>
                      <w:lang w:eastAsia="zh-CN"/>
                    </w:rPr>
                  </w:pPr>
                  <w:r>
                    <w:rPr>
                      <w:color w:val="auto"/>
                      <w:highlight w:val="none"/>
                    </w:rPr>
                    <w:t>15</w:t>
                  </w:r>
                  <w:r>
                    <w:rPr>
                      <w:rFonts w:hint="eastAsia"/>
                      <w:color w:val="auto"/>
                      <w:highlight w:val="none"/>
                      <w:lang w:eastAsia="zh-CN"/>
                    </w:rPr>
                    <w:t>（</w:t>
                  </w:r>
                  <w:r>
                    <w:rPr>
                      <w:color w:val="auto"/>
                      <w:highlight w:val="none"/>
                    </w:rPr>
                    <w:t>km/hr</w:t>
                  </w:r>
                  <w:r>
                    <w:rPr>
                      <w:rFonts w:hint="eastAsia"/>
                      <w:color w:val="auto"/>
                      <w:highlight w:val="none"/>
                      <w:lang w:eastAsia="zh-CN"/>
                    </w:rPr>
                    <w:t>）</w:t>
                  </w:r>
                </w:p>
              </w:tc>
              <w:tc>
                <w:tcPr>
                  <w:tcW w:w="695" w:type="pct"/>
                  <w:tcBorders>
                    <w:tl2br w:val="nil"/>
                    <w:tr2bl w:val="nil"/>
                  </w:tcBorders>
                  <w:noWrap w:val="0"/>
                  <w:vAlign w:val="center"/>
                </w:tcPr>
                <w:p w14:paraId="315F4EF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0.153167</w:t>
                  </w:r>
                </w:p>
              </w:tc>
              <w:tc>
                <w:tcPr>
                  <w:tcW w:w="695" w:type="pct"/>
                  <w:tcBorders>
                    <w:tl2br w:val="nil"/>
                    <w:tr2bl w:val="nil"/>
                  </w:tcBorders>
                  <w:noWrap w:val="0"/>
                  <w:vAlign w:val="center"/>
                </w:tcPr>
                <w:p w14:paraId="1EA51CAD">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0.257596</w:t>
                  </w:r>
                </w:p>
              </w:tc>
              <w:tc>
                <w:tcPr>
                  <w:tcW w:w="695" w:type="pct"/>
                  <w:tcBorders>
                    <w:tl2br w:val="nil"/>
                    <w:tr2bl w:val="nil"/>
                  </w:tcBorders>
                  <w:noWrap w:val="0"/>
                  <w:vAlign w:val="center"/>
                </w:tcPr>
                <w:p w14:paraId="1466A36B">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0.349146</w:t>
                  </w:r>
                </w:p>
              </w:tc>
              <w:tc>
                <w:tcPr>
                  <w:tcW w:w="695" w:type="pct"/>
                  <w:tcBorders>
                    <w:tl2br w:val="nil"/>
                    <w:tr2bl w:val="nil"/>
                  </w:tcBorders>
                  <w:noWrap w:val="0"/>
                  <w:vAlign w:val="center"/>
                </w:tcPr>
                <w:p w14:paraId="2BA0EE3D">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0.433223</w:t>
                  </w:r>
                </w:p>
              </w:tc>
              <w:tc>
                <w:tcPr>
                  <w:tcW w:w="695" w:type="pct"/>
                  <w:tcBorders>
                    <w:tl2br w:val="nil"/>
                    <w:tr2bl w:val="nil"/>
                  </w:tcBorders>
                  <w:noWrap w:val="0"/>
                  <w:vAlign w:val="center"/>
                </w:tcPr>
                <w:p w14:paraId="45866FF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0.512146</w:t>
                  </w:r>
                </w:p>
              </w:tc>
              <w:tc>
                <w:tcPr>
                  <w:tcW w:w="696" w:type="pct"/>
                  <w:tcBorders>
                    <w:tl2br w:val="nil"/>
                    <w:tr2bl w:val="nil"/>
                  </w:tcBorders>
                  <w:noWrap w:val="0"/>
                  <w:vAlign w:val="center"/>
                </w:tcPr>
                <w:p w14:paraId="0C5C577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0.861323</w:t>
                  </w:r>
                </w:p>
              </w:tc>
            </w:tr>
            <w:tr w14:paraId="3FCD68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24" w:type="pct"/>
                  <w:tcBorders>
                    <w:tl2br w:val="nil"/>
                    <w:tr2bl w:val="nil"/>
                  </w:tcBorders>
                  <w:noWrap w:val="0"/>
                  <w:vAlign w:val="center"/>
                </w:tcPr>
                <w:p w14:paraId="22E64C26">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color w:val="auto"/>
                      <w:highlight w:val="none"/>
                      <w:lang w:eastAsia="zh-CN"/>
                    </w:rPr>
                  </w:pPr>
                  <w:r>
                    <w:rPr>
                      <w:color w:val="auto"/>
                      <w:highlight w:val="none"/>
                    </w:rPr>
                    <w:t>25</w:t>
                  </w:r>
                  <w:r>
                    <w:rPr>
                      <w:rFonts w:hint="eastAsia"/>
                      <w:color w:val="auto"/>
                      <w:highlight w:val="none"/>
                      <w:lang w:eastAsia="zh-CN"/>
                    </w:rPr>
                    <w:t>（</w:t>
                  </w:r>
                  <w:r>
                    <w:rPr>
                      <w:color w:val="auto"/>
                      <w:highlight w:val="none"/>
                    </w:rPr>
                    <w:t>km/hr</w:t>
                  </w:r>
                  <w:r>
                    <w:rPr>
                      <w:rFonts w:hint="eastAsia"/>
                      <w:color w:val="auto"/>
                      <w:highlight w:val="none"/>
                      <w:lang w:eastAsia="zh-CN"/>
                    </w:rPr>
                    <w:t>）</w:t>
                  </w:r>
                </w:p>
              </w:tc>
              <w:tc>
                <w:tcPr>
                  <w:tcW w:w="695" w:type="pct"/>
                  <w:tcBorders>
                    <w:tl2br w:val="nil"/>
                    <w:tr2bl w:val="nil"/>
                  </w:tcBorders>
                  <w:noWrap w:val="0"/>
                  <w:vAlign w:val="center"/>
                </w:tcPr>
                <w:p w14:paraId="331E0618">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0.255279</w:t>
                  </w:r>
                </w:p>
              </w:tc>
              <w:tc>
                <w:tcPr>
                  <w:tcW w:w="695" w:type="pct"/>
                  <w:tcBorders>
                    <w:tl2br w:val="nil"/>
                    <w:tr2bl w:val="nil"/>
                  </w:tcBorders>
                  <w:noWrap w:val="0"/>
                  <w:vAlign w:val="center"/>
                </w:tcPr>
                <w:p w14:paraId="5A0D3635">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0.429326</w:t>
                  </w:r>
                </w:p>
              </w:tc>
              <w:tc>
                <w:tcPr>
                  <w:tcW w:w="695" w:type="pct"/>
                  <w:tcBorders>
                    <w:tl2br w:val="nil"/>
                    <w:tr2bl w:val="nil"/>
                  </w:tcBorders>
                  <w:noWrap w:val="0"/>
                  <w:vAlign w:val="center"/>
                </w:tcPr>
                <w:p w14:paraId="3D3533E9">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0.58191</w:t>
                  </w:r>
                </w:p>
              </w:tc>
              <w:tc>
                <w:tcPr>
                  <w:tcW w:w="695" w:type="pct"/>
                  <w:tcBorders>
                    <w:tl2br w:val="nil"/>
                    <w:tr2bl w:val="nil"/>
                  </w:tcBorders>
                  <w:noWrap w:val="0"/>
                  <w:vAlign w:val="center"/>
                </w:tcPr>
                <w:p w14:paraId="2B5C4A5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0.722038</w:t>
                  </w:r>
                </w:p>
              </w:tc>
              <w:tc>
                <w:tcPr>
                  <w:tcW w:w="695" w:type="pct"/>
                  <w:tcBorders>
                    <w:tl2br w:val="nil"/>
                    <w:tr2bl w:val="nil"/>
                  </w:tcBorders>
                  <w:noWrap w:val="0"/>
                  <w:vAlign w:val="center"/>
                </w:tcPr>
                <w:p w14:paraId="2206E5E2">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0.853577</w:t>
                  </w:r>
                </w:p>
              </w:tc>
              <w:tc>
                <w:tcPr>
                  <w:tcW w:w="696" w:type="pct"/>
                  <w:tcBorders>
                    <w:tl2br w:val="nil"/>
                    <w:tr2bl w:val="nil"/>
                  </w:tcBorders>
                  <w:noWrap w:val="0"/>
                  <w:vAlign w:val="center"/>
                </w:tcPr>
                <w:p w14:paraId="5D08D46C">
                  <w:pPr>
                    <w:keepNext w:val="0"/>
                    <w:keepLines w:val="0"/>
                    <w:pageBreakBefore w:val="0"/>
                    <w:widowControl w:val="0"/>
                    <w:kinsoku/>
                    <w:wordWrap/>
                    <w:overflowPunct/>
                    <w:topLinePunct w:val="0"/>
                    <w:autoSpaceDE/>
                    <w:autoSpaceDN/>
                    <w:bidi w:val="0"/>
                    <w:adjustRightInd/>
                    <w:snapToGrid w:val="0"/>
                    <w:jc w:val="center"/>
                    <w:textAlignment w:val="auto"/>
                    <w:rPr>
                      <w:color w:val="auto"/>
                      <w:highlight w:val="none"/>
                    </w:rPr>
                  </w:pPr>
                  <w:r>
                    <w:rPr>
                      <w:color w:val="auto"/>
                      <w:highlight w:val="none"/>
                    </w:rPr>
                    <w:t>1.435539</w:t>
                  </w:r>
                </w:p>
              </w:tc>
            </w:tr>
          </w:tbl>
          <w:p w14:paraId="37E9169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eastAsia="新宋体"/>
                <w:color w:val="auto"/>
                <w:sz w:val="24"/>
                <w:highlight w:val="none"/>
              </w:rPr>
              <w:t>从上表可见，在同样路面条件下，车速越快，扬尘量越大；在同样车速情况下，路面粉尘越大，扬尘量越大。因此，限速行驶及保持路面清洁是减少扬尘的有效手段。研究表明，通过洒水可有效地减少70%的起尘量。限速行驶及保持路面清洁也是减少扬尘的有效手段。</w:t>
            </w:r>
          </w:p>
          <w:p w14:paraId="7CD006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施工机械及车辆废气</w:t>
            </w:r>
          </w:p>
          <w:p w14:paraId="2DEA257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eastAsia="新宋体"/>
                <w:color w:val="auto"/>
                <w:sz w:val="24"/>
                <w:highlight w:val="none"/>
              </w:rPr>
              <w:t>施工期间施工机械主要有挖掘机、推土机、碾压机等，运输车辆主要有自卸汽车、载重汽车等，施工机械和运输车辆排放的尾气中的污染物主要有CO、NOx、THC等。根据《环境保护实用数据手册》，载重汽车尾气主要污染物排放浓度约为CO＜1.05g/m</w:t>
            </w:r>
            <w:r>
              <w:rPr>
                <w:rFonts w:eastAsia="新宋体"/>
                <w:color w:val="auto"/>
                <w:sz w:val="24"/>
                <w:highlight w:val="none"/>
                <w:vertAlign w:val="superscript"/>
              </w:rPr>
              <w:t>3</w:t>
            </w:r>
            <w:r>
              <w:rPr>
                <w:rFonts w:eastAsia="新宋体"/>
                <w:color w:val="auto"/>
                <w:sz w:val="24"/>
                <w:highlight w:val="none"/>
              </w:rPr>
              <w:t>、NO</w:t>
            </w:r>
            <w:r>
              <w:rPr>
                <w:rFonts w:eastAsia="新宋体"/>
                <w:color w:val="auto"/>
                <w:sz w:val="24"/>
                <w:highlight w:val="none"/>
                <w:vertAlign w:val="subscript"/>
              </w:rPr>
              <w:t>x</w:t>
            </w:r>
            <w:r>
              <w:rPr>
                <w:rFonts w:eastAsia="新宋体"/>
                <w:color w:val="auto"/>
                <w:sz w:val="24"/>
                <w:highlight w:val="none"/>
              </w:rPr>
              <w:t>＜1.65g/m</w:t>
            </w:r>
            <w:r>
              <w:rPr>
                <w:rFonts w:eastAsia="新宋体"/>
                <w:color w:val="auto"/>
                <w:sz w:val="24"/>
                <w:highlight w:val="none"/>
                <w:vertAlign w:val="superscript"/>
              </w:rPr>
              <w:t>3</w:t>
            </w:r>
            <w:r>
              <w:rPr>
                <w:rFonts w:eastAsia="新宋体"/>
                <w:color w:val="auto"/>
                <w:sz w:val="24"/>
                <w:highlight w:val="none"/>
              </w:rPr>
              <w:t>。由于施工机械同时施工数量少且较分散，其污染程度相对较轻</w:t>
            </w:r>
            <w:r>
              <w:rPr>
                <w:rFonts w:hint="default" w:ascii="Times New Roman" w:hAnsi="Times New Roman" w:eastAsia="宋体" w:cs="Times New Roman"/>
                <w:color w:val="auto"/>
                <w:sz w:val="24"/>
                <w:szCs w:val="24"/>
                <w:highlight w:val="none"/>
                <w:lang w:val="en-US" w:eastAsia="zh-CN"/>
              </w:rPr>
              <w:t>。</w:t>
            </w:r>
          </w:p>
          <w:p w14:paraId="11C2305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lang w:val="en-US" w:eastAsia="zh-CN"/>
              </w:rPr>
              <w:t>水环境影响分析</w:t>
            </w:r>
          </w:p>
          <w:p w14:paraId="1D102A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项目施工期废水主要为施工废水、施工人员生活污水。</w:t>
            </w:r>
          </w:p>
          <w:p w14:paraId="573F8FB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施工废水</w:t>
            </w:r>
          </w:p>
          <w:p w14:paraId="06D51C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废水主要来自施工机械的冲洗以及进出施工场地车辆的冲洗等环节。施工废水中主要污染物为悬浮物，不含其他有毒有害物质，因此在施工期应设置沉淀池进行处理，上清液可回用于施工机械和车辆冲洗、道路洒水等环节，沉淀的泥浆可与施工垃圾一起处理。因此各施工场地产生的施工废水对水环境影响较小。</w:t>
            </w:r>
          </w:p>
          <w:p w14:paraId="1491817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生活污水</w:t>
            </w:r>
          </w:p>
          <w:p w14:paraId="565DD83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施工期依托周边乡村现有生活设施，不在工程区食宿，生活污水可利用附近村庄生活污水处理设施收集处理，对环境影响小</w:t>
            </w:r>
            <w:r>
              <w:rPr>
                <w:rFonts w:hint="eastAsia" w:cs="Times New Roman"/>
                <w:color w:val="auto"/>
                <w:sz w:val="24"/>
                <w:szCs w:val="24"/>
                <w:highlight w:val="none"/>
                <w:lang w:val="en-US" w:eastAsia="zh-CN"/>
              </w:rPr>
              <w:t>。</w:t>
            </w:r>
          </w:p>
          <w:p w14:paraId="29694D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声环境影响分析</w:t>
            </w:r>
          </w:p>
          <w:p w14:paraId="3C5D11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（1）噪声源强分析</w:t>
            </w:r>
          </w:p>
          <w:p w14:paraId="2F6E5D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对声环境影响较大的主要是一些建筑机械和设备产生的噪声，其噪声在一定范围内会给附近区域带来噪声影响。其中交通噪声是间歇性的，其他施工机械的噪声为持续性的，各施工阶段和工序的不同使用的主要噪声源声级也不尽相同。由于这些设备的使用时间、场地以及数量不能够准确定量，精确预测其施工场界噪声比较困难。因此本评价主要针对各噪声源独立使用时的超标范围进行计算和评价。参照《环境噪声与振动控制工程技术导则》（HJ2034-2013），确定各施工阶段主要噪声源源强，如下表所示。</w:t>
            </w:r>
          </w:p>
          <w:p w14:paraId="63AA969F">
            <w:pPr>
              <w:bidi w:val="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 xml:space="preserve">    施工期主要施工机械及运输车辆噪声源强表</w:t>
            </w:r>
            <w:r>
              <w:rPr>
                <w:rFonts w:hint="default" w:ascii="Times New Roman" w:hAnsi="Times New Roman" w:eastAsia="宋体" w:cs="Times New Roman"/>
                <w:b/>
                <w:bCs/>
                <w:color w:val="auto"/>
                <w:highlight w:val="none"/>
                <w:lang w:val="en-US" w:eastAsia="zh-CN"/>
              </w:rPr>
              <w:t>单位：dB（A）</w:t>
            </w:r>
          </w:p>
          <w:tbl>
            <w:tblPr>
              <w:tblStyle w:val="15"/>
              <w:tblW w:w="8079" w:type="dxa"/>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2020"/>
              <w:gridCol w:w="2020"/>
              <w:gridCol w:w="2020"/>
            </w:tblGrid>
            <w:tr w14:paraId="00403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019" w:type="dxa"/>
                  <w:tcBorders>
                    <w:tl2br w:val="nil"/>
                    <w:tr2bl w:val="nil"/>
                  </w:tcBorders>
                  <w:noWrap w:val="0"/>
                  <w:vAlign w:val="center"/>
                </w:tcPr>
                <w:p w14:paraId="272F66D2">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施工设备名称</w:t>
                  </w:r>
                </w:p>
              </w:tc>
              <w:tc>
                <w:tcPr>
                  <w:tcW w:w="2020" w:type="dxa"/>
                  <w:tcBorders>
                    <w:tl2br w:val="nil"/>
                    <w:tr2bl w:val="nil"/>
                  </w:tcBorders>
                  <w:noWrap w:val="0"/>
                  <w:vAlign w:val="center"/>
                </w:tcPr>
                <w:p w14:paraId="65A0CA24">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距声源5m</w:t>
                  </w:r>
                </w:p>
              </w:tc>
              <w:tc>
                <w:tcPr>
                  <w:tcW w:w="2020" w:type="dxa"/>
                  <w:tcBorders>
                    <w:tl2br w:val="nil"/>
                    <w:tr2bl w:val="nil"/>
                  </w:tcBorders>
                  <w:noWrap w:val="0"/>
                  <w:vAlign w:val="center"/>
                </w:tcPr>
                <w:p w14:paraId="30BD716C">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施工设备名称</w:t>
                  </w:r>
                </w:p>
              </w:tc>
              <w:tc>
                <w:tcPr>
                  <w:tcW w:w="2020" w:type="dxa"/>
                  <w:tcBorders>
                    <w:tl2br w:val="nil"/>
                    <w:tr2bl w:val="nil"/>
                  </w:tcBorders>
                  <w:noWrap w:val="0"/>
                  <w:vAlign w:val="center"/>
                </w:tcPr>
                <w:p w14:paraId="3C3843A6">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距声源5m</w:t>
                  </w:r>
                </w:p>
              </w:tc>
            </w:tr>
            <w:tr w14:paraId="3F3E4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19" w:type="dxa"/>
                  <w:tcBorders>
                    <w:tl2br w:val="nil"/>
                    <w:tr2bl w:val="nil"/>
                  </w:tcBorders>
                  <w:noWrap w:val="0"/>
                  <w:vAlign w:val="center"/>
                </w:tcPr>
                <w:p w14:paraId="0527B475">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电动挖掘机</w:t>
                  </w:r>
                </w:p>
              </w:tc>
              <w:tc>
                <w:tcPr>
                  <w:tcW w:w="2020" w:type="dxa"/>
                  <w:tcBorders>
                    <w:tl2br w:val="nil"/>
                    <w:tr2bl w:val="nil"/>
                  </w:tcBorders>
                  <w:noWrap w:val="0"/>
                  <w:vAlign w:val="center"/>
                </w:tcPr>
                <w:p w14:paraId="6FA2FF5D">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80~86</w:t>
                  </w:r>
                </w:p>
              </w:tc>
              <w:tc>
                <w:tcPr>
                  <w:tcW w:w="2020" w:type="dxa"/>
                  <w:tcBorders>
                    <w:tl2br w:val="nil"/>
                    <w:tr2bl w:val="nil"/>
                  </w:tcBorders>
                  <w:noWrap w:val="0"/>
                  <w:vAlign w:val="center"/>
                </w:tcPr>
                <w:p w14:paraId="0F3BBD42">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推土机</w:t>
                  </w:r>
                </w:p>
              </w:tc>
              <w:tc>
                <w:tcPr>
                  <w:tcW w:w="2020" w:type="dxa"/>
                  <w:tcBorders>
                    <w:tl2br w:val="nil"/>
                    <w:tr2bl w:val="nil"/>
                  </w:tcBorders>
                  <w:noWrap w:val="0"/>
                  <w:vAlign w:val="center"/>
                </w:tcPr>
                <w:p w14:paraId="7FAA610E">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83~88</w:t>
                  </w:r>
                </w:p>
              </w:tc>
            </w:tr>
            <w:tr w14:paraId="713D8D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19" w:type="dxa"/>
                  <w:tcBorders>
                    <w:tl2br w:val="nil"/>
                    <w:tr2bl w:val="nil"/>
                  </w:tcBorders>
                  <w:noWrap w:val="0"/>
                  <w:vAlign w:val="center"/>
                </w:tcPr>
                <w:p w14:paraId="10BDC21F">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重型运输车</w:t>
                  </w:r>
                </w:p>
              </w:tc>
              <w:tc>
                <w:tcPr>
                  <w:tcW w:w="2020" w:type="dxa"/>
                  <w:tcBorders>
                    <w:tl2br w:val="nil"/>
                    <w:tr2bl w:val="nil"/>
                  </w:tcBorders>
                  <w:noWrap w:val="0"/>
                  <w:vAlign w:val="center"/>
                </w:tcPr>
                <w:p w14:paraId="35BB3AD4">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82~90</w:t>
                  </w:r>
                </w:p>
              </w:tc>
              <w:tc>
                <w:tcPr>
                  <w:tcW w:w="2020" w:type="dxa"/>
                  <w:tcBorders>
                    <w:tl2br w:val="nil"/>
                    <w:tr2bl w:val="nil"/>
                  </w:tcBorders>
                  <w:noWrap w:val="0"/>
                  <w:vAlign w:val="center"/>
                </w:tcPr>
                <w:p w14:paraId="6A003CA2">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轮式装载机</w:t>
                  </w:r>
                </w:p>
              </w:tc>
              <w:tc>
                <w:tcPr>
                  <w:tcW w:w="2020" w:type="dxa"/>
                  <w:tcBorders>
                    <w:tl2br w:val="nil"/>
                    <w:tr2bl w:val="nil"/>
                  </w:tcBorders>
                  <w:noWrap w:val="0"/>
                  <w:vAlign w:val="center"/>
                </w:tcPr>
                <w:p w14:paraId="40DF5C69">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90~95</w:t>
                  </w:r>
                </w:p>
              </w:tc>
            </w:tr>
            <w:tr w14:paraId="152E8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019" w:type="dxa"/>
                  <w:tcBorders>
                    <w:tl2br w:val="nil"/>
                    <w:tr2bl w:val="nil"/>
                  </w:tcBorders>
                  <w:noWrap w:val="0"/>
                  <w:vAlign w:val="center"/>
                </w:tcPr>
                <w:p w14:paraId="0B334510">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bCs w:val="0"/>
                      <w:color w:val="auto"/>
                      <w:sz w:val="21"/>
                      <w:szCs w:val="21"/>
                      <w:highlight w:val="none"/>
                      <w:lang w:val="en-US" w:eastAsia="zh-CN"/>
                    </w:rPr>
                    <w:t>蛙式</w:t>
                  </w:r>
                  <w:r>
                    <w:rPr>
                      <w:rFonts w:hint="default" w:ascii="Times New Roman" w:hAnsi="Times New Roman" w:eastAsia="宋体" w:cs="Times New Roman"/>
                      <w:b w:val="0"/>
                      <w:bCs w:val="0"/>
                      <w:color w:val="auto"/>
                      <w:sz w:val="21"/>
                      <w:szCs w:val="21"/>
                      <w:highlight w:val="none"/>
                    </w:rPr>
                    <w:t>夯机</w:t>
                  </w:r>
                </w:p>
              </w:tc>
              <w:tc>
                <w:tcPr>
                  <w:tcW w:w="2020" w:type="dxa"/>
                  <w:tcBorders>
                    <w:tl2br w:val="nil"/>
                    <w:tr2bl w:val="nil"/>
                  </w:tcBorders>
                  <w:noWrap w:val="0"/>
                  <w:vAlign w:val="center"/>
                </w:tcPr>
                <w:p w14:paraId="7852E7EF">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82~90</w:t>
                  </w:r>
                </w:p>
              </w:tc>
              <w:tc>
                <w:tcPr>
                  <w:tcW w:w="2020" w:type="dxa"/>
                  <w:tcBorders>
                    <w:tl2br w:val="nil"/>
                    <w:tr2bl w:val="nil"/>
                  </w:tcBorders>
                  <w:noWrap w:val="0"/>
                  <w:vAlign w:val="center"/>
                </w:tcPr>
                <w:p w14:paraId="5E17351A">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柴油发电机</w:t>
                  </w:r>
                </w:p>
              </w:tc>
              <w:tc>
                <w:tcPr>
                  <w:tcW w:w="2020" w:type="dxa"/>
                  <w:tcBorders>
                    <w:tl2br w:val="nil"/>
                    <w:tr2bl w:val="nil"/>
                  </w:tcBorders>
                  <w:noWrap w:val="0"/>
                  <w:vAlign w:val="center"/>
                </w:tcPr>
                <w:p w14:paraId="313D8A25">
                  <w:pPr>
                    <w:bidi w:val="0"/>
                    <w:jc w:val="center"/>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85~102</w:t>
                  </w:r>
                </w:p>
              </w:tc>
            </w:tr>
          </w:tbl>
          <w:p w14:paraId="4B5AEC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（2）噪声预测</w:t>
            </w:r>
          </w:p>
          <w:p w14:paraId="13F0F9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项目施工机械为点声源，其噪声强度随着噪声源距离的增加而衰减，根据声源的性质及预测点与声源之间的距离情况，采用点声源预测模式对不同距离处噪声值进行预测，其衰减模式如下：</w:t>
            </w:r>
          </w:p>
          <w:p w14:paraId="1E2E678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Lp=Lp</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-20lg</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r/r</w:t>
            </w:r>
            <w:r>
              <w:rPr>
                <w:rFonts w:hint="default" w:ascii="Times New Roman" w:hAnsi="Times New Roman" w:eastAsia="宋体" w:cs="Times New Roman"/>
                <w:color w:val="auto"/>
                <w:sz w:val="24"/>
                <w:szCs w:val="24"/>
                <w:highlight w:val="none"/>
                <w:vertAlign w:val="subscript"/>
                <w:lang w:val="en-US" w:eastAsia="zh-CN"/>
              </w:rPr>
              <w:t>0</w:t>
            </w:r>
            <w:r>
              <w:rPr>
                <w:rFonts w:hint="eastAsia" w:cs="Times New Roman"/>
                <w:color w:val="auto"/>
                <w:sz w:val="24"/>
                <w:szCs w:val="24"/>
                <w:highlight w:val="none"/>
                <w:lang w:val="en-US" w:eastAsia="zh-CN"/>
              </w:rPr>
              <w:t>）</w:t>
            </w:r>
          </w:p>
          <w:p w14:paraId="045C2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式中：Lp—距声源r（m）处声压级，dB（A）；</w:t>
            </w:r>
          </w:p>
          <w:p w14:paraId="342CD7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Lp</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—距声源r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（m）处的声压级，dB（A）；</w:t>
            </w:r>
          </w:p>
          <w:p w14:paraId="1508E2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r—距声源的距离，m；</w:t>
            </w:r>
          </w:p>
          <w:p w14:paraId="31CF6C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—距声源1m；</w:t>
            </w:r>
          </w:p>
          <w:p w14:paraId="50DBD6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主要施工机械的噪声随距离的衰减情况见下表：</w:t>
            </w:r>
          </w:p>
          <w:p w14:paraId="45E4F89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highlight w:val="none"/>
                <w:vertAlign w:val="baseline"/>
                <w:lang w:val="en-US" w:eastAsia="zh-CN"/>
              </w:rPr>
            </w:pPr>
            <w:r>
              <w:rPr>
                <w:rFonts w:hint="default" w:ascii="Times New Roman" w:hAnsi="Times New Roman" w:eastAsia="宋体" w:cs="Times New Roman"/>
                <w:b/>
                <w:bCs/>
                <w:color w:val="auto"/>
                <w:highlight w:val="none"/>
                <w:lang w:val="en-US" w:eastAsia="zh-CN"/>
              </w:rPr>
              <w:t>表4-</w:t>
            </w:r>
            <w:r>
              <w:rPr>
                <w:rFonts w:hint="eastAsia"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各类施工机械在不同距离处的噪声预测值  单位：dB（A）</w:t>
            </w:r>
          </w:p>
          <w:tbl>
            <w:tblPr>
              <w:tblStyle w:val="15"/>
              <w:tblW w:w="81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682"/>
              <w:gridCol w:w="682"/>
              <w:gridCol w:w="682"/>
              <w:gridCol w:w="682"/>
              <w:gridCol w:w="682"/>
              <w:gridCol w:w="682"/>
              <w:gridCol w:w="682"/>
              <w:gridCol w:w="682"/>
              <w:gridCol w:w="682"/>
              <w:gridCol w:w="688"/>
            </w:tblGrid>
            <w:tr w14:paraId="5BF1A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vMerge w:val="restart"/>
                  <w:tcBorders>
                    <w:tl2br w:val="nil"/>
                    <w:tr2bl w:val="nil"/>
                  </w:tcBorders>
                  <w:noWrap w:val="0"/>
                  <w:vAlign w:val="center"/>
                </w:tcPr>
                <w:p w14:paraId="5157B48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设备名称</w:t>
                  </w:r>
                </w:p>
              </w:tc>
              <w:tc>
                <w:tcPr>
                  <w:tcW w:w="6826" w:type="dxa"/>
                  <w:gridSpan w:val="10"/>
                  <w:tcBorders>
                    <w:tl2br w:val="nil"/>
                    <w:tr2bl w:val="nil"/>
                  </w:tcBorders>
                  <w:noWrap w:val="0"/>
                  <w:vAlign w:val="center"/>
                </w:tcPr>
                <w:p w14:paraId="3EC9A0A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距设备距离（m）</w:t>
                  </w:r>
                </w:p>
              </w:tc>
            </w:tr>
            <w:tr w14:paraId="1E3BF3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vMerge w:val="continue"/>
                  <w:tcBorders>
                    <w:tl2br w:val="nil"/>
                    <w:tr2bl w:val="nil"/>
                  </w:tcBorders>
                  <w:noWrap w:val="0"/>
                  <w:vAlign w:val="center"/>
                </w:tcPr>
                <w:p w14:paraId="731DB7B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682" w:type="dxa"/>
                  <w:tcBorders>
                    <w:tl2br w:val="nil"/>
                    <w:tr2bl w:val="nil"/>
                  </w:tcBorders>
                  <w:noWrap w:val="0"/>
                  <w:vAlign w:val="center"/>
                </w:tcPr>
                <w:p w14:paraId="3E465EF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w:t>
                  </w:r>
                </w:p>
              </w:tc>
              <w:tc>
                <w:tcPr>
                  <w:tcW w:w="682" w:type="dxa"/>
                  <w:tcBorders>
                    <w:tl2br w:val="nil"/>
                    <w:tr2bl w:val="nil"/>
                  </w:tcBorders>
                  <w:noWrap w:val="0"/>
                  <w:vAlign w:val="center"/>
                </w:tcPr>
                <w:p w14:paraId="6C9337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w:t>
                  </w:r>
                </w:p>
              </w:tc>
              <w:tc>
                <w:tcPr>
                  <w:tcW w:w="682" w:type="dxa"/>
                  <w:tcBorders>
                    <w:tl2br w:val="nil"/>
                    <w:tr2bl w:val="nil"/>
                  </w:tcBorders>
                  <w:noWrap w:val="0"/>
                  <w:vAlign w:val="center"/>
                </w:tcPr>
                <w:p w14:paraId="7830B7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20</w:t>
                  </w:r>
                </w:p>
              </w:tc>
              <w:tc>
                <w:tcPr>
                  <w:tcW w:w="682" w:type="dxa"/>
                  <w:tcBorders>
                    <w:tl2br w:val="nil"/>
                    <w:tr2bl w:val="nil"/>
                  </w:tcBorders>
                  <w:noWrap w:val="0"/>
                  <w:vAlign w:val="center"/>
                </w:tcPr>
                <w:p w14:paraId="4F8C9E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40</w:t>
                  </w:r>
                </w:p>
              </w:tc>
              <w:tc>
                <w:tcPr>
                  <w:tcW w:w="682" w:type="dxa"/>
                  <w:tcBorders>
                    <w:tl2br w:val="nil"/>
                    <w:tr2bl w:val="nil"/>
                  </w:tcBorders>
                  <w:noWrap w:val="0"/>
                  <w:vAlign w:val="center"/>
                </w:tcPr>
                <w:p w14:paraId="4F6190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60</w:t>
                  </w:r>
                </w:p>
              </w:tc>
              <w:tc>
                <w:tcPr>
                  <w:tcW w:w="682" w:type="dxa"/>
                  <w:tcBorders>
                    <w:tl2br w:val="nil"/>
                    <w:tr2bl w:val="nil"/>
                  </w:tcBorders>
                  <w:noWrap w:val="0"/>
                  <w:vAlign w:val="center"/>
                </w:tcPr>
                <w:p w14:paraId="3BD52F6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80</w:t>
                  </w:r>
                </w:p>
              </w:tc>
              <w:tc>
                <w:tcPr>
                  <w:tcW w:w="682" w:type="dxa"/>
                  <w:tcBorders>
                    <w:tl2br w:val="nil"/>
                    <w:tr2bl w:val="nil"/>
                  </w:tcBorders>
                  <w:noWrap w:val="0"/>
                  <w:vAlign w:val="center"/>
                </w:tcPr>
                <w:p w14:paraId="3C5341D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w:t>
                  </w:r>
                </w:p>
              </w:tc>
              <w:tc>
                <w:tcPr>
                  <w:tcW w:w="682" w:type="dxa"/>
                  <w:tcBorders>
                    <w:tl2br w:val="nil"/>
                    <w:tr2bl w:val="nil"/>
                  </w:tcBorders>
                  <w:noWrap w:val="0"/>
                  <w:vAlign w:val="center"/>
                </w:tcPr>
                <w:p w14:paraId="56E4EBD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150</w:t>
                  </w:r>
                </w:p>
              </w:tc>
              <w:tc>
                <w:tcPr>
                  <w:tcW w:w="682" w:type="dxa"/>
                  <w:tcBorders>
                    <w:tl2br w:val="nil"/>
                    <w:tr2bl w:val="nil"/>
                  </w:tcBorders>
                  <w:noWrap w:val="0"/>
                  <w:vAlign w:val="center"/>
                </w:tcPr>
                <w:p w14:paraId="5C0E4DE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200</w:t>
                  </w:r>
                </w:p>
              </w:tc>
              <w:tc>
                <w:tcPr>
                  <w:tcW w:w="688" w:type="dxa"/>
                  <w:tcBorders>
                    <w:tl2br w:val="nil"/>
                    <w:tr2bl w:val="nil"/>
                  </w:tcBorders>
                  <w:noWrap w:val="0"/>
                  <w:vAlign w:val="center"/>
                </w:tcPr>
                <w:p w14:paraId="5724FF2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300</w:t>
                  </w:r>
                </w:p>
              </w:tc>
            </w:tr>
            <w:tr w14:paraId="3AFAC9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tcBorders>
                    <w:tl2br w:val="nil"/>
                    <w:tr2bl w:val="nil"/>
                  </w:tcBorders>
                  <w:noWrap w:val="0"/>
                  <w:vAlign w:val="center"/>
                </w:tcPr>
                <w:p w14:paraId="5D812E1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挖掘机</w:t>
                  </w:r>
                </w:p>
              </w:tc>
              <w:tc>
                <w:tcPr>
                  <w:tcW w:w="682" w:type="dxa"/>
                  <w:tcBorders>
                    <w:tl2br w:val="nil"/>
                    <w:tr2bl w:val="nil"/>
                  </w:tcBorders>
                  <w:noWrap w:val="0"/>
                  <w:vAlign w:val="center"/>
                </w:tcPr>
                <w:p w14:paraId="36155F6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84.0</w:t>
                  </w:r>
                </w:p>
              </w:tc>
              <w:tc>
                <w:tcPr>
                  <w:tcW w:w="682" w:type="dxa"/>
                  <w:tcBorders>
                    <w:tl2br w:val="nil"/>
                    <w:tr2bl w:val="nil"/>
                  </w:tcBorders>
                  <w:noWrap w:val="0"/>
                  <w:vAlign w:val="center"/>
                </w:tcPr>
                <w:p w14:paraId="58D82E8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78.0</w:t>
                  </w:r>
                </w:p>
              </w:tc>
              <w:tc>
                <w:tcPr>
                  <w:tcW w:w="682" w:type="dxa"/>
                  <w:tcBorders>
                    <w:tl2br w:val="nil"/>
                    <w:tr2bl w:val="nil"/>
                  </w:tcBorders>
                  <w:noWrap w:val="0"/>
                  <w:vAlign w:val="center"/>
                </w:tcPr>
                <w:p w14:paraId="4D4E3E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72.0</w:t>
                  </w:r>
                </w:p>
              </w:tc>
              <w:tc>
                <w:tcPr>
                  <w:tcW w:w="682" w:type="dxa"/>
                  <w:tcBorders>
                    <w:tl2br w:val="nil"/>
                    <w:tr2bl w:val="nil"/>
                  </w:tcBorders>
                  <w:noWrap w:val="0"/>
                  <w:vAlign w:val="center"/>
                </w:tcPr>
                <w:p w14:paraId="6D0081B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66.0</w:t>
                  </w:r>
                </w:p>
              </w:tc>
              <w:tc>
                <w:tcPr>
                  <w:tcW w:w="682" w:type="dxa"/>
                  <w:tcBorders>
                    <w:tl2br w:val="nil"/>
                    <w:tr2bl w:val="nil"/>
                  </w:tcBorders>
                  <w:noWrap w:val="0"/>
                  <w:vAlign w:val="center"/>
                </w:tcPr>
                <w:p w14:paraId="1ECBAA5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62.4</w:t>
                  </w:r>
                </w:p>
              </w:tc>
              <w:tc>
                <w:tcPr>
                  <w:tcW w:w="682" w:type="dxa"/>
                  <w:tcBorders>
                    <w:tl2br w:val="nil"/>
                    <w:tr2bl w:val="nil"/>
                  </w:tcBorders>
                  <w:noWrap w:val="0"/>
                  <w:vAlign w:val="center"/>
                </w:tcPr>
                <w:p w14:paraId="5E165F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59.9</w:t>
                  </w:r>
                </w:p>
              </w:tc>
              <w:tc>
                <w:tcPr>
                  <w:tcW w:w="682" w:type="dxa"/>
                  <w:tcBorders>
                    <w:tl2br w:val="nil"/>
                    <w:tr2bl w:val="nil"/>
                  </w:tcBorders>
                  <w:noWrap w:val="0"/>
                  <w:vAlign w:val="center"/>
                </w:tcPr>
                <w:p w14:paraId="04EDB6E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58.0</w:t>
                  </w:r>
                </w:p>
              </w:tc>
              <w:tc>
                <w:tcPr>
                  <w:tcW w:w="682" w:type="dxa"/>
                  <w:tcBorders>
                    <w:tl2br w:val="nil"/>
                    <w:tr2bl w:val="nil"/>
                  </w:tcBorders>
                  <w:noWrap w:val="0"/>
                  <w:vAlign w:val="center"/>
                </w:tcPr>
                <w:p w14:paraId="38E05A9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54.5</w:t>
                  </w:r>
                </w:p>
              </w:tc>
              <w:tc>
                <w:tcPr>
                  <w:tcW w:w="682" w:type="dxa"/>
                  <w:tcBorders>
                    <w:tl2br w:val="nil"/>
                    <w:tr2bl w:val="nil"/>
                  </w:tcBorders>
                  <w:noWrap w:val="0"/>
                  <w:vAlign w:val="center"/>
                </w:tcPr>
                <w:p w14:paraId="57AF554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52.0</w:t>
                  </w:r>
                </w:p>
              </w:tc>
              <w:tc>
                <w:tcPr>
                  <w:tcW w:w="688" w:type="dxa"/>
                  <w:tcBorders>
                    <w:tl2br w:val="nil"/>
                    <w:tr2bl w:val="nil"/>
                  </w:tcBorders>
                  <w:noWrap w:val="0"/>
                  <w:vAlign w:val="center"/>
                </w:tcPr>
                <w:p w14:paraId="779E3CC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48.5</w:t>
                  </w:r>
                </w:p>
              </w:tc>
            </w:tr>
            <w:tr w14:paraId="235880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321" w:type="dxa"/>
                  <w:tcBorders>
                    <w:tl2br w:val="nil"/>
                    <w:tr2bl w:val="nil"/>
                  </w:tcBorders>
                  <w:noWrap w:val="0"/>
                  <w:vAlign w:val="center"/>
                </w:tcPr>
                <w:p w14:paraId="502F424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自卸汽车</w:t>
                  </w:r>
                </w:p>
              </w:tc>
              <w:tc>
                <w:tcPr>
                  <w:tcW w:w="682" w:type="dxa"/>
                  <w:tcBorders>
                    <w:tl2br w:val="nil"/>
                    <w:tr2bl w:val="nil"/>
                  </w:tcBorders>
                  <w:noWrap w:val="0"/>
                  <w:vAlign w:val="center"/>
                </w:tcPr>
                <w:p w14:paraId="58DB46C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84.0</w:t>
                  </w:r>
                </w:p>
              </w:tc>
              <w:tc>
                <w:tcPr>
                  <w:tcW w:w="682" w:type="dxa"/>
                  <w:tcBorders>
                    <w:tl2br w:val="nil"/>
                    <w:tr2bl w:val="nil"/>
                  </w:tcBorders>
                  <w:noWrap w:val="0"/>
                  <w:vAlign w:val="center"/>
                </w:tcPr>
                <w:p w14:paraId="03A0695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78.0</w:t>
                  </w:r>
                </w:p>
              </w:tc>
              <w:tc>
                <w:tcPr>
                  <w:tcW w:w="682" w:type="dxa"/>
                  <w:tcBorders>
                    <w:tl2br w:val="nil"/>
                    <w:tr2bl w:val="nil"/>
                  </w:tcBorders>
                  <w:noWrap w:val="0"/>
                  <w:vAlign w:val="center"/>
                </w:tcPr>
                <w:p w14:paraId="766BA44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72.0</w:t>
                  </w:r>
                </w:p>
              </w:tc>
              <w:tc>
                <w:tcPr>
                  <w:tcW w:w="682" w:type="dxa"/>
                  <w:tcBorders>
                    <w:tl2br w:val="nil"/>
                    <w:tr2bl w:val="nil"/>
                  </w:tcBorders>
                  <w:noWrap w:val="0"/>
                  <w:vAlign w:val="center"/>
                </w:tcPr>
                <w:p w14:paraId="29052B0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66.0</w:t>
                  </w:r>
                </w:p>
              </w:tc>
              <w:tc>
                <w:tcPr>
                  <w:tcW w:w="682" w:type="dxa"/>
                  <w:tcBorders>
                    <w:tl2br w:val="nil"/>
                    <w:tr2bl w:val="nil"/>
                  </w:tcBorders>
                  <w:noWrap w:val="0"/>
                  <w:vAlign w:val="center"/>
                </w:tcPr>
                <w:p w14:paraId="0A0AB5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62.4</w:t>
                  </w:r>
                </w:p>
              </w:tc>
              <w:tc>
                <w:tcPr>
                  <w:tcW w:w="682" w:type="dxa"/>
                  <w:tcBorders>
                    <w:tl2br w:val="nil"/>
                    <w:tr2bl w:val="nil"/>
                  </w:tcBorders>
                  <w:noWrap w:val="0"/>
                  <w:vAlign w:val="center"/>
                </w:tcPr>
                <w:p w14:paraId="79D6A47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59.9</w:t>
                  </w:r>
                </w:p>
              </w:tc>
              <w:tc>
                <w:tcPr>
                  <w:tcW w:w="682" w:type="dxa"/>
                  <w:tcBorders>
                    <w:tl2br w:val="nil"/>
                    <w:tr2bl w:val="nil"/>
                  </w:tcBorders>
                  <w:noWrap w:val="0"/>
                  <w:vAlign w:val="center"/>
                </w:tcPr>
                <w:p w14:paraId="093DE7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58.0</w:t>
                  </w:r>
                </w:p>
              </w:tc>
              <w:tc>
                <w:tcPr>
                  <w:tcW w:w="682" w:type="dxa"/>
                  <w:tcBorders>
                    <w:tl2br w:val="nil"/>
                    <w:tr2bl w:val="nil"/>
                  </w:tcBorders>
                  <w:noWrap w:val="0"/>
                  <w:vAlign w:val="center"/>
                </w:tcPr>
                <w:p w14:paraId="2930D9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54.5</w:t>
                  </w:r>
                </w:p>
              </w:tc>
              <w:tc>
                <w:tcPr>
                  <w:tcW w:w="682" w:type="dxa"/>
                  <w:tcBorders>
                    <w:tl2br w:val="nil"/>
                    <w:tr2bl w:val="nil"/>
                  </w:tcBorders>
                  <w:noWrap w:val="0"/>
                  <w:vAlign w:val="center"/>
                </w:tcPr>
                <w:p w14:paraId="584E3D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52.0</w:t>
                  </w:r>
                </w:p>
              </w:tc>
              <w:tc>
                <w:tcPr>
                  <w:tcW w:w="688" w:type="dxa"/>
                  <w:tcBorders>
                    <w:tl2br w:val="nil"/>
                    <w:tr2bl w:val="nil"/>
                  </w:tcBorders>
                  <w:noWrap w:val="0"/>
                  <w:vAlign w:val="center"/>
                </w:tcPr>
                <w:p w14:paraId="3AFEF99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48.5</w:t>
                  </w:r>
                </w:p>
              </w:tc>
            </w:tr>
            <w:tr w14:paraId="6D471D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tcBorders>
                    <w:tl2br w:val="nil"/>
                    <w:tr2bl w:val="nil"/>
                  </w:tcBorders>
                  <w:noWrap w:val="0"/>
                  <w:vAlign w:val="center"/>
                </w:tcPr>
                <w:p w14:paraId="1E35500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装载机</w:t>
                  </w:r>
                </w:p>
              </w:tc>
              <w:tc>
                <w:tcPr>
                  <w:tcW w:w="682" w:type="dxa"/>
                  <w:tcBorders>
                    <w:tl2br w:val="nil"/>
                    <w:tr2bl w:val="nil"/>
                  </w:tcBorders>
                  <w:noWrap w:val="0"/>
                  <w:vAlign w:val="center"/>
                </w:tcPr>
                <w:p w14:paraId="4196E4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83.0</w:t>
                  </w:r>
                </w:p>
              </w:tc>
              <w:tc>
                <w:tcPr>
                  <w:tcW w:w="682" w:type="dxa"/>
                  <w:tcBorders>
                    <w:tl2br w:val="nil"/>
                    <w:tr2bl w:val="nil"/>
                  </w:tcBorders>
                  <w:noWrap w:val="0"/>
                  <w:vAlign w:val="center"/>
                </w:tcPr>
                <w:p w14:paraId="5D87CEC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77.0</w:t>
                  </w:r>
                </w:p>
              </w:tc>
              <w:tc>
                <w:tcPr>
                  <w:tcW w:w="682" w:type="dxa"/>
                  <w:tcBorders>
                    <w:tl2br w:val="nil"/>
                    <w:tr2bl w:val="nil"/>
                  </w:tcBorders>
                  <w:noWrap w:val="0"/>
                  <w:vAlign w:val="center"/>
                </w:tcPr>
                <w:p w14:paraId="38E4606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71.0</w:t>
                  </w:r>
                </w:p>
              </w:tc>
              <w:tc>
                <w:tcPr>
                  <w:tcW w:w="682" w:type="dxa"/>
                  <w:tcBorders>
                    <w:tl2br w:val="nil"/>
                    <w:tr2bl w:val="nil"/>
                  </w:tcBorders>
                  <w:noWrap w:val="0"/>
                  <w:vAlign w:val="center"/>
                </w:tcPr>
                <w:p w14:paraId="63FB0A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65.0</w:t>
                  </w:r>
                </w:p>
              </w:tc>
              <w:tc>
                <w:tcPr>
                  <w:tcW w:w="682" w:type="dxa"/>
                  <w:tcBorders>
                    <w:tl2br w:val="nil"/>
                    <w:tr2bl w:val="nil"/>
                  </w:tcBorders>
                  <w:noWrap w:val="0"/>
                  <w:vAlign w:val="center"/>
                </w:tcPr>
                <w:p w14:paraId="18D4C3B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61.4</w:t>
                  </w:r>
                </w:p>
              </w:tc>
              <w:tc>
                <w:tcPr>
                  <w:tcW w:w="682" w:type="dxa"/>
                  <w:tcBorders>
                    <w:tl2br w:val="nil"/>
                    <w:tr2bl w:val="nil"/>
                  </w:tcBorders>
                  <w:noWrap w:val="0"/>
                  <w:vAlign w:val="center"/>
                </w:tcPr>
                <w:p w14:paraId="6A23BB9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58.9</w:t>
                  </w:r>
                </w:p>
              </w:tc>
              <w:tc>
                <w:tcPr>
                  <w:tcW w:w="682" w:type="dxa"/>
                  <w:tcBorders>
                    <w:tl2br w:val="nil"/>
                    <w:tr2bl w:val="nil"/>
                  </w:tcBorders>
                  <w:noWrap w:val="0"/>
                  <w:vAlign w:val="center"/>
                </w:tcPr>
                <w:p w14:paraId="21E2F48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57.0</w:t>
                  </w:r>
                </w:p>
              </w:tc>
              <w:tc>
                <w:tcPr>
                  <w:tcW w:w="682" w:type="dxa"/>
                  <w:tcBorders>
                    <w:tl2br w:val="nil"/>
                    <w:tr2bl w:val="nil"/>
                  </w:tcBorders>
                  <w:noWrap w:val="0"/>
                  <w:vAlign w:val="center"/>
                </w:tcPr>
                <w:p w14:paraId="35A688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53.5</w:t>
                  </w:r>
                </w:p>
              </w:tc>
              <w:tc>
                <w:tcPr>
                  <w:tcW w:w="682" w:type="dxa"/>
                  <w:tcBorders>
                    <w:tl2br w:val="nil"/>
                    <w:tr2bl w:val="nil"/>
                  </w:tcBorders>
                  <w:noWrap w:val="0"/>
                  <w:vAlign w:val="center"/>
                </w:tcPr>
                <w:p w14:paraId="652FD9A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51.0</w:t>
                  </w:r>
                </w:p>
              </w:tc>
              <w:tc>
                <w:tcPr>
                  <w:tcW w:w="688" w:type="dxa"/>
                  <w:tcBorders>
                    <w:tl2br w:val="nil"/>
                    <w:tr2bl w:val="nil"/>
                  </w:tcBorders>
                  <w:noWrap w:val="0"/>
                  <w:vAlign w:val="center"/>
                </w:tcPr>
                <w:p w14:paraId="29E22A8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47.5</w:t>
                  </w:r>
                </w:p>
              </w:tc>
            </w:tr>
            <w:tr w14:paraId="3F668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tcBorders>
                    <w:tl2br w:val="nil"/>
                    <w:tr2bl w:val="nil"/>
                  </w:tcBorders>
                  <w:noWrap w:val="0"/>
                  <w:vAlign w:val="center"/>
                </w:tcPr>
                <w:p w14:paraId="2F89AFA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推土机</w:t>
                  </w:r>
                </w:p>
              </w:tc>
              <w:tc>
                <w:tcPr>
                  <w:tcW w:w="682" w:type="dxa"/>
                  <w:tcBorders>
                    <w:tl2br w:val="nil"/>
                    <w:tr2bl w:val="nil"/>
                  </w:tcBorders>
                  <w:noWrap w:val="0"/>
                  <w:vAlign w:val="center"/>
                </w:tcPr>
                <w:p w14:paraId="75F0866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82.0</w:t>
                  </w:r>
                </w:p>
              </w:tc>
              <w:tc>
                <w:tcPr>
                  <w:tcW w:w="682" w:type="dxa"/>
                  <w:tcBorders>
                    <w:tl2br w:val="nil"/>
                    <w:tr2bl w:val="nil"/>
                  </w:tcBorders>
                  <w:noWrap w:val="0"/>
                  <w:vAlign w:val="center"/>
                </w:tcPr>
                <w:p w14:paraId="759561D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76.0</w:t>
                  </w:r>
                </w:p>
              </w:tc>
              <w:tc>
                <w:tcPr>
                  <w:tcW w:w="682" w:type="dxa"/>
                  <w:tcBorders>
                    <w:tl2br w:val="nil"/>
                    <w:tr2bl w:val="nil"/>
                  </w:tcBorders>
                  <w:noWrap w:val="0"/>
                  <w:vAlign w:val="center"/>
                </w:tcPr>
                <w:p w14:paraId="28AD44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70.0</w:t>
                  </w:r>
                </w:p>
              </w:tc>
              <w:tc>
                <w:tcPr>
                  <w:tcW w:w="682" w:type="dxa"/>
                  <w:tcBorders>
                    <w:tl2br w:val="nil"/>
                    <w:tr2bl w:val="nil"/>
                  </w:tcBorders>
                  <w:noWrap w:val="0"/>
                  <w:vAlign w:val="center"/>
                </w:tcPr>
                <w:p w14:paraId="11E403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64.0</w:t>
                  </w:r>
                </w:p>
              </w:tc>
              <w:tc>
                <w:tcPr>
                  <w:tcW w:w="682" w:type="dxa"/>
                  <w:tcBorders>
                    <w:tl2br w:val="nil"/>
                    <w:tr2bl w:val="nil"/>
                  </w:tcBorders>
                  <w:noWrap w:val="0"/>
                  <w:vAlign w:val="center"/>
                </w:tcPr>
                <w:p w14:paraId="6F35B06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60.4</w:t>
                  </w:r>
                </w:p>
              </w:tc>
              <w:tc>
                <w:tcPr>
                  <w:tcW w:w="682" w:type="dxa"/>
                  <w:tcBorders>
                    <w:tl2br w:val="nil"/>
                    <w:tr2bl w:val="nil"/>
                  </w:tcBorders>
                  <w:noWrap w:val="0"/>
                  <w:vAlign w:val="center"/>
                </w:tcPr>
                <w:p w14:paraId="2D9D77E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57.9</w:t>
                  </w:r>
                </w:p>
              </w:tc>
              <w:tc>
                <w:tcPr>
                  <w:tcW w:w="682" w:type="dxa"/>
                  <w:tcBorders>
                    <w:tl2br w:val="nil"/>
                    <w:tr2bl w:val="nil"/>
                  </w:tcBorders>
                  <w:noWrap w:val="0"/>
                  <w:vAlign w:val="center"/>
                </w:tcPr>
                <w:p w14:paraId="0BDA4D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56.0</w:t>
                  </w:r>
                </w:p>
              </w:tc>
              <w:tc>
                <w:tcPr>
                  <w:tcW w:w="682" w:type="dxa"/>
                  <w:tcBorders>
                    <w:tl2br w:val="nil"/>
                    <w:tr2bl w:val="nil"/>
                  </w:tcBorders>
                  <w:noWrap w:val="0"/>
                  <w:vAlign w:val="center"/>
                </w:tcPr>
                <w:p w14:paraId="2414055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52.5</w:t>
                  </w:r>
                </w:p>
              </w:tc>
              <w:tc>
                <w:tcPr>
                  <w:tcW w:w="682" w:type="dxa"/>
                  <w:tcBorders>
                    <w:tl2br w:val="nil"/>
                    <w:tr2bl w:val="nil"/>
                  </w:tcBorders>
                  <w:noWrap w:val="0"/>
                  <w:vAlign w:val="center"/>
                </w:tcPr>
                <w:p w14:paraId="1876FA7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50.0</w:t>
                  </w:r>
                </w:p>
              </w:tc>
              <w:tc>
                <w:tcPr>
                  <w:tcW w:w="688" w:type="dxa"/>
                  <w:tcBorders>
                    <w:tl2br w:val="nil"/>
                    <w:tr2bl w:val="nil"/>
                  </w:tcBorders>
                  <w:noWrap w:val="0"/>
                  <w:vAlign w:val="center"/>
                </w:tcPr>
                <w:p w14:paraId="56DE651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46.5</w:t>
                  </w:r>
                </w:p>
              </w:tc>
            </w:tr>
            <w:tr w14:paraId="7ADC9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21" w:type="dxa"/>
                  <w:tcBorders>
                    <w:tl2br w:val="nil"/>
                    <w:tr2bl w:val="nil"/>
                  </w:tcBorders>
                  <w:noWrap w:val="0"/>
                  <w:vAlign w:val="center"/>
                </w:tcPr>
                <w:p w14:paraId="7556357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蛙式</w:t>
                  </w:r>
                  <w:r>
                    <w:rPr>
                      <w:rFonts w:hint="default" w:ascii="Times New Roman" w:hAnsi="Times New Roman" w:eastAsia="宋体" w:cs="Times New Roman"/>
                      <w:color w:val="auto"/>
                      <w:sz w:val="21"/>
                      <w:szCs w:val="21"/>
                      <w:highlight w:val="none"/>
                    </w:rPr>
                    <w:t>夯机</w:t>
                  </w:r>
                </w:p>
              </w:tc>
              <w:tc>
                <w:tcPr>
                  <w:tcW w:w="682" w:type="dxa"/>
                  <w:tcBorders>
                    <w:tl2br w:val="nil"/>
                    <w:tr2bl w:val="nil"/>
                  </w:tcBorders>
                  <w:noWrap w:val="0"/>
                  <w:vAlign w:val="center"/>
                </w:tcPr>
                <w:p w14:paraId="5F36A96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86.0</w:t>
                  </w:r>
                </w:p>
              </w:tc>
              <w:tc>
                <w:tcPr>
                  <w:tcW w:w="682" w:type="dxa"/>
                  <w:tcBorders>
                    <w:tl2br w:val="nil"/>
                    <w:tr2bl w:val="nil"/>
                  </w:tcBorders>
                  <w:noWrap w:val="0"/>
                  <w:vAlign w:val="center"/>
                </w:tcPr>
                <w:p w14:paraId="065FD32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80.0</w:t>
                  </w:r>
                </w:p>
              </w:tc>
              <w:tc>
                <w:tcPr>
                  <w:tcW w:w="682" w:type="dxa"/>
                  <w:tcBorders>
                    <w:tl2br w:val="nil"/>
                    <w:tr2bl w:val="nil"/>
                  </w:tcBorders>
                  <w:noWrap w:val="0"/>
                  <w:vAlign w:val="center"/>
                </w:tcPr>
                <w:p w14:paraId="51E0905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74.0</w:t>
                  </w:r>
                </w:p>
              </w:tc>
              <w:tc>
                <w:tcPr>
                  <w:tcW w:w="682" w:type="dxa"/>
                  <w:tcBorders>
                    <w:tl2br w:val="nil"/>
                    <w:tr2bl w:val="nil"/>
                  </w:tcBorders>
                  <w:noWrap w:val="0"/>
                  <w:vAlign w:val="center"/>
                </w:tcPr>
                <w:p w14:paraId="456328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68.0</w:t>
                  </w:r>
                </w:p>
              </w:tc>
              <w:tc>
                <w:tcPr>
                  <w:tcW w:w="682" w:type="dxa"/>
                  <w:tcBorders>
                    <w:tl2br w:val="nil"/>
                    <w:tr2bl w:val="nil"/>
                  </w:tcBorders>
                  <w:noWrap w:val="0"/>
                  <w:vAlign w:val="center"/>
                </w:tcPr>
                <w:p w14:paraId="0B4C21B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64.4</w:t>
                  </w:r>
                </w:p>
              </w:tc>
              <w:tc>
                <w:tcPr>
                  <w:tcW w:w="682" w:type="dxa"/>
                  <w:tcBorders>
                    <w:tl2br w:val="nil"/>
                    <w:tr2bl w:val="nil"/>
                  </w:tcBorders>
                  <w:noWrap w:val="0"/>
                  <w:vAlign w:val="center"/>
                </w:tcPr>
                <w:p w14:paraId="2D6A319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61.9</w:t>
                  </w:r>
                </w:p>
              </w:tc>
              <w:tc>
                <w:tcPr>
                  <w:tcW w:w="682" w:type="dxa"/>
                  <w:tcBorders>
                    <w:tl2br w:val="nil"/>
                    <w:tr2bl w:val="nil"/>
                  </w:tcBorders>
                  <w:noWrap w:val="0"/>
                  <w:vAlign w:val="center"/>
                </w:tcPr>
                <w:p w14:paraId="6DD78D0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60.0</w:t>
                  </w:r>
                </w:p>
              </w:tc>
              <w:tc>
                <w:tcPr>
                  <w:tcW w:w="682" w:type="dxa"/>
                  <w:tcBorders>
                    <w:tl2br w:val="nil"/>
                    <w:tr2bl w:val="nil"/>
                  </w:tcBorders>
                  <w:noWrap w:val="0"/>
                  <w:vAlign w:val="center"/>
                </w:tcPr>
                <w:p w14:paraId="5A06E67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56.5</w:t>
                  </w:r>
                </w:p>
              </w:tc>
              <w:tc>
                <w:tcPr>
                  <w:tcW w:w="682" w:type="dxa"/>
                  <w:tcBorders>
                    <w:tl2br w:val="nil"/>
                    <w:tr2bl w:val="nil"/>
                  </w:tcBorders>
                  <w:noWrap w:val="0"/>
                  <w:vAlign w:val="center"/>
                </w:tcPr>
                <w:p w14:paraId="3942BEB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54.0</w:t>
                  </w:r>
                </w:p>
              </w:tc>
              <w:tc>
                <w:tcPr>
                  <w:tcW w:w="688" w:type="dxa"/>
                  <w:tcBorders>
                    <w:tl2br w:val="nil"/>
                    <w:tr2bl w:val="nil"/>
                  </w:tcBorders>
                  <w:noWrap w:val="0"/>
                  <w:vAlign w:val="center"/>
                </w:tcPr>
                <w:p w14:paraId="4DBD4F3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50.5</w:t>
                  </w:r>
                </w:p>
              </w:tc>
            </w:tr>
            <w:tr w14:paraId="5030AF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321" w:type="dxa"/>
                  <w:tcBorders>
                    <w:tl2br w:val="nil"/>
                    <w:tr2bl w:val="nil"/>
                  </w:tcBorders>
                  <w:noWrap w:val="0"/>
                  <w:vAlign w:val="center"/>
                </w:tcPr>
                <w:p w14:paraId="5F9708B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柴油发电机</w:t>
                  </w:r>
                </w:p>
              </w:tc>
              <w:tc>
                <w:tcPr>
                  <w:tcW w:w="682" w:type="dxa"/>
                  <w:tcBorders>
                    <w:tl2br w:val="nil"/>
                    <w:tr2bl w:val="nil"/>
                  </w:tcBorders>
                  <w:noWrap w:val="0"/>
                  <w:vAlign w:val="center"/>
                </w:tcPr>
                <w:p w14:paraId="3388D8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86.0</w:t>
                  </w:r>
                </w:p>
              </w:tc>
              <w:tc>
                <w:tcPr>
                  <w:tcW w:w="682" w:type="dxa"/>
                  <w:tcBorders>
                    <w:tl2br w:val="nil"/>
                    <w:tr2bl w:val="nil"/>
                  </w:tcBorders>
                  <w:noWrap w:val="0"/>
                  <w:vAlign w:val="center"/>
                </w:tcPr>
                <w:p w14:paraId="1E00E7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80.0</w:t>
                  </w:r>
                </w:p>
              </w:tc>
              <w:tc>
                <w:tcPr>
                  <w:tcW w:w="682" w:type="dxa"/>
                  <w:tcBorders>
                    <w:tl2br w:val="nil"/>
                    <w:tr2bl w:val="nil"/>
                  </w:tcBorders>
                  <w:noWrap w:val="0"/>
                  <w:vAlign w:val="center"/>
                </w:tcPr>
                <w:p w14:paraId="5292FE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74.0</w:t>
                  </w:r>
                </w:p>
              </w:tc>
              <w:tc>
                <w:tcPr>
                  <w:tcW w:w="682" w:type="dxa"/>
                  <w:tcBorders>
                    <w:tl2br w:val="nil"/>
                    <w:tr2bl w:val="nil"/>
                  </w:tcBorders>
                  <w:noWrap w:val="0"/>
                  <w:vAlign w:val="center"/>
                </w:tcPr>
                <w:p w14:paraId="5CBF50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68.0</w:t>
                  </w:r>
                </w:p>
              </w:tc>
              <w:tc>
                <w:tcPr>
                  <w:tcW w:w="682" w:type="dxa"/>
                  <w:tcBorders>
                    <w:tl2br w:val="nil"/>
                    <w:tr2bl w:val="nil"/>
                  </w:tcBorders>
                  <w:noWrap w:val="0"/>
                  <w:vAlign w:val="center"/>
                </w:tcPr>
                <w:p w14:paraId="35A29A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64.4</w:t>
                  </w:r>
                </w:p>
              </w:tc>
              <w:tc>
                <w:tcPr>
                  <w:tcW w:w="682" w:type="dxa"/>
                  <w:tcBorders>
                    <w:tl2br w:val="nil"/>
                    <w:tr2bl w:val="nil"/>
                  </w:tcBorders>
                  <w:noWrap w:val="0"/>
                  <w:vAlign w:val="center"/>
                </w:tcPr>
                <w:p w14:paraId="5F14AF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61.9</w:t>
                  </w:r>
                </w:p>
              </w:tc>
              <w:tc>
                <w:tcPr>
                  <w:tcW w:w="682" w:type="dxa"/>
                  <w:tcBorders>
                    <w:tl2br w:val="nil"/>
                    <w:tr2bl w:val="nil"/>
                  </w:tcBorders>
                  <w:noWrap w:val="0"/>
                  <w:vAlign w:val="center"/>
                </w:tcPr>
                <w:p w14:paraId="11798D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60.0</w:t>
                  </w:r>
                </w:p>
              </w:tc>
              <w:tc>
                <w:tcPr>
                  <w:tcW w:w="682" w:type="dxa"/>
                  <w:tcBorders>
                    <w:tl2br w:val="nil"/>
                    <w:tr2bl w:val="nil"/>
                  </w:tcBorders>
                  <w:noWrap w:val="0"/>
                  <w:vAlign w:val="center"/>
                </w:tcPr>
                <w:p w14:paraId="217F52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56.5</w:t>
                  </w:r>
                </w:p>
              </w:tc>
              <w:tc>
                <w:tcPr>
                  <w:tcW w:w="682" w:type="dxa"/>
                  <w:tcBorders>
                    <w:tl2br w:val="nil"/>
                    <w:tr2bl w:val="nil"/>
                  </w:tcBorders>
                  <w:noWrap w:val="0"/>
                  <w:vAlign w:val="center"/>
                </w:tcPr>
                <w:p w14:paraId="7D39D7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54.0</w:t>
                  </w:r>
                </w:p>
              </w:tc>
              <w:tc>
                <w:tcPr>
                  <w:tcW w:w="688" w:type="dxa"/>
                  <w:tcBorders>
                    <w:tl2br w:val="nil"/>
                    <w:tr2bl w:val="nil"/>
                  </w:tcBorders>
                  <w:noWrap w:val="0"/>
                  <w:vAlign w:val="center"/>
                </w:tcPr>
                <w:p w14:paraId="3FEDC7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50.5</w:t>
                  </w:r>
                </w:p>
              </w:tc>
            </w:tr>
          </w:tbl>
          <w:p w14:paraId="0E1359E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根据上表可以看出：</w:t>
            </w:r>
          </w:p>
          <w:p w14:paraId="3A39E64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①工程施工噪声因不同的施工机械影响的范围相差很大，夜间施工噪声的影响范围比昼间大得多。在实际施工过程中可能出现多台施工机械同时在一起作业因此实际施工噪声的影响范围比预测值大。</w:t>
            </w:r>
          </w:p>
          <w:p w14:paraId="45FA6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②施工噪声将对周边声环境质量产生一定的影响，昼间超标范围主要出现在距施工机械20</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40m的范围内。</w:t>
            </w:r>
          </w:p>
          <w:p w14:paraId="434C39E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③为将施工期间的噪声影响降低</w:t>
            </w:r>
            <w:r>
              <w:rPr>
                <w:rFonts w:hint="eastAsia" w:ascii="Times New Roman" w:hAnsi="Times New Roman" w:eastAsia="宋体" w:cs="Times New Roman"/>
                <w:color w:val="auto"/>
                <w:sz w:val="24"/>
                <w:szCs w:val="24"/>
                <w:highlight w:val="none"/>
                <w:lang w:val="en-US" w:eastAsia="zh-CN"/>
              </w:rPr>
              <w:t>到最低程度</w:t>
            </w:r>
            <w:r>
              <w:rPr>
                <w:rFonts w:hint="default" w:ascii="Times New Roman" w:hAnsi="Times New Roman" w:eastAsia="宋体" w:cs="Times New Roman"/>
                <w:color w:val="auto"/>
                <w:sz w:val="24"/>
                <w:szCs w:val="24"/>
                <w:highlight w:val="none"/>
                <w:lang w:val="en-US" w:eastAsia="zh-CN"/>
              </w:rPr>
              <w:t>，建议加强施工期间的施工组织和施工管理，合理安排施工进度和时间，并将施工机械远离村庄布设，同时施工是短暂的，在施工结束后，噪声影响也相继消失。</w:t>
            </w:r>
          </w:p>
          <w:p w14:paraId="7D69D2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固体废物环境影响分析</w:t>
            </w:r>
          </w:p>
          <w:p w14:paraId="6B49C47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本项目施工期固体废物主要包括</w:t>
            </w:r>
            <w:r>
              <w:rPr>
                <w:rFonts w:hint="eastAsia"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生活垃圾。</w:t>
            </w:r>
          </w:p>
          <w:p w14:paraId="72C0549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生活垃圾</w:t>
            </w:r>
          </w:p>
          <w:p w14:paraId="6941719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施工人员生活垃圾由施工现场设置的垃圾箱集中收集后，</w:t>
            </w:r>
            <w:r>
              <w:rPr>
                <w:rFonts w:hint="eastAsia" w:cs="Times New Roman"/>
                <w:color w:val="auto"/>
                <w:sz w:val="24"/>
                <w:szCs w:val="24"/>
                <w:highlight w:val="none"/>
                <w:lang w:val="en-US" w:eastAsia="zh-CN"/>
              </w:rPr>
              <w:t>委</w:t>
            </w:r>
            <w:r>
              <w:rPr>
                <w:rFonts w:hint="default" w:ascii="Times New Roman" w:hAnsi="Times New Roman" w:eastAsia="宋体" w:cs="Times New Roman"/>
                <w:color w:val="auto"/>
                <w:spacing w:val="0"/>
                <w:highlight w:val="none"/>
                <w:lang w:val="en-US"/>
              </w:rPr>
              <w:t>清运至垃圾集中处理点</w:t>
            </w:r>
            <w:r>
              <w:rPr>
                <w:rFonts w:hint="default" w:ascii="Times New Roman" w:hAnsi="Times New Roman" w:eastAsia="宋体" w:cs="Times New Roman"/>
                <w:color w:val="auto"/>
                <w:sz w:val="24"/>
                <w:szCs w:val="24"/>
                <w:highlight w:val="none"/>
                <w:lang w:val="en-US" w:eastAsia="zh-CN"/>
              </w:rPr>
              <w:t>。</w:t>
            </w:r>
          </w:p>
          <w:p w14:paraId="1B156AB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综上所述，项目施工期产生的固体废物均可进行合理处置，对环境影响较小。</w:t>
            </w:r>
          </w:p>
        </w:tc>
      </w:tr>
      <w:tr w14:paraId="0A3E3C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879" w:type="dxa"/>
            <w:tcBorders>
              <w:tl2br w:val="nil"/>
              <w:tr2bl w:val="nil"/>
            </w:tcBorders>
            <w:noWrap w:val="0"/>
            <w:tcMar>
              <w:left w:w="28" w:type="dxa"/>
              <w:right w:w="28" w:type="dxa"/>
            </w:tcMar>
            <w:vAlign w:val="center"/>
          </w:tcPr>
          <w:p w14:paraId="1B241C34">
            <w:pPr>
              <w:pStyle w:val="13"/>
              <w:adjustRightInd w:val="0"/>
              <w:snapToGrid w:val="0"/>
              <w:spacing w:before="0" w:beforeAutospacing="0" w:after="0" w:afterAutospacing="0"/>
              <w:jc w:val="center"/>
              <w:rPr>
                <w:rFonts w:hint="default" w:ascii="Times New Roman" w:hAnsi="Times New Roman" w:eastAsia="宋体" w:cs="Times New Roman"/>
                <w:bCs/>
                <w:color w:val="auto"/>
                <w:spacing w:val="10"/>
                <w:kern w:val="2"/>
                <w:sz w:val="24"/>
                <w:szCs w:val="24"/>
                <w:highlight w:val="none"/>
                <w:lang w:val="en-US" w:eastAsia="zh-CN"/>
              </w:rPr>
            </w:pPr>
            <w:r>
              <w:rPr>
                <w:rFonts w:hint="eastAsia" w:ascii="Times New Roman" w:hAnsi="Times New Roman" w:cs="Times New Roman"/>
                <w:bCs/>
                <w:color w:val="auto"/>
                <w:spacing w:val="10"/>
                <w:kern w:val="2"/>
                <w:sz w:val="24"/>
                <w:szCs w:val="24"/>
                <w:highlight w:val="none"/>
                <w:lang w:val="en-US" w:eastAsia="zh-CN"/>
              </w:rPr>
              <w:t>运营期生态环境影响分析</w:t>
            </w:r>
          </w:p>
        </w:tc>
        <w:tc>
          <w:tcPr>
            <w:tcW w:w="8363" w:type="dxa"/>
            <w:tcBorders>
              <w:tl2br w:val="nil"/>
              <w:tr2bl w:val="nil"/>
            </w:tcBorders>
            <w:noWrap w:val="0"/>
            <w:vAlign w:val="top"/>
          </w:tcPr>
          <w:p w14:paraId="7A3522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生态环境影响分析</w:t>
            </w:r>
          </w:p>
          <w:p w14:paraId="48474C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通过对历史遗留无主矿渣堆场实施边坡整形、坡体稳固、防渗阻隔、覆土复绿及系统生态修复综合治理，从源头彻底消除了矿渣无序堆存引发的坡面滑塌、水土流失、重金属淋溶迁移等生态与安全隐患，有效修复了区域受损生态结构，提升了生态系统稳定性、连通性和完整性。工程彻底阻断了重金属向周边土壤、沟道及红岩河水体迁移扩散的途径，根除了历史存量污染带来的持续不利影响；项目施工扰动仅限原有渣堆占地范围，治理完成后无新增生态负面影响。同时，项目有效改善了区域植被覆盖及水土保持、水源涵养生态功能，消除了地质环境风险及潜在社会稳定隐患，显著提升了区域人居环境与汉江上游流域水生态安全水平，整体具有显著且长效的生态正向效益与社会效益。</w:t>
            </w:r>
          </w:p>
          <w:p w14:paraId="7896CD7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水环境的影响分析</w:t>
            </w:r>
          </w:p>
          <w:p w14:paraId="68F27BB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生活污水</w:t>
            </w:r>
          </w:p>
          <w:p w14:paraId="54B0E63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项目运营期主要是对植被恢复后期管理维护，不在项目地食宿，用水主要为自带的饮用水，无生活污水产生。</w:t>
            </w:r>
          </w:p>
          <w:p w14:paraId="3C48BF5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淋滤水</w:t>
            </w:r>
          </w:p>
          <w:p w14:paraId="05DFB54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本项目运营期治理封场覆土绿化后，渣堆表面已采取</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lang w:val="en-US" w:eastAsia="zh-CN"/>
              </w:rPr>
              <w:t>cm表土层</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加之边坡以1:3放坡，利于地表径流快速排放</w:t>
            </w:r>
            <w:r>
              <w:rPr>
                <w:rFonts w:hint="eastAsia" w:cs="Times New Roman"/>
                <w:color w:val="auto"/>
                <w:sz w:val="24"/>
                <w:szCs w:val="24"/>
                <w:highlight w:val="none"/>
                <w:lang w:val="en-US" w:eastAsia="zh-CN"/>
              </w:rPr>
              <w:t>，且已采取水平防渗层阻断雨水淋滤</w:t>
            </w:r>
            <w:r>
              <w:rPr>
                <w:rFonts w:hint="default" w:ascii="Times New Roman" w:hAnsi="Times New Roman" w:eastAsia="宋体" w:cs="Times New Roman"/>
                <w:color w:val="auto"/>
                <w:sz w:val="24"/>
                <w:szCs w:val="24"/>
                <w:highlight w:val="none"/>
                <w:lang w:val="en-US" w:eastAsia="zh-CN"/>
              </w:rPr>
              <w:t>，</w:t>
            </w:r>
            <w:r>
              <w:rPr>
                <w:rFonts w:hint="eastAsia"/>
                <w:color w:val="auto"/>
                <w:sz w:val="24"/>
                <w:szCs w:val="24"/>
                <w:lang w:val="en-US" w:eastAsia="zh-CN"/>
              </w:rPr>
              <w:t>基本</w:t>
            </w:r>
            <w:r>
              <w:rPr>
                <w:rFonts w:hint="default" w:ascii="Times New Roman" w:hAnsi="Times New Roman" w:eastAsia="宋体" w:cs="Times New Roman"/>
                <w:color w:val="auto"/>
                <w:sz w:val="24"/>
                <w:szCs w:val="24"/>
                <w:highlight w:val="none"/>
                <w:lang w:val="en-US" w:eastAsia="zh-CN"/>
              </w:rPr>
              <w:t>不</w:t>
            </w:r>
            <w:r>
              <w:rPr>
                <w:rFonts w:hint="eastAsia" w:cs="Times New Roman"/>
                <w:color w:val="auto"/>
                <w:sz w:val="24"/>
                <w:szCs w:val="24"/>
                <w:highlight w:val="none"/>
                <w:lang w:val="en-US" w:eastAsia="zh-CN"/>
              </w:rPr>
              <w:t>会</w:t>
            </w:r>
            <w:r>
              <w:rPr>
                <w:rFonts w:hint="default" w:ascii="Times New Roman" w:hAnsi="Times New Roman" w:eastAsia="宋体" w:cs="Times New Roman"/>
                <w:color w:val="auto"/>
                <w:sz w:val="24"/>
                <w:szCs w:val="24"/>
                <w:highlight w:val="none"/>
                <w:lang w:val="en-US" w:eastAsia="zh-CN"/>
              </w:rPr>
              <w:t>产生淋滤水。</w:t>
            </w:r>
          </w:p>
          <w:p w14:paraId="25EE0E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大气环境的影响分析</w:t>
            </w:r>
          </w:p>
          <w:p w14:paraId="6DE5D0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本项目封场完成后无废气产生。</w:t>
            </w:r>
          </w:p>
          <w:p w14:paraId="533A995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声环境的影响分析</w:t>
            </w:r>
          </w:p>
          <w:p w14:paraId="12CD8F4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项目运行期主要是对已覆土绿化渣场进行维护，无噪声源。</w:t>
            </w:r>
          </w:p>
          <w:p w14:paraId="074DB12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固体废物的影响分析</w:t>
            </w:r>
          </w:p>
          <w:p w14:paraId="4FE6A95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本项目封场完成后</w:t>
            </w:r>
            <w:r>
              <w:rPr>
                <w:rFonts w:hint="eastAsia" w:cs="Times New Roman"/>
                <w:color w:val="auto"/>
                <w:sz w:val="24"/>
                <w:szCs w:val="24"/>
                <w:highlight w:val="none"/>
                <w:lang w:val="en-US" w:eastAsia="zh-CN"/>
              </w:rPr>
              <w:t>基本上无</w:t>
            </w:r>
            <w:r>
              <w:rPr>
                <w:rFonts w:hint="default" w:ascii="Times New Roman" w:hAnsi="Times New Roman" w:eastAsia="宋体" w:cs="Times New Roman"/>
                <w:color w:val="auto"/>
                <w:sz w:val="24"/>
                <w:szCs w:val="24"/>
                <w:highlight w:val="none"/>
                <w:lang w:val="en-US" w:eastAsia="zh-CN"/>
              </w:rPr>
              <w:t>固体废物产生。</w:t>
            </w:r>
          </w:p>
          <w:p w14:paraId="2F5FE0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环境风险影响分析</w:t>
            </w:r>
          </w:p>
          <w:p w14:paraId="4AE02C0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环境风险识别</w:t>
            </w:r>
          </w:p>
          <w:p w14:paraId="793433A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雨水收集疏导系统出现堵塞及断裂事故时，雨水与废渣接触后废水泄漏对周围环境及地下水造成影响。</w:t>
            </w:r>
          </w:p>
          <w:p w14:paraId="3E51A22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环境风险防范措施</w:t>
            </w:r>
          </w:p>
          <w:p w14:paraId="3AE202B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场地的四周修截排水沟，治理场地排水坡度&gt;3%，做好各场地防排水措施，疏导山洪流向平地。防排水系统、挡墙和挡渣墙等设施，按要求施工，定期巡检、维护</w:t>
            </w:r>
            <w:r>
              <w:rPr>
                <w:rFonts w:hint="eastAsia" w:cs="Times New Roman"/>
                <w:color w:val="auto"/>
                <w:sz w:val="24"/>
                <w:szCs w:val="24"/>
                <w:highlight w:val="none"/>
                <w:lang w:val="en-US" w:eastAsia="zh-CN"/>
              </w:rPr>
              <w:t>；</w:t>
            </w:r>
          </w:p>
          <w:p w14:paraId="73EF403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设计时应预留足够的安全储备，严格按现行的建筑抗震规范进行抗震设计，采取必要的抗震结构及抗震措施，确保治理场地安全</w:t>
            </w:r>
            <w:r>
              <w:rPr>
                <w:rFonts w:hint="eastAsia" w:cs="Times New Roman"/>
                <w:color w:val="auto"/>
                <w:sz w:val="24"/>
                <w:szCs w:val="24"/>
                <w:highlight w:val="none"/>
                <w:lang w:val="en-US" w:eastAsia="zh-CN"/>
              </w:rPr>
              <w:t>；</w:t>
            </w:r>
          </w:p>
          <w:p w14:paraId="4301E8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加强整个治理场地的维护管理，做好日常巡查，确保治理区防洪截沟、排水沟等排水措施畅通，避免雨洪水进入治理区形成冲刷，提高挡渣墙的抗洪能力，发现问题及时处理。</w:t>
            </w:r>
          </w:p>
          <w:p w14:paraId="7AE8F2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进一步加强挡渣墙的安全监测，对挡渣墙进行专项管理和维护，严禁在挡渣墙周边进行爆破、滥挖废渣等危害治理区域安全的活动。</w:t>
            </w:r>
          </w:p>
          <w:p w14:paraId="1001582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7.对历史土壤重金属污染的系统改善</w:t>
            </w:r>
          </w:p>
          <w:p w14:paraId="52F242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本项目实施后，将通过以下措施实现对现有土壤重金属污染的系统性改善和风险管控：</w:t>
            </w:r>
          </w:p>
          <w:p w14:paraId="4CC2691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（1）源头阻断：废渣堆表面铺设1.5mm厚HDPE两布一膜水平阻隔层（渗透系数&lt;10</w:t>
            </w:r>
            <w:r>
              <w:rPr>
                <w:rFonts w:hint="eastAsia" w:cs="Times New Roman"/>
                <w:color w:val="auto"/>
                <w:kern w:val="2"/>
                <w:sz w:val="24"/>
                <w:szCs w:val="24"/>
                <w:highlight w:val="none"/>
                <w:vertAlign w:val="superscript"/>
                <w:lang w:val="en-US" w:eastAsia="zh-CN" w:bidi="ar-SA"/>
              </w:rPr>
              <w:t>-12</w:t>
            </w:r>
            <w:r>
              <w:rPr>
                <w:rFonts w:hint="eastAsia" w:cs="Times New Roman"/>
                <w:color w:val="auto"/>
                <w:kern w:val="2"/>
                <w:sz w:val="24"/>
                <w:szCs w:val="24"/>
                <w:highlight w:val="none"/>
                <w:vertAlign w:val="baseline"/>
                <w:lang w:val="en-US" w:eastAsia="zh-CN" w:bidi="ar-SA"/>
              </w:rPr>
              <w:t>cm/s），配套场区环形截排水及坡面截水沟，实现雨水与废渣完全分离，从源头切断重金属继续向周边土壤迁移的途径；</w:t>
            </w:r>
          </w:p>
          <w:p w14:paraId="74686B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（2）长效监测：封场后连续3年对渣堆周边及下游农田土壤进行跟踪监测（监测因子包括pH、镉、汞、砷、铅、铬、镍、铜、锌），验证阻隔体系对重金属迁移的阻断效果；</w:t>
            </w:r>
          </w:p>
          <w:p w14:paraId="71AE98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3）改善预期：工程完工后，渣堆区雨水淋溶作用被彻底切断，周边土壤重金属输入途径完全阻断；结合现有土壤的自净能力，项目区土壤环境质量将逐步稳定，不再出现现状超标点位的持续恶化。根据同类矿山废渣治理工程经验，在实施“原位阻隔+截排水+生态复绿”综合治理后，周边土壤重金属含量可在3~5年内稳定于治理后水平，不再继续升高</w:t>
            </w:r>
          </w:p>
          <w:p w14:paraId="370CA16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t>综上所述，本项目在认真落实环评提出的环境风险防范措施后，可以在最大程度上降低事故的发生率。项目的环境风险在可接受范围之内。</w:t>
            </w:r>
          </w:p>
        </w:tc>
      </w:tr>
      <w:tr w14:paraId="4B6D8B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9" w:type="dxa"/>
            <w:tcBorders>
              <w:tl2br w:val="nil"/>
              <w:tr2bl w:val="nil"/>
            </w:tcBorders>
            <w:noWrap w:val="0"/>
            <w:tcMar>
              <w:left w:w="28" w:type="dxa"/>
              <w:right w:w="28" w:type="dxa"/>
            </w:tcMar>
            <w:vAlign w:val="center"/>
          </w:tcPr>
          <w:p w14:paraId="2D21D088">
            <w:pPr>
              <w:pStyle w:val="13"/>
              <w:adjustRightInd w:val="0"/>
              <w:snapToGrid w:val="0"/>
              <w:spacing w:before="0" w:beforeAutospacing="0" w:after="0" w:afterAutospacing="0"/>
              <w:jc w:val="center"/>
              <w:rPr>
                <w:rFonts w:hint="eastAsia" w:ascii="Times New Roman" w:hAnsi="Times New Roman" w:cs="Times New Roman"/>
                <w:bCs/>
                <w:color w:val="auto"/>
                <w:spacing w:val="10"/>
                <w:kern w:val="2"/>
                <w:sz w:val="24"/>
                <w:szCs w:val="24"/>
                <w:highlight w:val="none"/>
                <w:lang w:val="en-US" w:eastAsia="zh-CN"/>
              </w:rPr>
            </w:pPr>
            <w:r>
              <w:rPr>
                <w:rFonts w:hint="eastAsia" w:ascii="Times New Roman" w:hAnsi="Times New Roman" w:cs="Times New Roman"/>
                <w:bCs/>
                <w:color w:val="auto"/>
                <w:spacing w:val="10"/>
                <w:kern w:val="2"/>
                <w:sz w:val="24"/>
                <w:szCs w:val="24"/>
                <w:highlight w:val="none"/>
                <w:lang w:val="en-US" w:eastAsia="zh-CN"/>
              </w:rPr>
              <w:t>选址选线环境合理性分析</w:t>
            </w:r>
          </w:p>
        </w:tc>
        <w:tc>
          <w:tcPr>
            <w:tcW w:w="8363" w:type="dxa"/>
            <w:tcBorders>
              <w:tl2br w:val="nil"/>
              <w:tr2bl w:val="nil"/>
            </w:tcBorders>
            <w:noWrap w:val="0"/>
            <w:vAlign w:val="center"/>
          </w:tcPr>
          <w:p w14:paraId="25FA2A5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1.</w:t>
            </w:r>
            <w:r>
              <w:rPr>
                <w:rFonts w:hint="eastAsia" w:ascii="Times New Roman" w:hAnsi="Times New Roman" w:eastAsia="宋体" w:cs="Times New Roman"/>
                <w:b/>
                <w:bCs/>
                <w:color w:val="auto"/>
                <w:kern w:val="2"/>
                <w:sz w:val="24"/>
                <w:szCs w:val="24"/>
                <w:highlight w:val="none"/>
                <w:vertAlign w:val="baseline"/>
                <w:lang w:val="en-US" w:eastAsia="zh-CN" w:bidi="ar-SA"/>
              </w:rPr>
              <w:t>废渣综合治理技术方案</w:t>
            </w:r>
            <w:r>
              <w:rPr>
                <w:rFonts w:hint="eastAsia" w:cs="Times New Roman"/>
                <w:b/>
                <w:bCs/>
                <w:color w:val="auto"/>
                <w:kern w:val="2"/>
                <w:sz w:val="24"/>
                <w:szCs w:val="24"/>
                <w:highlight w:val="none"/>
                <w:vertAlign w:val="baseline"/>
                <w:lang w:val="en-US" w:eastAsia="zh-CN" w:bidi="ar-SA"/>
              </w:rPr>
              <w:t>论证</w:t>
            </w:r>
          </w:p>
          <w:p w14:paraId="17EA2F5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（1）</w:t>
            </w:r>
            <w:r>
              <w:rPr>
                <w:rFonts w:hint="eastAsia" w:ascii="Times New Roman" w:hAnsi="Times New Roman" w:eastAsia="宋体" w:cs="Times New Roman"/>
                <w:color w:val="auto"/>
                <w:kern w:val="2"/>
                <w:sz w:val="24"/>
                <w:szCs w:val="24"/>
                <w:highlight w:val="none"/>
                <w:vertAlign w:val="baseline"/>
                <w:lang w:val="en-US" w:eastAsia="zh-CN" w:bidi="ar-SA"/>
              </w:rPr>
              <w:t>弃渣治理技术</w:t>
            </w:r>
          </w:p>
          <w:p w14:paraId="63687AD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t>根据前期调查，太白县咀头镇历史遗留锌金矿废渣产生年代久远，经采样检测4处铅锌矿废渣堆经采样检测已经达到I一般工业固体废物相关标准。通常这类废渣整治技术主要有原位封存、异地填埋、水泥窑协同处置和综合利用等方式，具体如下</w:t>
            </w:r>
            <w:r>
              <w:rPr>
                <w:rFonts w:hint="eastAsia" w:cs="Times New Roman"/>
                <w:color w:val="auto"/>
                <w:kern w:val="2"/>
                <w:sz w:val="24"/>
                <w:szCs w:val="24"/>
                <w:highlight w:val="none"/>
                <w:vertAlign w:val="baseline"/>
                <w:lang w:val="en-US" w:eastAsia="zh-CN" w:bidi="ar-SA"/>
              </w:rPr>
              <w:t>：</w:t>
            </w:r>
          </w:p>
          <w:p w14:paraId="7D5C57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①</w:t>
            </w:r>
            <w:r>
              <w:rPr>
                <w:rFonts w:hint="eastAsia" w:ascii="Times New Roman" w:hAnsi="Times New Roman" w:eastAsia="宋体" w:cs="Times New Roman"/>
                <w:color w:val="auto"/>
                <w:kern w:val="2"/>
                <w:sz w:val="24"/>
                <w:szCs w:val="24"/>
                <w:highlight w:val="none"/>
                <w:vertAlign w:val="baseline"/>
                <w:lang w:val="en-US" w:eastAsia="zh-CN" w:bidi="ar-SA"/>
              </w:rPr>
              <w:t>原位封存</w:t>
            </w:r>
          </w:p>
          <w:p w14:paraId="55772C4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t>原位封存是指在不对废渣堆进行大规模改造的条件下，直接进行封场的技术，包括常规原址封场和改良酸性废渣堆原址封场等。原位封存的技术方案内容一般包括坡面修整、清污分流截排工程、阻隔工程、雨水导排系统、土地复垦和生态修复等，增加堆渣区堆体的稳定性，通过物理稳定、阻隔等方法降低废渣中的重金属污染物的活性，控制重金属污染物的迁移、扩散，然后对堆渣区表面进行防渗处理，减少淋溶渗滤液，降低环境风险，最后通过回填种植土和植被生态修复，恢复堆渣区生态环境。</w:t>
            </w:r>
          </w:p>
          <w:p w14:paraId="2DBF34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②</w:t>
            </w:r>
            <w:r>
              <w:rPr>
                <w:rFonts w:hint="eastAsia" w:ascii="Times New Roman" w:hAnsi="Times New Roman" w:eastAsia="宋体" w:cs="Times New Roman"/>
                <w:color w:val="auto"/>
                <w:kern w:val="2"/>
                <w:sz w:val="24"/>
                <w:szCs w:val="24"/>
                <w:highlight w:val="none"/>
                <w:vertAlign w:val="baseline"/>
                <w:lang w:val="en-US" w:eastAsia="zh-CN" w:bidi="ar-SA"/>
              </w:rPr>
              <w:t>异地填埋</w:t>
            </w:r>
          </w:p>
          <w:p w14:paraId="0197F9B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t>异地填埋处置技术是最早使用的污染土壤修复技术。通常按照隔离屏障可分为人工屏障隔离处置和天然屏障隔离处置。其中人工屏障隔离处置是通过在废渣堆积区域周边范围内选择一座专门的废渣处置场，然后将废渣运送至处置场填埋处置，填埋完成后对处置场进行封场和生态修复。而天然屏障隔离处置是利用矿产资源地下开采而形成的竖井、斜井、平硐等矿山</w:t>
            </w:r>
            <w:r>
              <w:rPr>
                <w:rFonts w:hint="eastAsia" w:cs="Times New Roman"/>
                <w:color w:val="auto"/>
                <w:kern w:val="2"/>
                <w:sz w:val="24"/>
                <w:szCs w:val="24"/>
                <w:highlight w:val="none"/>
                <w:vertAlign w:val="baseline"/>
                <w:lang w:val="en-US" w:eastAsia="zh-CN" w:bidi="ar-SA"/>
              </w:rPr>
              <w:t>井筒</w:t>
            </w:r>
            <w:r>
              <w:rPr>
                <w:rFonts w:hint="eastAsia" w:ascii="Times New Roman" w:hAnsi="Times New Roman" w:eastAsia="宋体" w:cs="Times New Roman"/>
                <w:color w:val="auto"/>
                <w:kern w:val="2"/>
                <w:sz w:val="24"/>
                <w:szCs w:val="24"/>
                <w:highlight w:val="none"/>
                <w:vertAlign w:val="baseline"/>
                <w:lang w:val="en-US" w:eastAsia="zh-CN" w:bidi="ar-SA"/>
              </w:rPr>
              <w:t>，进行填充，废弃井封井回填工作流程包括废弃井判定、环境风险评估、封井回填与验收等步骤。对于确定需要进行回填的矿井，应根据不同环境风险等级对应的要求开展回填工作，按照严格的回填要求进行回填，对回填材料进行评估，若会对周边土壤或地下水产生二次污染，应做预处理或不予填埋</w:t>
            </w:r>
            <w:r>
              <w:rPr>
                <w:rFonts w:hint="eastAsia" w:cs="Times New Roman"/>
                <w:color w:val="auto"/>
                <w:kern w:val="2"/>
                <w:sz w:val="24"/>
                <w:szCs w:val="24"/>
                <w:highlight w:val="none"/>
                <w:vertAlign w:val="baseline"/>
                <w:lang w:val="en-US" w:eastAsia="zh-CN" w:bidi="ar-SA"/>
              </w:rPr>
              <w:t>。</w:t>
            </w:r>
          </w:p>
          <w:p w14:paraId="7CDC4F1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t>异地填埋处置技术的原则是使其最大限度地与生物圈隔离，防止有毒有害物质对环境造成污染扩散，保证区域居民人身财产和健康安全。填埋处置技术本身较为简单，是一种较彻底的治理技术，但需对废渣进行转运和扰动，渣体转运工程量大，转运过程中可能带来风险，相应投资成本增加，而且温室气体排放种类多，对社会的可持续发展较为不利</w:t>
            </w:r>
            <w:r>
              <w:rPr>
                <w:rFonts w:hint="eastAsia" w:cs="Times New Roman"/>
                <w:color w:val="auto"/>
                <w:kern w:val="2"/>
                <w:sz w:val="24"/>
                <w:szCs w:val="24"/>
                <w:highlight w:val="none"/>
                <w:vertAlign w:val="baseline"/>
                <w:lang w:val="en-US" w:eastAsia="zh-CN" w:bidi="ar-SA"/>
              </w:rPr>
              <w:t>。</w:t>
            </w:r>
          </w:p>
          <w:p w14:paraId="2163454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③水泥窑协同处置</w:t>
            </w:r>
          </w:p>
          <w:p w14:paraId="0C3DBF7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水泥窑协同处置技术是一种对废渣中重金属再利用相对较彻底的治理技术是指将废渣堆内废渣通过车辆转运，运至水泥窑处置中心，水泥窑具有天然的碱性环境，能够有效地中和酸性废气、固化重金属和渗沥液中的有毒成分，使废渣中的重金属在不同高温下生化脱离进入烟气，回收后将金属烟尘作为冶炼金属的原料，而高温炉中重金属烟气全部进入水泥窑系统再次焚烧固化，剩余固体渣用作水泥原料或用作水泥混凝土增强剂。但同异地填埋相似，需对废渣进行转运和扰动，渣体转运工程量大，转运过程中可能带来风险。</w:t>
            </w:r>
          </w:p>
          <w:p w14:paraId="348B930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2.废渣综合治理技术比选</w:t>
            </w:r>
          </w:p>
          <w:p w14:paraId="5C34210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kern w:val="2"/>
                <w:sz w:val="24"/>
                <w:szCs w:val="24"/>
                <w:highlight w:val="none"/>
                <w:vertAlign w:val="baseline"/>
                <w:lang w:val="en-US" w:eastAsia="zh-CN" w:bidi="ar-SA"/>
              </w:rPr>
              <w:t>通过将原位封存、异地填埋、水泥窑协同处置和综合利用四种处置方案进行比较，对其工艺、经济性等进行综合比较，方案比选结果见表</w:t>
            </w:r>
            <w:r>
              <w:rPr>
                <w:rFonts w:hint="eastAsia" w:cs="Times New Roman"/>
                <w:color w:val="auto"/>
                <w:kern w:val="2"/>
                <w:sz w:val="24"/>
                <w:szCs w:val="24"/>
                <w:highlight w:val="none"/>
                <w:vertAlign w:val="baseline"/>
                <w:lang w:val="en-US" w:eastAsia="zh-CN" w:bidi="ar-SA"/>
              </w:rPr>
              <w:t>4-5</w:t>
            </w:r>
            <w:r>
              <w:rPr>
                <w:rFonts w:hint="default" w:ascii="Times New Roman" w:hAnsi="Times New Roman" w:eastAsia="宋体" w:cs="Times New Roman"/>
                <w:color w:val="auto"/>
                <w:kern w:val="2"/>
                <w:sz w:val="24"/>
                <w:szCs w:val="24"/>
                <w:highlight w:val="none"/>
                <w:vertAlign w:val="baseline"/>
                <w:lang w:val="en-US" w:eastAsia="zh-CN" w:bidi="ar-SA"/>
              </w:rPr>
              <w:t>。</w:t>
            </w:r>
          </w:p>
          <w:p w14:paraId="2565C8A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kern w:val="2"/>
                <w:sz w:val="21"/>
                <w:szCs w:val="21"/>
                <w:highlight w:val="none"/>
                <w:vertAlign w:val="baseline"/>
                <w:lang w:val="en-US" w:eastAsia="zh-CN" w:bidi="ar-SA"/>
              </w:rPr>
              <w:t>表</w:t>
            </w:r>
            <w:r>
              <w:rPr>
                <w:rFonts w:hint="eastAsia" w:cs="Times New Roman"/>
                <w:b/>
                <w:bCs/>
                <w:color w:val="auto"/>
                <w:kern w:val="2"/>
                <w:sz w:val="21"/>
                <w:szCs w:val="21"/>
                <w:highlight w:val="none"/>
                <w:vertAlign w:val="baseline"/>
                <w:lang w:val="en-US" w:eastAsia="zh-CN" w:bidi="ar-SA"/>
              </w:rPr>
              <w:t xml:space="preserve">4-5  </w:t>
            </w:r>
            <w:r>
              <w:rPr>
                <w:rFonts w:hint="default" w:ascii="Times New Roman" w:hAnsi="Times New Roman" w:eastAsia="宋体" w:cs="Times New Roman"/>
                <w:b/>
                <w:bCs/>
                <w:color w:val="auto"/>
                <w:kern w:val="2"/>
                <w:sz w:val="21"/>
                <w:szCs w:val="21"/>
                <w:highlight w:val="none"/>
                <w:vertAlign w:val="baseline"/>
                <w:lang w:val="en-US" w:eastAsia="zh-CN" w:bidi="ar-SA"/>
              </w:rPr>
              <w:t>涉重废渣整治技术综合比选分析表</w:t>
            </w:r>
          </w:p>
          <w:tbl>
            <w:tblPr>
              <w:tblStyle w:val="24"/>
              <w:tblW w:w="8256"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53"/>
              <w:gridCol w:w="1295"/>
              <w:gridCol w:w="451"/>
              <w:gridCol w:w="549"/>
              <w:gridCol w:w="1423"/>
              <w:gridCol w:w="736"/>
              <w:gridCol w:w="1128"/>
              <w:gridCol w:w="568"/>
              <w:gridCol w:w="834"/>
              <w:gridCol w:w="819"/>
            </w:tblGrid>
            <w:tr w14:paraId="3F9826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453" w:type="dxa"/>
                  <w:tcBorders>
                    <w:tl2br w:val="nil"/>
                    <w:tr2bl w:val="nil"/>
                  </w:tcBorders>
                  <w:vAlign w:val="center"/>
                </w:tcPr>
                <w:p w14:paraId="7F1A4B7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6"/>
                      <w:sz w:val="18"/>
                      <w:szCs w:val="18"/>
                    </w:rPr>
                    <w:t>治理</w:t>
                  </w:r>
                  <w:r>
                    <w:rPr>
                      <w:b/>
                      <w:bCs/>
                      <w:color w:val="auto"/>
                      <w:spacing w:val="3"/>
                      <w:sz w:val="18"/>
                      <w:szCs w:val="18"/>
                    </w:rPr>
                    <w:t>技术</w:t>
                  </w:r>
                </w:p>
              </w:tc>
              <w:tc>
                <w:tcPr>
                  <w:tcW w:w="1295" w:type="dxa"/>
                  <w:tcBorders>
                    <w:tl2br w:val="nil"/>
                    <w:tr2bl w:val="nil"/>
                  </w:tcBorders>
                  <w:vAlign w:val="center"/>
                </w:tcPr>
                <w:p w14:paraId="6D39686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5"/>
                      <w:sz w:val="18"/>
                      <w:szCs w:val="18"/>
                    </w:rPr>
                    <w:t>治理方法</w:t>
                  </w:r>
                </w:p>
              </w:tc>
              <w:tc>
                <w:tcPr>
                  <w:tcW w:w="451" w:type="dxa"/>
                  <w:tcBorders>
                    <w:tl2br w:val="nil"/>
                    <w:tr2bl w:val="nil"/>
                  </w:tcBorders>
                  <w:vAlign w:val="center"/>
                </w:tcPr>
                <w:p w14:paraId="2506501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3"/>
                      <w:sz w:val="18"/>
                      <w:szCs w:val="18"/>
                    </w:rPr>
                    <w:t>技术</w:t>
                  </w:r>
                  <w:r>
                    <w:rPr>
                      <w:b/>
                      <w:bCs/>
                      <w:color w:val="auto"/>
                      <w:spacing w:val="-5"/>
                      <w:sz w:val="18"/>
                      <w:szCs w:val="18"/>
                    </w:rPr>
                    <w:t>成熟</w:t>
                  </w:r>
                  <w:r>
                    <w:rPr>
                      <w:b/>
                      <w:bCs/>
                      <w:color w:val="auto"/>
                      <w:spacing w:val="-3"/>
                      <w:sz w:val="18"/>
                      <w:szCs w:val="18"/>
                    </w:rPr>
                    <w:t>性</w:t>
                  </w:r>
                </w:p>
              </w:tc>
              <w:tc>
                <w:tcPr>
                  <w:tcW w:w="549" w:type="dxa"/>
                  <w:tcBorders>
                    <w:tl2br w:val="nil"/>
                    <w:tr2bl w:val="nil"/>
                  </w:tcBorders>
                  <w:vAlign w:val="center"/>
                </w:tcPr>
                <w:p w14:paraId="58C43F1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3"/>
                      <w:sz w:val="18"/>
                      <w:szCs w:val="18"/>
                    </w:rPr>
                    <w:t>施工期</w:t>
                  </w:r>
                  <w:r>
                    <w:rPr>
                      <w:b/>
                      <w:bCs/>
                      <w:color w:val="auto"/>
                      <w:spacing w:val="3"/>
                      <w:sz w:val="18"/>
                      <w:szCs w:val="18"/>
                    </w:rPr>
                    <w:t>风险</w:t>
                  </w:r>
                </w:p>
              </w:tc>
              <w:tc>
                <w:tcPr>
                  <w:tcW w:w="1423" w:type="dxa"/>
                  <w:tcBorders>
                    <w:tl2br w:val="nil"/>
                    <w:tr2bl w:val="nil"/>
                  </w:tcBorders>
                  <w:vAlign w:val="center"/>
                </w:tcPr>
                <w:p w14:paraId="0D76784A">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6"/>
                      <w:sz w:val="18"/>
                      <w:szCs w:val="18"/>
                    </w:rPr>
                    <w:t>工程难易程度</w:t>
                  </w:r>
                </w:p>
              </w:tc>
              <w:tc>
                <w:tcPr>
                  <w:tcW w:w="736" w:type="dxa"/>
                  <w:tcBorders>
                    <w:tl2br w:val="nil"/>
                    <w:tr2bl w:val="nil"/>
                  </w:tcBorders>
                  <w:vAlign w:val="center"/>
                </w:tcPr>
                <w:p w14:paraId="5AB153C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5"/>
                      <w:sz w:val="18"/>
                      <w:szCs w:val="18"/>
                    </w:rPr>
                    <w:t>投资成本</w:t>
                  </w:r>
                </w:p>
              </w:tc>
              <w:tc>
                <w:tcPr>
                  <w:tcW w:w="1128" w:type="dxa"/>
                  <w:tcBorders>
                    <w:tl2br w:val="nil"/>
                    <w:tr2bl w:val="nil"/>
                  </w:tcBorders>
                  <w:vAlign w:val="center"/>
                </w:tcPr>
                <w:p w14:paraId="491A0A2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6"/>
                      <w:sz w:val="18"/>
                      <w:szCs w:val="18"/>
                    </w:rPr>
                    <w:t>存在问题</w:t>
                  </w:r>
                </w:p>
              </w:tc>
              <w:tc>
                <w:tcPr>
                  <w:tcW w:w="568" w:type="dxa"/>
                  <w:tcBorders>
                    <w:tl2br w:val="nil"/>
                    <w:tr2bl w:val="nil"/>
                  </w:tcBorders>
                  <w:vAlign w:val="center"/>
                </w:tcPr>
                <w:p w14:paraId="4955856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7"/>
                      <w:sz w:val="18"/>
                      <w:szCs w:val="18"/>
                    </w:rPr>
                    <w:t>修复时</w:t>
                  </w:r>
                  <w:r>
                    <w:rPr>
                      <w:b/>
                      <w:bCs/>
                      <w:color w:val="auto"/>
                      <w:spacing w:val="-3"/>
                      <w:sz w:val="18"/>
                      <w:szCs w:val="18"/>
                    </w:rPr>
                    <w:t>间</w:t>
                  </w:r>
                </w:p>
              </w:tc>
              <w:tc>
                <w:tcPr>
                  <w:tcW w:w="834" w:type="dxa"/>
                  <w:tcBorders>
                    <w:tl2br w:val="nil"/>
                    <w:tr2bl w:val="nil"/>
                  </w:tcBorders>
                  <w:vAlign w:val="center"/>
                </w:tcPr>
                <w:p w14:paraId="5AE5160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pacing w:val="6"/>
                      <w:sz w:val="18"/>
                      <w:szCs w:val="18"/>
                    </w:rPr>
                    <w:t>会环境影响</w:t>
                  </w:r>
                </w:p>
              </w:tc>
              <w:tc>
                <w:tcPr>
                  <w:tcW w:w="819" w:type="dxa"/>
                  <w:tcBorders>
                    <w:tl2br w:val="nil"/>
                    <w:tr2bl w:val="nil"/>
                  </w:tcBorders>
                  <w:vAlign w:val="center"/>
                </w:tcPr>
                <w:p w14:paraId="083200C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b/>
                      <w:bCs/>
                      <w:color w:val="auto"/>
                      <w:sz w:val="18"/>
                      <w:szCs w:val="18"/>
                    </w:rPr>
                    <w:t>比选意见</w:t>
                  </w:r>
                </w:p>
              </w:tc>
            </w:tr>
            <w:tr w14:paraId="195FF8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27" w:hRule="atLeast"/>
              </w:trPr>
              <w:tc>
                <w:tcPr>
                  <w:tcW w:w="453" w:type="dxa"/>
                  <w:tcBorders>
                    <w:tl2br w:val="nil"/>
                    <w:tr2bl w:val="nil"/>
                  </w:tcBorders>
                  <w:vAlign w:val="center"/>
                </w:tcPr>
                <w:p w14:paraId="7ADF6D1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3"/>
                      <w:sz w:val="18"/>
                      <w:szCs w:val="18"/>
                    </w:rPr>
                    <w:t>方案</w:t>
                  </w:r>
                  <w:r>
                    <w:rPr>
                      <w:rFonts w:ascii="Times New Roman" w:hAnsi="Times New Roman" w:eastAsia="Times New Roman" w:cs="Times New Roman"/>
                      <w:color w:val="auto"/>
                      <w:spacing w:val="-3"/>
                      <w:sz w:val="18"/>
                      <w:szCs w:val="18"/>
                    </w:rPr>
                    <w:t>1</w:t>
                  </w:r>
                  <w:r>
                    <w:rPr>
                      <w:color w:val="auto"/>
                      <w:spacing w:val="1"/>
                      <w:sz w:val="18"/>
                      <w:szCs w:val="18"/>
                    </w:rPr>
                    <w:t>原位</w:t>
                  </w:r>
                  <w:r>
                    <w:rPr>
                      <w:color w:val="auto"/>
                      <w:spacing w:val="5"/>
                      <w:sz w:val="18"/>
                      <w:szCs w:val="18"/>
                    </w:rPr>
                    <w:t>封存</w:t>
                  </w:r>
                </w:p>
              </w:tc>
              <w:tc>
                <w:tcPr>
                  <w:tcW w:w="1295" w:type="dxa"/>
                  <w:tcBorders>
                    <w:tl2br w:val="nil"/>
                    <w:tr2bl w:val="nil"/>
                  </w:tcBorders>
                  <w:vAlign w:val="center"/>
                </w:tcPr>
                <w:p w14:paraId="74942F7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不对废渣进行转运，对</w:t>
                  </w:r>
                  <w:r>
                    <w:rPr>
                      <w:color w:val="auto"/>
                      <w:spacing w:val="22"/>
                      <w:sz w:val="18"/>
                      <w:szCs w:val="18"/>
                    </w:rPr>
                    <w:t>堆渣区表面进行坡面</w:t>
                  </w:r>
                  <w:r>
                    <w:rPr>
                      <w:color w:val="auto"/>
                      <w:spacing w:val="-1"/>
                      <w:sz w:val="18"/>
                      <w:szCs w:val="18"/>
                    </w:rPr>
                    <w:t>整治，防渗、截流、生态修复等，控制地表水对渣体淋溶作用，减少</w:t>
                  </w:r>
                  <w:r>
                    <w:rPr>
                      <w:color w:val="auto"/>
                      <w:spacing w:val="8"/>
                      <w:sz w:val="18"/>
                      <w:szCs w:val="18"/>
                    </w:rPr>
                    <w:t>污染物扩散</w:t>
                  </w:r>
                </w:p>
              </w:tc>
              <w:tc>
                <w:tcPr>
                  <w:tcW w:w="451" w:type="dxa"/>
                  <w:tcBorders>
                    <w:tl2br w:val="nil"/>
                    <w:tr2bl w:val="nil"/>
                  </w:tcBorders>
                  <w:vAlign w:val="center"/>
                </w:tcPr>
                <w:p w14:paraId="0269FEB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技术</w:t>
                  </w:r>
                  <w:r>
                    <w:rPr>
                      <w:color w:val="auto"/>
                      <w:spacing w:val="3"/>
                      <w:sz w:val="18"/>
                      <w:szCs w:val="18"/>
                    </w:rPr>
                    <w:t>成熟</w:t>
                  </w:r>
                </w:p>
              </w:tc>
              <w:tc>
                <w:tcPr>
                  <w:tcW w:w="549" w:type="dxa"/>
                  <w:tcBorders>
                    <w:tl2br w:val="nil"/>
                    <w:tr2bl w:val="nil"/>
                  </w:tcBorders>
                  <w:vAlign w:val="center"/>
                </w:tcPr>
                <w:p w14:paraId="310B527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施工期</w:t>
                  </w:r>
                  <w:r>
                    <w:rPr>
                      <w:color w:val="auto"/>
                      <w:spacing w:val="6"/>
                      <w:sz w:val="18"/>
                      <w:szCs w:val="18"/>
                    </w:rPr>
                    <w:t>风险小</w:t>
                  </w:r>
                </w:p>
              </w:tc>
              <w:tc>
                <w:tcPr>
                  <w:tcW w:w="1423" w:type="dxa"/>
                  <w:tcBorders>
                    <w:tl2br w:val="nil"/>
                    <w:tr2bl w:val="nil"/>
                  </w:tcBorders>
                  <w:vAlign w:val="center"/>
                </w:tcPr>
                <w:p w14:paraId="0EBCE03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8"/>
                      <w:sz w:val="18"/>
                      <w:szCs w:val="18"/>
                    </w:rPr>
                    <w:t>无需清运，施工较容易</w:t>
                  </w:r>
                </w:p>
              </w:tc>
              <w:tc>
                <w:tcPr>
                  <w:tcW w:w="736" w:type="dxa"/>
                  <w:tcBorders>
                    <w:tl2br w:val="nil"/>
                    <w:tr2bl w:val="nil"/>
                  </w:tcBorders>
                  <w:vAlign w:val="center"/>
                </w:tcPr>
                <w:p w14:paraId="356BFD1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2"/>
                      <w:sz w:val="18"/>
                      <w:szCs w:val="18"/>
                    </w:rPr>
                    <w:t>中（一般</w:t>
                  </w:r>
                  <w:r>
                    <w:rPr>
                      <w:rFonts w:ascii="Times New Roman" w:hAnsi="Times New Roman" w:eastAsia="Times New Roman" w:cs="Times New Roman"/>
                      <w:color w:val="auto"/>
                      <w:spacing w:val="3"/>
                      <w:sz w:val="18"/>
                      <w:szCs w:val="18"/>
                    </w:rPr>
                    <w:t>100-250</w:t>
                  </w:r>
                  <w:r>
                    <w:rPr>
                      <w:color w:val="auto"/>
                      <w:spacing w:val="3"/>
                      <w:sz w:val="18"/>
                      <w:szCs w:val="18"/>
                    </w:rPr>
                    <w:t>元</w:t>
                  </w:r>
                  <w:r>
                    <w:rPr>
                      <w:rFonts w:ascii="Times New Roman" w:hAnsi="Times New Roman" w:eastAsia="Times New Roman" w:cs="Times New Roman"/>
                      <w:color w:val="auto"/>
                      <w:spacing w:val="3"/>
                      <w:sz w:val="18"/>
                      <w:szCs w:val="18"/>
                    </w:rPr>
                    <w:t>/</w:t>
                  </w:r>
                  <w:r>
                    <w:rPr>
                      <w:color w:val="auto"/>
                      <w:spacing w:val="-5"/>
                      <w:sz w:val="18"/>
                      <w:szCs w:val="18"/>
                    </w:rPr>
                    <w:t>吨）</w:t>
                  </w:r>
                </w:p>
              </w:tc>
              <w:tc>
                <w:tcPr>
                  <w:tcW w:w="1128" w:type="dxa"/>
                  <w:tcBorders>
                    <w:tl2br w:val="nil"/>
                    <w:tr2bl w:val="nil"/>
                  </w:tcBorders>
                  <w:vAlign w:val="center"/>
                </w:tcPr>
                <w:p w14:paraId="2474673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3"/>
                      <w:sz w:val="18"/>
                      <w:szCs w:val="18"/>
                    </w:rPr>
                    <w:t>治理后废渣仍堆置</w:t>
                  </w:r>
                  <w:r>
                    <w:rPr>
                      <w:color w:val="auto"/>
                      <w:spacing w:val="14"/>
                      <w:sz w:val="18"/>
                      <w:szCs w:val="18"/>
                    </w:rPr>
                    <w:t>于项目区域，如有渗滤液需对渗滤液</w:t>
                  </w:r>
                  <w:r>
                    <w:rPr>
                      <w:color w:val="auto"/>
                      <w:spacing w:val="8"/>
                      <w:sz w:val="18"/>
                      <w:szCs w:val="18"/>
                    </w:rPr>
                    <w:t>进行定期监测</w:t>
                  </w:r>
                </w:p>
              </w:tc>
              <w:tc>
                <w:tcPr>
                  <w:tcW w:w="568" w:type="dxa"/>
                  <w:tcBorders>
                    <w:tl2br w:val="nil"/>
                    <w:tr2bl w:val="nil"/>
                  </w:tcBorders>
                  <w:vAlign w:val="center"/>
                </w:tcPr>
                <w:p w14:paraId="5701BE3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4"/>
                      <w:sz w:val="18"/>
                      <w:szCs w:val="18"/>
                    </w:rPr>
                    <w:t>较短</w:t>
                  </w:r>
                </w:p>
              </w:tc>
              <w:tc>
                <w:tcPr>
                  <w:tcW w:w="834" w:type="dxa"/>
                  <w:tcBorders>
                    <w:tl2br w:val="nil"/>
                    <w:tr2bl w:val="nil"/>
                  </w:tcBorders>
                  <w:vAlign w:val="center"/>
                </w:tcPr>
                <w:p w14:paraId="63DBD1B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2"/>
                      <w:sz w:val="18"/>
                      <w:szCs w:val="18"/>
                    </w:rPr>
                    <w:t>有效防止废渣对周</w:t>
                  </w:r>
                  <w:r>
                    <w:rPr>
                      <w:color w:val="auto"/>
                      <w:spacing w:val="13"/>
                      <w:sz w:val="18"/>
                      <w:szCs w:val="18"/>
                    </w:rPr>
                    <w:t>边居民造成持续污</w:t>
                  </w:r>
                  <w:r>
                    <w:rPr>
                      <w:color w:val="auto"/>
                      <w:spacing w:val="1"/>
                      <w:sz w:val="18"/>
                      <w:szCs w:val="18"/>
                    </w:rPr>
                    <w:t>染</w:t>
                  </w:r>
                </w:p>
              </w:tc>
              <w:tc>
                <w:tcPr>
                  <w:tcW w:w="819" w:type="dxa"/>
                  <w:tcBorders>
                    <w:tl2br w:val="nil"/>
                    <w:tr2bl w:val="nil"/>
                  </w:tcBorders>
                  <w:vAlign w:val="center"/>
                </w:tcPr>
                <w:p w14:paraId="2A25865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4"/>
                      <w:sz w:val="18"/>
                      <w:szCs w:val="18"/>
                    </w:rPr>
                    <w:t>推荐</w:t>
                  </w:r>
                </w:p>
              </w:tc>
            </w:tr>
            <w:tr w14:paraId="6EC5E2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0" w:hRule="atLeast"/>
              </w:trPr>
              <w:tc>
                <w:tcPr>
                  <w:tcW w:w="453" w:type="dxa"/>
                  <w:tcBorders>
                    <w:tl2br w:val="nil"/>
                    <w:tr2bl w:val="nil"/>
                  </w:tcBorders>
                  <w:vAlign w:val="center"/>
                </w:tcPr>
                <w:p w14:paraId="4AABA91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6"/>
                      <w:sz w:val="18"/>
                      <w:szCs w:val="18"/>
                    </w:rPr>
                    <w:t>方案</w:t>
                  </w:r>
                  <w:r>
                    <w:rPr>
                      <w:rFonts w:ascii="Times New Roman" w:hAnsi="Times New Roman" w:eastAsia="Times New Roman" w:cs="Times New Roman"/>
                      <w:color w:val="auto"/>
                      <w:spacing w:val="16"/>
                      <w:sz w:val="18"/>
                      <w:szCs w:val="18"/>
                    </w:rPr>
                    <w:t>2</w:t>
                  </w:r>
                  <w:r>
                    <w:rPr>
                      <w:color w:val="auto"/>
                      <w:sz w:val="18"/>
                      <w:szCs w:val="18"/>
                    </w:rPr>
                    <w:t>异地</w:t>
                  </w:r>
                  <w:r>
                    <w:rPr>
                      <w:color w:val="auto"/>
                      <w:spacing w:val="3"/>
                      <w:sz w:val="18"/>
                      <w:szCs w:val="18"/>
                    </w:rPr>
                    <w:t>填埋</w:t>
                  </w:r>
                </w:p>
              </w:tc>
              <w:tc>
                <w:tcPr>
                  <w:tcW w:w="1295" w:type="dxa"/>
                  <w:tcBorders>
                    <w:tl2br w:val="nil"/>
                    <w:tr2bl w:val="nil"/>
                  </w:tcBorders>
                  <w:vAlign w:val="center"/>
                </w:tcPr>
                <w:p w14:paraId="281B88E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22"/>
                      <w:sz w:val="18"/>
                      <w:szCs w:val="18"/>
                    </w:rPr>
                    <w:t>选择堆场周边合适的废渣场或可填充的废</w:t>
                  </w:r>
                  <w:r>
                    <w:rPr>
                      <w:color w:val="auto"/>
                      <w:spacing w:val="-1"/>
                      <w:sz w:val="18"/>
                      <w:szCs w:val="18"/>
                    </w:rPr>
                    <w:t>弃井和平硐，将废渣开挖清运至填埋场处，进行填埋，并对清运后的</w:t>
                  </w:r>
                  <w:r>
                    <w:rPr>
                      <w:color w:val="auto"/>
                      <w:spacing w:val="22"/>
                      <w:sz w:val="18"/>
                      <w:szCs w:val="18"/>
                    </w:rPr>
                    <w:t>废渣堆场进行植被恢</w:t>
                  </w:r>
                  <w:r>
                    <w:rPr>
                      <w:color w:val="auto"/>
                      <w:spacing w:val="1"/>
                      <w:sz w:val="18"/>
                      <w:szCs w:val="18"/>
                    </w:rPr>
                    <w:t>复</w:t>
                  </w:r>
                </w:p>
              </w:tc>
              <w:tc>
                <w:tcPr>
                  <w:tcW w:w="451" w:type="dxa"/>
                  <w:tcBorders>
                    <w:tl2br w:val="nil"/>
                    <w:tr2bl w:val="nil"/>
                  </w:tcBorders>
                  <w:vAlign w:val="center"/>
                </w:tcPr>
                <w:p w14:paraId="3588809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技术</w:t>
                  </w:r>
                  <w:r>
                    <w:rPr>
                      <w:color w:val="auto"/>
                      <w:spacing w:val="1"/>
                      <w:sz w:val="18"/>
                      <w:szCs w:val="18"/>
                    </w:rPr>
                    <w:t>相对</w:t>
                  </w:r>
                  <w:r>
                    <w:rPr>
                      <w:color w:val="auto"/>
                      <w:spacing w:val="4"/>
                      <w:sz w:val="18"/>
                      <w:szCs w:val="18"/>
                    </w:rPr>
                    <w:t>成熟</w:t>
                  </w:r>
                </w:p>
              </w:tc>
              <w:tc>
                <w:tcPr>
                  <w:tcW w:w="549" w:type="dxa"/>
                  <w:tcBorders>
                    <w:tl2br w:val="nil"/>
                    <w:tr2bl w:val="nil"/>
                  </w:tcBorders>
                  <w:vAlign w:val="center"/>
                </w:tcPr>
                <w:p w14:paraId="611EBB5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施工期</w:t>
                  </w:r>
                  <w:r>
                    <w:rPr>
                      <w:color w:val="auto"/>
                      <w:spacing w:val="6"/>
                      <w:sz w:val="18"/>
                      <w:szCs w:val="18"/>
                    </w:rPr>
                    <w:t>风险大</w:t>
                  </w:r>
                </w:p>
              </w:tc>
              <w:tc>
                <w:tcPr>
                  <w:tcW w:w="1423" w:type="dxa"/>
                  <w:tcBorders>
                    <w:tl2br w:val="nil"/>
                    <w:tr2bl w:val="nil"/>
                  </w:tcBorders>
                  <w:vAlign w:val="center"/>
                </w:tcPr>
                <w:p w14:paraId="1EB0CB7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7"/>
                      <w:sz w:val="18"/>
                      <w:szCs w:val="18"/>
                    </w:rPr>
                    <w:t>需清运大量废渣，</w:t>
                  </w:r>
                  <w:r>
                    <w:rPr>
                      <w:color w:val="auto"/>
                      <w:spacing w:val="8"/>
                      <w:sz w:val="18"/>
                      <w:szCs w:val="18"/>
                    </w:rPr>
                    <w:t>且需选新址，并进行风险评估，需对新建填埋场进行封场处理，施工难度</w:t>
                  </w:r>
                  <w:r>
                    <w:rPr>
                      <w:color w:val="auto"/>
                      <w:spacing w:val="1"/>
                      <w:sz w:val="18"/>
                      <w:szCs w:val="18"/>
                    </w:rPr>
                    <w:t>大</w:t>
                  </w:r>
                </w:p>
              </w:tc>
              <w:tc>
                <w:tcPr>
                  <w:tcW w:w="736" w:type="dxa"/>
                  <w:tcBorders>
                    <w:tl2br w:val="nil"/>
                    <w:tr2bl w:val="nil"/>
                  </w:tcBorders>
                  <w:vAlign w:val="center"/>
                </w:tcPr>
                <w:p w14:paraId="066B168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z w:val="18"/>
                      <w:szCs w:val="18"/>
                    </w:rPr>
                    <w:t>高</w:t>
                  </w:r>
                  <w:r>
                    <w:rPr>
                      <w:color w:val="auto"/>
                      <w:spacing w:val="1"/>
                      <w:sz w:val="18"/>
                      <w:szCs w:val="18"/>
                    </w:rPr>
                    <w:t>（</w:t>
                  </w:r>
                  <w:r>
                    <w:rPr>
                      <w:rFonts w:ascii="Times New Roman" w:hAnsi="Times New Roman" w:eastAsia="Times New Roman" w:cs="Times New Roman"/>
                      <w:color w:val="auto"/>
                      <w:spacing w:val="1"/>
                      <w:sz w:val="18"/>
                      <w:szCs w:val="18"/>
                    </w:rPr>
                    <w:t>300-500/</w:t>
                  </w:r>
                  <w:r>
                    <w:rPr>
                      <w:color w:val="auto"/>
                      <w:spacing w:val="-5"/>
                      <w:sz w:val="18"/>
                      <w:szCs w:val="18"/>
                    </w:rPr>
                    <w:t>吨）</w:t>
                  </w:r>
                </w:p>
              </w:tc>
              <w:tc>
                <w:tcPr>
                  <w:tcW w:w="1128" w:type="dxa"/>
                  <w:tcBorders>
                    <w:tl2br w:val="nil"/>
                    <w:tr2bl w:val="nil"/>
                  </w:tcBorders>
                  <w:vAlign w:val="center"/>
                </w:tcPr>
                <w:p w14:paraId="10A93A7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4"/>
                      <w:sz w:val="18"/>
                      <w:szCs w:val="18"/>
                    </w:rPr>
                    <w:t>清运工程中存在运输风险，运输成本不可控，后期渗滤</w:t>
                  </w:r>
                  <w:r>
                    <w:rPr>
                      <w:color w:val="auto"/>
                      <w:spacing w:val="8"/>
                      <w:sz w:val="18"/>
                      <w:szCs w:val="18"/>
                    </w:rPr>
                    <w:t>液仍需要监测处理</w:t>
                  </w:r>
                </w:p>
              </w:tc>
              <w:tc>
                <w:tcPr>
                  <w:tcW w:w="568" w:type="dxa"/>
                  <w:tcBorders>
                    <w:tl2br w:val="nil"/>
                    <w:tr2bl w:val="nil"/>
                  </w:tcBorders>
                  <w:vAlign w:val="center"/>
                </w:tcPr>
                <w:p w14:paraId="05AC447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z w:val="18"/>
                      <w:szCs w:val="18"/>
                    </w:rPr>
                    <w:t>中</w:t>
                  </w:r>
                </w:p>
              </w:tc>
              <w:tc>
                <w:tcPr>
                  <w:tcW w:w="834" w:type="dxa"/>
                  <w:tcBorders>
                    <w:tl2br w:val="nil"/>
                    <w:tr2bl w:val="nil"/>
                  </w:tcBorders>
                  <w:vAlign w:val="center"/>
                </w:tcPr>
                <w:p w14:paraId="5E2261E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2"/>
                      <w:sz w:val="18"/>
                      <w:szCs w:val="18"/>
                    </w:rPr>
                    <w:t>有效防止废渣对周</w:t>
                  </w:r>
                  <w:r>
                    <w:rPr>
                      <w:color w:val="auto"/>
                      <w:spacing w:val="13"/>
                      <w:sz w:val="18"/>
                      <w:szCs w:val="18"/>
                    </w:rPr>
                    <w:t>边环境造成持续污染，但异地填埋易</w:t>
                  </w:r>
                  <w:r>
                    <w:rPr>
                      <w:color w:val="auto"/>
                      <w:spacing w:val="4"/>
                      <w:sz w:val="18"/>
                      <w:szCs w:val="18"/>
                    </w:rPr>
                    <w:t>引发</w:t>
                  </w:r>
                  <w:r>
                    <w:rPr>
                      <w:rFonts w:ascii="Times New Roman" w:hAnsi="Times New Roman" w:eastAsia="Times New Roman" w:cs="Times New Roman"/>
                      <w:color w:val="auto"/>
                      <w:spacing w:val="4"/>
                      <w:sz w:val="18"/>
                      <w:szCs w:val="18"/>
                    </w:rPr>
                    <w:t>“</w:t>
                  </w:r>
                  <w:r>
                    <w:rPr>
                      <w:color w:val="auto"/>
                      <w:spacing w:val="4"/>
                      <w:sz w:val="18"/>
                      <w:szCs w:val="18"/>
                    </w:rPr>
                    <w:t>邻避效应</w:t>
                  </w:r>
                  <w:r>
                    <w:rPr>
                      <w:rFonts w:ascii="Times New Roman" w:hAnsi="Times New Roman" w:eastAsia="Times New Roman" w:cs="Times New Roman"/>
                      <w:color w:val="auto"/>
                      <w:spacing w:val="4"/>
                      <w:sz w:val="18"/>
                      <w:szCs w:val="18"/>
                    </w:rPr>
                    <w:t>”</w:t>
                  </w:r>
                </w:p>
              </w:tc>
              <w:tc>
                <w:tcPr>
                  <w:tcW w:w="819" w:type="dxa"/>
                  <w:tcBorders>
                    <w:tl2br w:val="nil"/>
                    <w:tr2bl w:val="nil"/>
                  </w:tcBorders>
                  <w:vAlign w:val="center"/>
                </w:tcPr>
                <w:p w14:paraId="5E0E8CE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5"/>
                      <w:sz w:val="18"/>
                      <w:szCs w:val="18"/>
                    </w:rPr>
                    <w:t>不推荐</w:t>
                  </w:r>
                </w:p>
              </w:tc>
            </w:tr>
            <w:tr w14:paraId="10FAC2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453" w:type="dxa"/>
                  <w:tcBorders>
                    <w:tl2br w:val="nil"/>
                    <w:tr2bl w:val="nil"/>
                  </w:tcBorders>
                  <w:vAlign w:val="center"/>
                </w:tcPr>
                <w:p w14:paraId="385D974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2"/>
                      <w:sz w:val="18"/>
                      <w:szCs w:val="18"/>
                    </w:rPr>
                    <w:t>方案</w:t>
                  </w:r>
                  <w:r>
                    <w:rPr>
                      <w:rFonts w:ascii="Times New Roman" w:hAnsi="Times New Roman" w:eastAsia="Times New Roman" w:cs="Times New Roman"/>
                      <w:color w:val="auto"/>
                      <w:spacing w:val="2"/>
                      <w:sz w:val="18"/>
                      <w:szCs w:val="18"/>
                    </w:rPr>
                    <w:t>3</w:t>
                  </w:r>
                  <w:r>
                    <w:rPr>
                      <w:color w:val="auto"/>
                      <w:sz w:val="18"/>
                      <w:szCs w:val="18"/>
                    </w:rPr>
                    <w:t>水泥</w:t>
                  </w:r>
                  <w:r>
                    <w:rPr>
                      <w:color w:val="auto"/>
                      <w:spacing w:val="1"/>
                      <w:sz w:val="18"/>
                      <w:szCs w:val="18"/>
                    </w:rPr>
                    <w:t>窑协</w:t>
                  </w:r>
                  <w:r>
                    <w:rPr>
                      <w:color w:val="auto"/>
                      <w:spacing w:val="-1"/>
                      <w:sz w:val="18"/>
                      <w:szCs w:val="18"/>
                    </w:rPr>
                    <w:t>同处</w:t>
                  </w:r>
                  <w:r>
                    <w:rPr>
                      <w:color w:val="auto"/>
                      <w:spacing w:val="2"/>
                      <w:sz w:val="18"/>
                      <w:szCs w:val="18"/>
                    </w:rPr>
                    <w:t>置</w:t>
                  </w:r>
                </w:p>
              </w:tc>
              <w:tc>
                <w:tcPr>
                  <w:tcW w:w="1295" w:type="dxa"/>
                  <w:tcBorders>
                    <w:tl2br w:val="nil"/>
                    <w:tr2bl w:val="nil"/>
                  </w:tcBorders>
                  <w:vAlign w:val="center"/>
                </w:tcPr>
                <w:p w14:paraId="3156B00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将废渣开挖外运，通过</w:t>
                  </w:r>
                  <w:r>
                    <w:rPr>
                      <w:color w:val="auto"/>
                      <w:spacing w:val="22"/>
                      <w:sz w:val="18"/>
                      <w:szCs w:val="18"/>
                    </w:rPr>
                    <w:t>炉渣贫化最大限度回</w:t>
                  </w:r>
                  <w:r>
                    <w:rPr>
                      <w:color w:val="auto"/>
                      <w:spacing w:val="4"/>
                      <w:sz w:val="18"/>
                      <w:szCs w:val="18"/>
                    </w:rPr>
                    <w:t>收废渣中的有价金属，</w:t>
                  </w:r>
                  <w:r>
                    <w:rPr>
                      <w:color w:val="auto"/>
                      <w:spacing w:val="22"/>
                      <w:sz w:val="18"/>
                      <w:szCs w:val="18"/>
                    </w:rPr>
                    <w:t>剩余固渣还可做水泥</w:t>
                  </w:r>
                  <w:r>
                    <w:rPr>
                      <w:color w:val="auto"/>
                      <w:spacing w:val="8"/>
                      <w:sz w:val="18"/>
                      <w:szCs w:val="18"/>
                    </w:rPr>
                    <w:t>产品的原料</w:t>
                  </w:r>
                </w:p>
              </w:tc>
              <w:tc>
                <w:tcPr>
                  <w:tcW w:w="451" w:type="dxa"/>
                  <w:tcBorders>
                    <w:tl2br w:val="nil"/>
                    <w:tr2bl w:val="nil"/>
                  </w:tcBorders>
                  <w:vAlign w:val="center"/>
                </w:tcPr>
                <w:p w14:paraId="0C8F4B1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技术</w:t>
                  </w:r>
                  <w:r>
                    <w:rPr>
                      <w:color w:val="auto"/>
                      <w:spacing w:val="1"/>
                      <w:sz w:val="18"/>
                      <w:szCs w:val="18"/>
                    </w:rPr>
                    <w:t>相对</w:t>
                  </w:r>
                  <w:r>
                    <w:rPr>
                      <w:color w:val="auto"/>
                      <w:spacing w:val="4"/>
                      <w:sz w:val="18"/>
                      <w:szCs w:val="18"/>
                    </w:rPr>
                    <w:t>成熟</w:t>
                  </w:r>
                </w:p>
              </w:tc>
              <w:tc>
                <w:tcPr>
                  <w:tcW w:w="549" w:type="dxa"/>
                  <w:tcBorders>
                    <w:tl2br w:val="nil"/>
                    <w:tr2bl w:val="nil"/>
                  </w:tcBorders>
                  <w:vAlign w:val="center"/>
                </w:tcPr>
                <w:p w14:paraId="727197A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施工期</w:t>
                  </w:r>
                  <w:r>
                    <w:rPr>
                      <w:color w:val="auto"/>
                      <w:spacing w:val="6"/>
                      <w:sz w:val="18"/>
                      <w:szCs w:val="18"/>
                    </w:rPr>
                    <w:t>风险大</w:t>
                  </w:r>
                </w:p>
              </w:tc>
              <w:tc>
                <w:tcPr>
                  <w:tcW w:w="1423" w:type="dxa"/>
                  <w:tcBorders>
                    <w:tl2br w:val="nil"/>
                    <w:tr2bl w:val="nil"/>
                  </w:tcBorders>
                  <w:vAlign w:val="center"/>
                </w:tcPr>
                <w:p w14:paraId="13FD52F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20"/>
                      <w:sz w:val="18"/>
                      <w:szCs w:val="18"/>
                    </w:rPr>
                    <w:t>需长期进行废渣清运或</w:t>
                  </w:r>
                  <w:r>
                    <w:rPr>
                      <w:color w:val="auto"/>
                      <w:spacing w:val="1"/>
                      <w:sz w:val="18"/>
                      <w:szCs w:val="18"/>
                    </w:rPr>
                    <w:t>新建渣堆场，且水泥产品的安全性易受到影响，施</w:t>
                  </w:r>
                  <w:r>
                    <w:rPr>
                      <w:color w:val="auto"/>
                      <w:spacing w:val="7"/>
                      <w:sz w:val="18"/>
                      <w:szCs w:val="18"/>
                    </w:rPr>
                    <w:t>工难度大</w:t>
                  </w:r>
                </w:p>
              </w:tc>
              <w:tc>
                <w:tcPr>
                  <w:tcW w:w="736" w:type="dxa"/>
                  <w:tcBorders>
                    <w:tl2br w:val="nil"/>
                    <w:tr2bl w:val="nil"/>
                  </w:tcBorders>
                  <w:vAlign w:val="center"/>
                </w:tcPr>
                <w:p w14:paraId="7904548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6"/>
                      <w:sz w:val="18"/>
                      <w:szCs w:val="18"/>
                    </w:rPr>
                    <w:t>高（</w:t>
                  </w:r>
                  <w:r>
                    <w:rPr>
                      <w:rFonts w:ascii="Times New Roman" w:hAnsi="Times New Roman" w:eastAsia="Times New Roman" w:cs="Times New Roman"/>
                      <w:color w:val="auto"/>
                      <w:spacing w:val="-6"/>
                      <w:sz w:val="18"/>
                      <w:szCs w:val="18"/>
                    </w:rPr>
                    <w:t>&gt;550</w:t>
                  </w:r>
                  <w:r>
                    <w:rPr>
                      <w:color w:val="auto"/>
                      <w:spacing w:val="-6"/>
                      <w:sz w:val="18"/>
                      <w:szCs w:val="18"/>
                    </w:rPr>
                    <w:t>元</w:t>
                  </w:r>
                  <w:r>
                    <w:rPr>
                      <w:rFonts w:ascii="Times New Roman" w:hAnsi="Times New Roman" w:eastAsia="Times New Roman" w:cs="Times New Roman"/>
                      <w:color w:val="auto"/>
                      <w:spacing w:val="3"/>
                      <w:sz w:val="18"/>
                      <w:szCs w:val="18"/>
                    </w:rPr>
                    <w:t>/</w:t>
                  </w:r>
                  <w:r>
                    <w:rPr>
                      <w:color w:val="auto"/>
                      <w:spacing w:val="3"/>
                      <w:sz w:val="18"/>
                      <w:szCs w:val="18"/>
                    </w:rPr>
                    <w:t>吨）</w:t>
                  </w:r>
                </w:p>
              </w:tc>
              <w:tc>
                <w:tcPr>
                  <w:tcW w:w="1128" w:type="dxa"/>
                  <w:tcBorders>
                    <w:tl2br w:val="nil"/>
                    <w:tr2bl w:val="nil"/>
                  </w:tcBorders>
                  <w:vAlign w:val="center"/>
                </w:tcPr>
                <w:p w14:paraId="646C183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4"/>
                      <w:sz w:val="18"/>
                      <w:szCs w:val="18"/>
                    </w:rPr>
                    <w:t>清运时存在运输风险，废渣中过量的重金属会对水泥产品造成影响，废渣中重金属可能有大气</w:t>
                  </w:r>
                  <w:r>
                    <w:rPr>
                      <w:color w:val="auto"/>
                      <w:spacing w:val="8"/>
                      <w:sz w:val="18"/>
                      <w:szCs w:val="18"/>
                    </w:rPr>
                    <w:t>排放污染风险</w:t>
                  </w:r>
                </w:p>
              </w:tc>
              <w:tc>
                <w:tcPr>
                  <w:tcW w:w="568" w:type="dxa"/>
                  <w:tcBorders>
                    <w:tl2br w:val="nil"/>
                    <w:tr2bl w:val="nil"/>
                  </w:tcBorders>
                  <w:vAlign w:val="center"/>
                </w:tcPr>
                <w:p w14:paraId="7085B13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z w:val="18"/>
                      <w:szCs w:val="18"/>
                    </w:rPr>
                    <w:t>长</w:t>
                  </w:r>
                </w:p>
              </w:tc>
              <w:tc>
                <w:tcPr>
                  <w:tcW w:w="834" w:type="dxa"/>
                  <w:tcBorders>
                    <w:tl2br w:val="nil"/>
                    <w:tr2bl w:val="nil"/>
                  </w:tcBorders>
                  <w:vAlign w:val="center"/>
                </w:tcPr>
                <w:p w14:paraId="1E1C396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3"/>
                      <w:sz w:val="18"/>
                      <w:szCs w:val="18"/>
                    </w:rPr>
                    <w:t>转运过程中有可</w:t>
                  </w:r>
                  <w:r>
                    <w:rPr>
                      <w:color w:val="auto"/>
                      <w:spacing w:val="8"/>
                      <w:sz w:val="18"/>
                      <w:szCs w:val="18"/>
                    </w:rPr>
                    <w:t>能造成二次污染</w:t>
                  </w:r>
                </w:p>
              </w:tc>
              <w:tc>
                <w:tcPr>
                  <w:tcW w:w="819" w:type="dxa"/>
                  <w:tcBorders>
                    <w:tl2br w:val="nil"/>
                    <w:tr2bl w:val="nil"/>
                  </w:tcBorders>
                  <w:vAlign w:val="center"/>
                </w:tcPr>
                <w:p w14:paraId="16DEE12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5"/>
                      <w:sz w:val="18"/>
                      <w:szCs w:val="18"/>
                    </w:rPr>
                    <w:t>不推荐</w:t>
                  </w:r>
                </w:p>
              </w:tc>
            </w:tr>
            <w:tr w14:paraId="4319A8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453" w:type="dxa"/>
                  <w:tcBorders>
                    <w:tl2br w:val="nil"/>
                    <w:tr2bl w:val="nil"/>
                  </w:tcBorders>
                  <w:vAlign w:val="center"/>
                </w:tcPr>
                <w:p w14:paraId="228C390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6"/>
                      <w:sz w:val="18"/>
                      <w:szCs w:val="18"/>
                    </w:rPr>
                    <w:t>方案</w:t>
                  </w:r>
                  <w:r>
                    <w:rPr>
                      <w:rFonts w:ascii="Times New Roman" w:hAnsi="Times New Roman" w:eastAsia="Times New Roman" w:cs="Times New Roman"/>
                      <w:color w:val="auto"/>
                      <w:spacing w:val="16"/>
                      <w:sz w:val="18"/>
                      <w:szCs w:val="18"/>
                    </w:rPr>
                    <w:t>4</w:t>
                  </w:r>
                  <w:r>
                    <w:rPr>
                      <w:color w:val="auto"/>
                      <w:sz w:val="18"/>
                      <w:szCs w:val="18"/>
                    </w:rPr>
                    <w:t>综合</w:t>
                  </w:r>
                  <w:r>
                    <w:rPr>
                      <w:color w:val="auto"/>
                      <w:spacing w:val="4"/>
                      <w:sz w:val="18"/>
                      <w:szCs w:val="18"/>
                    </w:rPr>
                    <w:t>利用</w:t>
                  </w:r>
                </w:p>
              </w:tc>
              <w:tc>
                <w:tcPr>
                  <w:tcW w:w="1295" w:type="dxa"/>
                  <w:tcBorders>
                    <w:tl2br w:val="nil"/>
                    <w:tr2bl w:val="nil"/>
                  </w:tcBorders>
                  <w:vAlign w:val="center"/>
                </w:tcPr>
                <w:p w14:paraId="3D9E408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22"/>
                      <w:sz w:val="18"/>
                      <w:szCs w:val="18"/>
                    </w:rPr>
                    <w:t>采用先进技术和合适</w:t>
                  </w:r>
                  <w:r>
                    <w:rPr>
                      <w:color w:val="auto"/>
                      <w:spacing w:val="-1"/>
                      <w:sz w:val="18"/>
                      <w:szCs w:val="18"/>
                    </w:rPr>
                    <w:t>工艺，利用废渣制造各</w:t>
                  </w:r>
                  <w:r>
                    <w:rPr>
                      <w:color w:val="auto"/>
                      <w:spacing w:val="8"/>
                      <w:sz w:val="18"/>
                      <w:szCs w:val="18"/>
                    </w:rPr>
                    <w:t>种有用材料</w:t>
                  </w:r>
                </w:p>
              </w:tc>
              <w:tc>
                <w:tcPr>
                  <w:tcW w:w="451" w:type="dxa"/>
                  <w:tcBorders>
                    <w:tl2br w:val="nil"/>
                    <w:tr2bl w:val="nil"/>
                  </w:tcBorders>
                  <w:vAlign w:val="center"/>
                </w:tcPr>
                <w:p w14:paraId="048B32FA">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技术</w:t>
                  </w:r>
                  <w:r>
                    <w:rPr>
                      <w:color w:val="auto"/>
                      <w:spacing w:val="1"/>
                      <w:sz w:val="18"/>
                      <w:szCs w:val="18"/>
                    </w:rPr>
                    <w:t>相对</w:t>
                  </w:r>
                  <w:r>
                    <w:rPr>
                      <w:color w:val="auto"/>
                      <w:spacing w:val="4"/>
                      <w:sz w:val="18"/>
                      <w:szCs w:val="18"/>
                    </w:rPr>
                    <w:t>成熟</w:t>
                  </w:r>
                </w:p>
              </w:tc>
              <w:tc>
                <w:tcPr>
                  <w:tcW w:w="549" w:type="dxa"/>
                  <w:tcBorders>
                    <w:tl2br w:val="nil"/>
                    <w:tr2bl w:val="nil"/>
                  </w:tcBorders>
                  <w:vAlign w:val="center"/>
                </w:tcPr>
                <w:p w14:paraId="0F0530E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施工期</w:t>
                  </w:r>
                  <w:r>
                    <w:rPr>
                      <w:color w:val="auto"/>
                      <w:spacing w:val="6"/>
                      <w:sz w:val="18"/>
                      <w:szCs w:val="18"/>
                    </w:rPr>
                    <w:t>风险大</w:t>
                  </w:r>
                </w:p>
              </w:tc>
              <w:tc>
                <w:tcPr>
                  <w:tcW w:w="1423" w:type="dxa"/>
                  <w:tcBorders>
                    <w:tl2br w:val="nil"/>
                    <w:tr2bl w:val="nil"/>
                  </w:tcBorders>
                  <w:vAlign w:val="center"/>
                </w:tcPr>
                <w:p w14:paraId="50C419D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
                      <w:sz w:val="18"/>
                      <w:szCs w:val="18"/>
                    </w:rPr>
                    <w:t>废渣清运工程量大，需寻</w:t>
                  </w:r>
                  <w:r>
                    <w:rPr>
                      <w:color w:val="auto"/>
                      <w:spacing w:val="21"/>
                      <w:sz w:val="18"/>
                      <w:szCs w:val="18"/>
                    </w:rPr>
                    <w:t>找合适的综合回收场所</w:t>
                  </w:r>
                  <w:r>
                    <w:rPr>
                      <w:color w:val="auto"/>
                      <w:spacing w:val="1"/>
                      <w:sz w:val="18"/>
                      <w:szCs w:val="18"/>
                    </w:rPr>
                    <w:t>和处理技术，施工难度大</w:t>
                  </w:r>
                </w:p>
              </w:tc>
              <w:tc>
                <w:tcPr>
                  <w:tcW w:w="736" w:type="dxa"/>
                  <w:tcBorders>
                    <w:tl2br w:val="nil"/>
                    <w:tr2bl w:val="nil"/>
                  </w:tcBorders>
                  <w:vAlign w:val="center"/>
                </w:tcPr>
                <w:p w14:paraId="3F26166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6"/>
                      <w:sz w:val="18"/>
                      <w:szCs w:val="18"/>
                    </w:rPr>
                    <w:t>高（</w:t>
                  </w:r>
                  <w:r>
                    <w:rPr>
                      <w:rFonts w:ascii="Times New Roman" w:hAnsi="Times New Roman" w:eastAsia="Times New Roman" w:cs="Times New Roman"/>
                      <w:color w:val="auto"/>
                      <w:spacing w:val="-6"/>
                      <w:sz w:val="18"/>
                      <w:szCs w:val="18"/>
                    </w:rPr>
                    <w:t>&gt;400</w:t>
                  </w:r>
                  <w:r>
                    <w:rPr>
                      <w:color w:val="auto"/>
                      <w:spacing w:val="-6"/>
                      <w:sz w:val="18"/>
                      <w:szCs w:val="18"/>
                    </w:rPr>
                    <w:t>元</w:t>
                  </w:r>
                  <w:r>
                    <w:rPr>
                      <w:rFonts w:ascii="Times New Roman" w:hAnsi="Times New Roman" w:eastAsia="Times New Roman" w:cs="Times New Roman"/>
                      <w:color w:val="auto"/>
                      <w:spacing w:val="3"/>
                      <w:sz w:val="18"/>
                      <w:szCs w:val="18"/>
                    </w:rPr>
                    <w:t>/</w:t>
                  </w:r>
                  <w:r>
                    <w:rPr>
                      <w:color w:val="auto"/>
                      <w:spacing w:val="3"/>
                      <w:sz w:val="18"/>
                      <w:szCs w:val="18"/>
                    </w:rPr>
                    <w:t>吨）</w:t>
                  </w:r>
                </w:p>
              </w:tc>
              <w:tc>
                <w:tcPr>
                  <w:tcW w:w="1128" w:type="dxa"/>
                  <w:tcBorders>
                    <w:tl2br w:val="nil"/>
                    <w:tr2bl w:val="nil"/>
                  </w:tcBorders>
                  <w:vAlign w:val="center"/>
                </w:tcPr>
                <w:p w14:paraId="17BFD82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14"/>
                      <w:sz w:val="18"/>
                      <w:szCs w:val="18"/>
                    </w:rPr>
                    <w:t>运距太远运输费用高，风险高，</w:t>
                  </w:r>
                  <w:r>
                    <w:rPr>
                      <w:color w:val="auto"/>
                      <w:spacing w:val="8"/>
                      <w:sz w:val="18"/>
                      <w:szCs w:val="18"/>
                    </w:rPr>
                    <w:t>技术难度高</w:t>
                  </w:r>
                </w:p>
              </w:tc>
              <w:tc>
                <w:tcPr>
                  <w:tcW w:w="568" w:type="dxa"/>
                  <w:tcBorders>
                    <w:tl2br w:val="nil"/>
                    <w:tr2bl w:val="nil"/>
                  </w:tcBorders>
                  <w:vAlign w:val="center"/>
                </w:tcPr>
                <w:p w14:paraId="308A27C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z w:val="18"/>
                      <w:szCs w:val="18"/>
                    </w:rPr>
                    <w:t>长</w:t>
                  </w:r>
                </w:p>
              </w:tc>
              <w:tc>
                <w:tcPr>
                  <w:tcW w:w="834" w:type="dxa"/>
                  <w:tcBorders>
                    <w:tl2br w:val="nil"/>
                    <w:tr2bl w:val="nil"/>
                  </w:tcBorders>
                  <w:vAlign w:val="center"/>
                </w:tcPr>
                <w:p w14:paraId="72B1315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color w:val="auto"/>
                      <w:sz w:val="18"/>
                      <w:szCs w:val="18"/>
                    </w:rPr>
                  </w:pPr>
                  <w:r>
                    <w:rPr>
                      <w:color w:val="auto"/>
                      <w:spacing w:val="13"/>
                      <w:sz w:val="18"/>
                      <w:szCs w:val="18"/>
                    </w:rPr>
                    <w:t>转运过程中有可</w:t>
                  </w:r>
                  <w:r>
                    <w:rPr>
                      <w:color w:val="auto"/>
                      <w:spacing w:val="8"/>
                      <w:sz w:val="18"/>
                      <w:szCs w:val="18"/>
                    </w:rPr>
                    <w:t>能造成二次污染</w:t>
                  </w:r>
                </w:p>
              </w:tc>
              <w:tc>
                <w:tcPr>
                  <w:tcW w:w="819" w:type="dxa"/>
                  <w:tcBorders>
                    <w:tl2br w:val="nil"/>
                    <w:tr2bl w:val="nil"/>
                  </w:tcBorders>
                  <w:vAlign w:val="center"/>
                </w:tcPr>
                <w:p w14:paraId="665D1C5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18"/>
                      <w:szCs w:val="18"/>
                    </w:rPr>
                  </w:pPr>
                  <w:r>
                    <w:rPr>
                      <w:color w:val="auto"/>
                      <w:spacing w:val="5"/>
                      <w:sz w:val="18"/>
                      <w:szCs w:val="18"/>
                    </w:rPr>
                    <w:t>不推荐</w:t>
                  </w:r>
                </w:p>
              </w:tc>
            </w:tr>
          </w:tbl>
          <w:p w14:paraId="4E5B0E6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kern w:val="2"/>
                <w:sz w:val="24"/>
                <w:szCs w:val="24"/>
                <w:highlight w:val="none"/>
                <w:vertAlign w:val="baseline"/>
                <w:lang w:val="en-US" w:eastAsia="zh-CN" w:bidi="ar-SA"/>
              </w:rPr>
              <w:t>原位封存工艺依托坡面整形+人工防渗阻隔阻断重金属淋溶，无需大规模废渣外运；异地填埋、水泥窑协同处置均存在长距离转运带来土壤、道路重金属二次洒落风险，且投资分别高出200元/吨、550元/吨以上，结合红岩河水源地管控要求，本项目优先选用规划推荐原位封存工艺。</w:t>
            </w:r>
          </w:p>
          <w:p w14:paraId="2FD5ED6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color w:val="auto"/>
                <w:kern w:val="2"/>
                <w:sz w:val="24"/>
                <w:szCs w:val="24"/>
                <w:highlight w:val="none"/>
                <w:vertAlign w:val="baseline"/>
                <w:lang w:val="en-US" w:eastAsia="zh-CN" w:bidi="ar-SA"/>
              </w:rPr>
            </w:pPr>
          </w:p>
        </w:tc>
      </w:tr>
    </w:tbl>
    <w:p w14:paraId="0A374C1C">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85EBA1A">
      <w:pPr>
        <w:pStyle w:val="13"/>
        <w:keepNext w:val="0"/>
        <w:keepLines w:val="0"/>
        <w:pageBreakBefore w:val="0"/>
        <w:widowControl/>
        <w:kinsoku/>
        <w:wordWrap/>
        <w:overflowPunct/>
        <w:topLinePunct w:val="0"/>
        <w:autoSpaceDE/>
        <w:autoSpaceDN/>
        <w:bidi w:val="0"/>
        <w:adjustRightInd/>
        <w:snapToGrid w:val="0"/>
        <w:spacing w:before="0" w:beforeAutospacing="0" w:after="0" w:afterAutospacing="0" w:line="360" w:lineRule="auto"/>
        <w:jc w:val="center"/>
        <w:textAlignment w:val="auto"/>
        <w:outlineLvl w:val="0"/>
        <w:rPr>
          <w:rFonts w:hint="default" w:ascii="Times New Roman" w:hAnsi="Times New Roman" w:eastAsia="黑体" w:cs="Times New Roman"/>
          <w:snapToGrid w:val="0"/>
          <w:color w:val="auto"/>
          <w:sz w:val="30"/>
          <w:szCs w:val="30"/>
          <w:highlight w:val="none"/>
        </w:rPr>
      </w:pPr>
      <w:bookmarkStart w:id="13" w:name="_Toc27612"/>
      <w:r>
        <w:rPr>
          <w:rFonts w:hint="default" w:ascii="Times New Roman" w:hAnsi="Times New Roman" w:eastAsia="黑体" w:cs="Times New Roman"/>
          <w:snapToGrid w:val="0"/>
          <w:color w:val="auto"/>
          <w:sz w:val="30"/>
          <w:szCs w:val="30"/>
          <w:highlight w:val="none"/>
        </w:rPr>
        <w:t>五、主要生态环境保护措施</w:t>
      </w:r>
      <w:bookmarkEnd w:id="13"/>
    </w:p>
    <w:tbl>
      <w:tblPr>
        <w:tblStyle w:val="14"/>
        <w:tblW w:w="92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1A57D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tcBorders>
              <w:tl2br w:val="nil"/>
              <w:tr2bl w:val="nil"/>
            </w:tcBorders>
            <w:noWrap w:val="0"/>
            <w:tcMar>
              <w:left w:w="28" w:type="dxa"/>
              <w:right w:w="28" w:type="dxa"/>
            </w:tcMar>
            <w:vAlign w:val="center"/>
          </w:tcPr>
          <w:p w14:paraId="0762B778">
            <w:pPr>
              <w:adjustRightInd w:val="0"/>
              <w:snapToGrid w:val="0"/>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pacing w:val="10"/>
                <w:sz w:val="24"/>
                <w:szCs w:val="24"/>
                <w:highlight w:val="none"/>
              </w:rPr>
              <w:t>施工期生态环境保护措施</w:t>
            </w:r>
          </w:p>
        </w:tc>
        <w:tc>
          <w:tcPr>
            <w:tcW w:w="8457" w:type="dxa"/>
            <w:tcBorders>
              <w:tl2br w:val="nil"/>
              <w:tr2bl w:val="nil"/>
            </w:tcBorders>
            <w:noWrap w:val="0"/>
            <w:vAlign w:val="top"/>
          </w:tcPr>
          <w:p w14:paraId="4873EE0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highlight w:val="none"/>
                <w:lang w:val="en-US" w:eastAsia="zh-CN"/>
              </w:rPr>
              <w:t>生态环境保护措施</w:t>
            </w:r>
          </w:p>
          <w:p w14:paraId="1089F17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1.废渣堆场施工区防控</w:t>
            </w:r>
          </w:p>
          <w:p w14:paraId="03B8593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（1）分段流水施工，单次扰动坡面控制在200m</w:t>
            </w:r>
            <w:r>
              <w:rPr>
                <w:rFonts w:hint="eastAsia" w:cs="Times New Roman"/>
                <w:b w:val="0"/>
                <w:bCs w:val="0"/>
                <w:color w:val="auto"/>
                <w:sz w:val="24"/>
                <w:szCs w:val="24"/>
                <w:highlight w:val="none"/>
                <w:vertAlign w:val="superscript"/>
                <w:lang w:val="en-US" w:eastAsia="zh-CN"/>
              </w:rPr>
              <w:t>2</w:t>
            </w:r>
            <w:r>
              <w:rPr>
                <w:rFonts w:hint="eastAsia" w:cs="Times New Roman"/>
                <w:b w:val="0"/>
                <w:bCs w:val="0"/>
                <w:color w:val="auto"/>
                <w:sz w:val="24"/>
                <w:szCs w:val="24"/>
                <w:highlight w:val="none"/>
                <w:lang w:val="en-US" w:eastAsia="zh-CN"/>
              </w:rPr>
              <w:t>以内，当日开挖、当日覆盖防尘土工布；</w:t>
            </w:r>
          </w:p>
          <w:p w14:paraId="74F5E11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（2）渣堆顶部、分级平台提前修建临时截水沟，阻断山体汇水冲刷裸露坡面；</w:t>
            </w:r>
          </w:p>
          <w:p w14:paraId="32AC72A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（3）机械作业严格限定红线，禁止碾压渣堆外围原生林地；</w:t>
            </w:r>
          </w:p>
          <w:p w14:paraId="642347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（4）施工废渣全部场内调运平衡，不外弃、不向沟谷倾倒。</w:t>
            </w:r>
          </w:p>
          <w:p w14:paraId="5DE2405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2.临时堆料/机具场防控</w:t>
            </w:r>
          </w:p>
          <w:p w14:paraId="4446479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（1）场地四周搭设简易挡土埂+临时环形排水沟，堆土全覆盖防尘防雨布；</w:t>
            </w:r>
          </w:p>
          <w:p w14:paraId="1587164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（2）划定人员行走固定通道，禁止随意踩踏周边灌草；</w:t>
            </w:r>
          </w:p>
          <w:p w14:paraId="51750B7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（3）建材分区堆放，缩小裸露占地范围，减少地表长时间裸露。</w:t>
            </w:r>
          </w:p>
          <w:p w14:paraId="1094BD8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3.取土场施工防控</w:t>
            </w:r>
          </w:p>
          <w:p w14:paraId="15EEC94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（1）分层阶梯式开挖，每阶开挖完成立即设置临时截排水；</w:t>
            </w:r>
          </w:p>
          <w:p w14:paraId="6749A19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（2）开挖裸土、临时堆土全程加厚防尘网覆盖，洒水降尘减少叶面积尘；</w:t>
            </w:r>
          </w:p>
          <w:p w14:paraId="671E04E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（3）取土作业分段推进，完成一段、临时覆盖一段，避免大面积同步裸露。</w:t>
            </w:r>
          </w:p>
          <w:p w14:paraId="6B1006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4.临时进场道路防控</w:t>
            </w:r>
          </w:p>
          <w:p w14:paraId="3C1401C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（1）路面全线采用碎石硬化，每日适时洒水抑尘；</w:t>
            </w:r>
          </w:p>
          <w:p w14:paraId="47DFD74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（2）道路两侧开挖浅沟收集路面泥沙径流，沉淀后再排入自然坡面；</w:t>
            </w:r>
          </w:p>
          <w:p w14:paraId="4CE86D4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（3）车辆限速15km/h，减少扬尘与路边植被碾压。</w:t>
            </w:r>
          </w:p>
          <w:p w14:paraId="5D0E0B9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5.生态恢复措施</w:t>
            </w:r>
          </w:p>
          <w:p w14:paraId="5E6D134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本项目废渣堆场、临时堆料场、取土场、临时道路全部施工区域，生态修复技术标准、植被配置、管护要求统一，不分区单独赘述，整体恢复方案如下：</w:t>
            </w:r>
          </w:p>
          <w:p w14:paraId="05BADF4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（1）场地平整：工程全部完工后，清除硬化碎石、建筑垃圾，整平坡面、坑洼，消除开挖陡坎与冲刷冲沟；</w:t>
            </w:r>
          </w:p>
          <w:p w14:paraId="46C00C6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（2）覆土改良：全域覆盖0.4m厚合格耕作种植土（取土场外恢复同步保留表层腐殖土回填）；</w:t>
            </w:r>
          </w:p>
          <w:p w14:paraId="4E77132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（3）植被配置：统一混合撒播三叶草、高羊茅、黑麦草、野菊花复合草种，播种密度60kg/hm²；</w:t>
            </w:r>
          </w:p>
          <w:p w14:paraId="372C62F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（4）临时辅助：坡度＞25m区域铺设三维植被网固土，防止初期雨水冲刷；</w:t>
            </w:r>
          </w:p>
          <w:p w14:paraId="05CD672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（5）管护标准：完工后连续1年重点养护，后续2年常态化巡检；养护期满植被整体成活率≥90，连续3年监测植被覆盖度稳定≥85%；</w:t>
            </w:r>
          </w:p>
          <w:p w14:paraId="2E2FB0C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（6）分区差异化收尾仅一处说明：取土场开挖深度较大区域，可局部增植本土低矮灌木，其余区域仅草本复绿即可。</w:t>
            </w:r>
          </w:p>
          <w:p w14:paraId="7281DCD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eastAsia="宋体" w:cs="Times New Roman"/>
                <w:b/>
                <w:bCs/>
                <w:color w:val="auto"/>
                <w:sz w:val="24"/>
                <w:szCs w:val="24"/>
                <w:highlight w:val="none"/>
                <w:lang w:val="en-US" w:eastAsia="zh-CN"/>
              </w:rPr>
              <w:t>大气污染防治措施</w:t>
            </w:r>
          </w:p>
          <w:p w14:paraId="00D2DCC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施工扬尘</w:t>
            </w:r>
          </w:p>
          <w:p w14:paraId="685AC90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渣堆削坡、取土、土方装卸作业点固定配备移动式雾炮，干燥晴天每 2小时洒水1次，大风（风速≥5级）立即停止土方开挖、取土转运作业，裸土全覆盖双层防尘防雨土工布。</w:t>
            </w:r>
          </w:p>
          <w:p w14:paraId="4837620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场内1270m临时碎石便道每日</w:t>
            </w:r>
            <w:r>
              <w:rPr>
                <w:rFonts w:hint="eastAsia" w:cs="Times New Roman"/>
                <w:b w:val="0"/>
                <w:bCs w:val="0"/>
                <w:color w:val="auto"/>
                <w:sz w:val="24"/>
                <w:szCs w:val="24"/>
                <w:highlight w:val="none"/>
                <w:lang w:val="en-US" w:eastAsia="zh-CN"/>
              </w:rPr>
              <w:t>适</w:t>
            </w:r>
            <w:r>
              <w:rPr>
                <w:rFonts w:hint="default" w:ascii="Times New Roman" w:hAnsi="Times New Roman" w:eastAsia="宋体" w:cs="Times New Roman"/>
                <w:b w:val="0"/>
                <w:bCs w:val="0"/>
                <w:color w:val="auto"/>
                <w:sz w:val="24"/>
                <w:szCs w:val="24"/>
                <w:highlight w:val="none"/>
                <w:lang w:val="en-US" w:eastAsia="zh-CN"/>
              </w:rPr>
              <w:t>洒水保湿</w:t>
            </w:r>
            <w:r>
              <w:rPr>
                <w:rFonts w:hint="eastAsia"/>
                <w:color w:val="auto"/>
                <w:lang w:eastAsia="zh-CN"/>
              </w:rPr>
              <w:t>；</w:t>
            </w:r>
          </w:p>
          <w:p w14:paraId="049F210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山体陡坡</w:t>
            </w:r>
            <w:r>
              <w:rPr>
                <w:rFonts w:hint="eastAsia" w:cs="Times New Roman"/>
                <w:b w:val="0"/>
                <w:bCs w:val="0"/>
                <w:color w:val="auto"/>
                <w:sz w:val="24"/>
                <w:szCs w:val="24"/>
                <w:highlight w:val="none"/>
                <w:lang w:val="en-US" w:eastAsia="zh-CN"/>
              </w:rPr>
              <w:t>不便</w:t>
            </w:r>
            <w:r>
              <w:rPr>
                <w:rFonts w:hint="default" w:ascii="Times New Roman" w:hAnsi="Times New Roman" w:eastAsia="宋体" w:cs="Times New Roman"/>
                <w:b w:val="0"/>
                <w:bCs w:val="0"/>
                <w:color w:val="auto"/>
                <w:sz w:val="24"/>
                <w:szCs w:val="24"/>
                <w:highlight w:val="none"/>
                <w:lang w:val="en-US" w:eastAsia="zh-CN"/>
              </w:rPr>
              <w:t>搭设连续硬质围挡区域，沿作业区边坡满铺密目防尘网兜底，阻挡粉尘直接冲入沟谷、红岩河支流。</w:t>
            </w:r>
          </w:p>
          <w:p w14:paraId="22A1F4F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所有渣土、覆土运输车辆100%密闭篷全覆盖，装载高度低于车厢挡板30cm，出场前</w:t>
            </w:r>
            <w:r>
              <w:rPr>
                <w:rFonts w:hint="eastAsia" w:cs="Times New Roman"/>
                <w:b w:val="0"/>
                <w:bCs w:val="0"/>
                <w:color w:val="auto"/>
                <w:sz w:val="24"/>
                <w:szCs w:val="24"/>
                <w:highlight w:val="none"/>
                <w:lang w:val="en-US" w:eastAsia="zh-CN"/>
              </w:rPr>
              <w:t>经洗车设备清洗轮胎</w:t>
            </w:r>
            <w:r>
              <w:rPr>
                <w:rFonts w:hint="default" w:ascii="Times New Roman" w:hAnsi="Times New Roman" w:eastAsia="宋体" w:cs="Times New Roman"/>
                <w:b w:val="0"/>
                <w:bCs w:val="0"/>
                <w:color w:val="auto"/>
                <w:sz w:val="24"/>
                <w:szCs w:val="24"/>
                <w:highlight w:val="none"/>
                <w:lang w:val="en-US" w:eastAsia="zh-CN"/>
              </w:rPr>
              <w:t>，杜绝带泥上路、沿路抛洒。</w:t>
            </w:r>
          </w:p>
          <w:p w14:paraId="28F0D3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场内临时堆土、废渣分区堆放，堆高控制2m以内，四周设0.3m挡土埂，全覆盖防尘网，雨季额外加盖防雨布防止雨水冲刷起泥</w:t>
            </w:r>
          </w:p>
          <w:p w14:paraId="7DBCC03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2.长距离野外运输防治措施</w:t>
            </w:r>
          </w:p>
          <w:p w14:paraId="67AF297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取土运输全线落实管控：村口设置减速带与扬尘警示牌，运输车</w:t>
            </w:r>
            <w:r>
              <w:rPr>
                <w:rFonts w:hint="eastAsia" w:cs="Times New Roman"/>
                <w:b w:val="0"/>
                <w:bCs w:val="0"/>
                <w:color w:val="auto"/>
                <w:sz w:val="24"/>
                <w:szCs w:val="24"/>
                <w:highlight w:val="none"/>
                <w:lang w:val="en-US" w:eastAsia="zh-CN"/>
              </w:rPr>
              <w:t>辆在</w:t>
            </w:r>
            <w:r>
              <w:rPr>
                <w:rFonts w:hint="default" w:ascii="Times New Roman" w:hAnsi="Times New Roman" w:eastAsia="宋体" w:cs="Times New Roman"/>
                <w:b w:val="0"/>
                <w:bCs w:val="0"/>
                <w:color w:val="auto"/>
                <w:sz w:val="24"/>
                <w:szCs w:val="24"/>
                <w:highlight w:val="none"/>
                <w:lang w:val="en-US" w:eastAsia="zh-CN"/>
              </w:rPr>
              <w:t>村内低速通行；每日安排洒水车对运输乡村道路洒水抑尘。</w:t>
            </w:r>
          </w:p>
          <w:p w14:paraId="5E5DB84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安排人员每日沿线巡查，发现车辆篷布破损、沿路抛洒泥土立即停运整改，清理路面散落土方。</w:t>
            </w:r>
          </w:p>
          <w:p w14:paraId="5042AB9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大风、降雨预警天气暂停长距离土方外运，避免山路扬尘、泥浆污染沿线农田与林地</w:t>
            </w:r>
          </w:p>
          <w:p w14:paraId="713B609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施工机械和运输车辆尾气</w:t>
            </w:r>
          </w:p>
          <w:p w14:paraId="338082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①施工单位按照要求为非道路移动机械悬挂环保标牌</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实时记录进出场情况，接受相关部门的监督管理；</w:t>
            </w:r>
          </w:p>
          <w:p w14:paraId="19200F5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②项目使用符合国家规定排放标准的非道路移动机械，并进行编码登记行检验，向生态环境主管部门提供检验数据；</w:t>
            </w:r>
          </w:p>
          <w:p w14:paraId="06F2014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③施工单位按照要求定期委托有资质单位对场区非道路移动机械排放进行检验，向生态环境主管部门提供检验数据；</w:t>
            </w:r>
          </w:p>
          <w:p w14:paraId="0B6DC40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④不合格设备应及时返厂维修不得使用，维修设备不在此施工现场进行；</w:t>
            </w:r>
          </w:p>
          <w:p w14:paraId="5B2140C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⑤加强对施工机械及施工车辆的检修和维护，不使用超期服役和尾气超标的施工机械及车辆。</w:t>
            </w:r>
          </w:p>
          <w:p w14:paraId="4D4A2CC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⑥建议尽可能使用气动和电动设备及机械，或使用优质燃油，以减少机械和车辆尾气中有害气体的排放。</w:t>
            </w:r>
          </w:p>
          <w:p w14:paraId="781C3F0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lang w:val="en-US" w:eastAsia="zh-CN"/>
              </w:rPr>
              <w:t>水污染防治措施</w:t>
            </w:r>
          </w:p>
          <w:p w14:paraId="14BECAA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（1）施工废水</w:t>
            </w:r>
          </w:p>
          <w:p w14:paraId="0B9CE77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施工期在施工场地内设置沉淀池，施工场地设备和车辆清洗废水仅含有少量泥沙，收集并沉淀处理后回用。施工使用成品混凝土，无废水外排。同时环评要求施工期应采取如下污染防治措施：</w:t>
            </w:r>
          </w:p>
          <w:p w14:paraId="5C05A86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①施工期间施工单位应严格执行施工场地文明施工及环境管理有关规定，</w:t>
            </w:r>
          </w:p>
          <w:p w14:paraId="0851FD3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做好废水综合利用，严禁随意乱排。</w:t>
            </w:r>
          </w:p>
          <w:p w14:paraId="09BE0A4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对于施工过程中产生的施工机械设备冲洗废水和养护废水应设置临时沉淀池。在施工生产区生产废水排放点配置沉淀池4个（位于各废渣场下游），根据废水流量及特征，由于废水中固体以颗粒状为主，采用平流式沉淀池，池水澄清后可回用于施工作业用水，不外排。</w:t>
            </w:r>
          </w:p>
          <w:p w14:paraId="446DE20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③施工场地周边及物料堆场应设置雨水截流、导排设施，并备有临时遮挡的帆布，防止雨水冲刷作业面、物料堆体，产生大量的雨污水，对周边环境造成影响。</w:t>
            </w:r>
          </w:p>
          <w:p w14:paraId="57F99B1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（2）生活污水</w:t>
            </w:r>
          </w:p>
          <w:p w14:paraId="4F5C96F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本项目施工人员食宿均依托于周边村庄。生活污水排入周围农户污水处理设施，定期清掏，对环境影响极小。</w:t>
            </w:r>
          </w:p>
          <w:p w14:paraId="28AC867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（3）施工期防止渣体淋溶措施</w:t>
            </w:r>
          </w:p>
          <w:p w14:paraId="31E97FC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施工期间会对现已成型的渣体产生扰动，若在雨水的淋溶作用下，会加剧项目地淋溶废水的产生量突然增大，对环境造成不利影响，为防止发生因施工造成的雨水淋溶，提出措施如下：</w:t>
            </w:r>
          </w:p>
          <w:p w14:paraId="366D982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①合理选择施工时间，避免在雨季进行施工活动；</w:t>
            </w:r>
          </w:p>
          <w:p w14:paraId="5AC94ED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②应分段施工，避免大面积扰动渣体；进行覆盖，防止雨水淋溶。</w:t>
            </w:r>
          </w:p>
          <w:p w14:paraId="721C559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③准备防护工具，如帆布、塑料</w:t>
            </w:r>
            <w:r>
              <w:rPr>
                <w:rFonts w:hint="eastAsia" w:ascii="Times New Roman" w:hAnsi="Times New Roman" w:eastAsia="宋体" w:cs="Times New Roman"/>
                <w:b w:val="0"/>
                <w:bCs w:val="0"/>
                <w:color w:val="auto"/>
                <w:sz w:val="24"/>
                <w:szCs w:val="24"/>
                <w:highlight w:val="none"/>
                <w:lang w:val="en-US" w:eastAsia="zh-CN"/>
              </w:rPr>
              <w:t>。</w:t>
            </w:r>
          </w:p>
          <w:p w14:paraId="670773C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声环境保护措施</w:t>
            </w:r>
          </w:p>
          <w:p w14:paraId="71D1AB8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为将施工期间的噪声影响降低到最低程度，建设单位拟采取以下措施：</w:t>
            </w:r>
          </w:p>
          <w:p w14:paraId="6E33C42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施工材料运输合理选取路线，尽量利用现有道路进行运输。在施工道路经过声环境保护目标路段设置禁鸣牌，施工运输车辆路过时，减速缓行，并禁止鸣笛。</w:t>
            </w:r>
          </w:p>
          <w:p w14:paraId="4F98A43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尽可能选择低噪声机械设备或带隔声消声的设备，采用噪声小的设备，减少基础阶段的施工噪声影响。对于燃油机械，可通过排气消声器和隔离发动机振动部分的方法来降低噪声；闲置的机械设备等应该予以关闭或者减速；一切动力机械设备都应该定期检修。</w:t>
            </w:r>
          </w:p>
          <w:p w14:paraId="0AC342F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对项目施工场地进行合理布局，将各种噪声比较大的机械设备尽量远离声环境保护目标处，尽可能减轻由于施工给附近居民带来的不良影响。</w:t>
            </w:r>
          </w:p>
          <w:p w14:paraId="00F0EC4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合理安排施工计划和施工时间，禁止夜间施工，严禁高噪声设备在休息时间作业。大型机械施工应提前通知附近居民，做好沟通工作。</w:t>
            </w:r>
          </w:p>
          <w:p w14:paraId="2A1944A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五、</w:t>
            </w:r>
            <w:r>
              <w:rPr>
                <w:rFonts w:hint="default" w:ascii="Times New Roman" w:hAnsi="Times New Roman" w:eastAsia="宋体" w:cs="Times New Roman"/>
                <w:b/>
                <w:bCs/>
                <w:color w:val="auto"/>
                <w:sz w:val="24"/>
                <w:szCs w:val="24"/>
                <w:highlight w:val="none"/>
                <w:lang w:val="en-US" w:eastAsia="zh-CN"/>
              </w:rPr>
              <w:t>固体废物保护措施</w:t>
            </w:r>
          </w:p>
          <w:p w14:paraId="289D1A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）生活垃圾：施工人员的生活垃圾采用垃圾桶分类集中收集后，清运至垃圾集中处理点。</w:t>
            </w:r>
          </w:p>
          <w:p w14:paraId="03301A0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在采取以上措施后，施工期固体废物均得到合理妥善处置，对周边环境影响较小，且随着施工期的结束而消失。</w:t>
            </w:r>
          </w:p>
        </w:tc>
      </w:tr>
      <w:tr w14:paraId="3AA173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tcBorders>
              <w:tl2br w:val="nil"/>
              <w:tr2bl w:val="nil"/>
            </w:tcBorders>
            <w:noWrap w:val="0"/>
            <w:tcMar>
              <w:left w:w="28" w:type="dxa"/>
              <w:right w:w="28" w:type="dxa"/>
            </w:tcMar>
            <w:vAlign w:val="center"/>
          </w:tcPr>
          <w:p w14:paraId="0C0EC8F4">
            <w:pPr>
              <w:adjustRightInd w:val="0"/>
              <w:snapToGrid w:val="0"/>
              <w:jc w:val="center"/>
              <w:rPr>
                <w:rFonts w:hint="default" w:ascii="Times New Roman" w:hAnsi="Times New Roman" w:eastAsia="宋体" w:cs="Times New Roman"/>
                <w:bCs/>
                <w:color w:val="auto"/>
                <w:spacing w:val="10"/>
                <w:sz w:val="24"/>
                <w:szCs w:val="24"/>
                <w:highlight w:val="none"/>
              </w:rPr>
            </w:pPr>
            <w:r>
              <w:rPr>
                <w:rFonts w:hint="default" w:ascii="Times New Roman" w:hAnsi="Times New Roman" w:eastAsia="宋体" w:cs="Times New Roman"/>
                <w:bCs/>
                <w:color w:val="auto"/>
                <w:spacing w:val="10"/>
                <w:sz w:val="24"/>
                <w:szCs w:val="24"/>
                <w:highlight w:val="none"/>
                <w:lang w:val="en-US" w:eastAsia="zh-CN"/>
              </w:rPr>
              <w:t>运营期生态环境保护措施</w:t>
            </w:r>
          </w:p>
        </w:tc>
        <w:tc>
          <w:tcPr>
            <w:tcW w:w="8457" w:type="dxa"/>
            <w:tcBorders>
              <w:tl2br w:val="nil"/>
              <w:tr2bl w:val="nil"/>
            </w:tcBorders>
            <w:noWrap w:val="0"/>
            <w:vAlign w:val="center"/>
          </w:tcPr>
          <w:p w14:paraId="44187B0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本项目封场运营期无生产作业，核心工作为全域环境跟踪监测、植被常态化管护、渣体防渗及排水安全设施巡检维保，同步建立渗滤液积存应急处置机制，全方位消除长期重金属迁移、地质水土流失风险。</w:t>
            </w:r>
          </w:p>
          <w:p w14:paraId="17C9143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highlight w:val="none"/>
                <w:lang w:val="en-US" w:eastAsia="zh-CN"/>
              </w:rPr>
              <w:t>、全要素环境跟踪监测</w:t>
            </w:r>
          </w:p>
          <w:p w14:paraId="5864235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（一）监测整体要求</w:t>
            </w:r>
          </w:p>
          <w:p w14:paraId="4ED0BCE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全部监测委托具备CMA</w:t>
            </w:r>
            <w:r>
              <w:rPr>
                <w:rFonts w:hint="eastAsia" w:cs="Times New Roman"/>
                <w:color w:val="auto"/>
                <w:sz w:val="24"/>
                <w:szCs w:val="24"/>
                <w:highlight w:val="none"/>
                <w:lang w:val="en-US" w:eastAsia="zh-CN"/>
              </w:rPr>
              <w:t>资质的第三方</w:t>
            </w:r>
            <w:r>
              <w:rPr>
                <w:rFonts w:hint="default" w:ascii="Times New Roman" w:hAnsi="Times New Roman" w:eastAsia="宋体" w:cs="Times New Roman"/>
                <w:color w:val="auto"/>
                <w:sz w:val="24"/>
                <w:szCs w:val="24"/>
                <w:highlight w:val="none"/>
                <w:lang w:val="en-US" w:eastAsia="zh-CN"/>
              </w:rPr>
              <w:t>机构实施，完整留存采样记录、影像、检测报告，监测台账归档保存不少于5年，连续3年跟踪监测资料为渣堆销号、竣工环保验收必备资料；设置蓝/黄/红三级预警机制，超标、异常情况第一时间上报太白县生态环境分局并启动应急处置。</w:t>
            </w:r>
          </w:p>
          <w:p w14:paraId="74079CA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1.地表水监测</w:t>
            </w:r>
          </w:p>
          <w:p w14:paraId="2463EE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监测点位：</w:t>
            </w:r>
            <w:r>
              <w:rPr>
                <w:rFonts w:hint="eastAsia" w:cs="Times New Roman"/>
                <w:color w:val="auto"/>
                <w:sz w:val="24"/>
                <w:szCs w:val="24"/>
                <w:highlight w:val="none"/>
                <w:lang w:val="en-US" w:eastAsia="zh-CN"/>
              </w:rPr>
              <w:t>W1背景断面，位于红岩河上游，渣堆汇水前，W2</w:t>
            </w:r>
            <w:r>
              <w:rPr>
                <w:rFonts w:hint="default" w:ascii="Times New Roman" w:hAnsi="Times New Roman" w:eastAsia="宋体" w:cs="Times New Roman"/>
                <w:color w:val="auto"/>
                <w:sz w:val="24"/>
                <w:szCs w:val="24"/>
                <w:highlight w:val="none"/>
                <w:lang w:val="en-US" w:eastAsia="zh-CN"/>
              </w:rPr>
              <w:t>上</w:t>
            </w:r>
            <w:r>
              <w:rPr>
                <w:rFonts w:hint="eastAsia" w:cs="Times New Roman"/>
                <w:color w:val="auto"/>
                <w:sz w:val="24"/>
                <w:szCs w:val="24"/>
                <w:highlight w:val="none"/>
                <w:lang w:val="en-US" w:eastAsia="zh-CN"/>
              </w:rPr>
              <w:t>控制断面</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W3</w:t>
            </w:r>
            <w:r>
              <w:rPr>
                <w:rFonts w:hint="default" w:ascii="Times New Roman" w:hAnsi="Times New Roman" w:eastAsia="宋体" w:cs="Times New Roman"/>
                <w:color w:val="auto"/>
                <w:sz w:val="24"/>
                <w:szCs w:val="24"/>
                <w:highlight w:val="none"/>
                <w:lang w:val="en-US" w:eastAsia="zh-CN"/>
              </w:rPr>
              <w:t>渣堆汇水口断面</w:t>
            </w:r>
            <w:r>
              <w:rPr>
                <w:rFonts w:hint="eastAsia" w:cs="Times New Roman"/>
                <w:color w:val="auto"/>
                <w:sz w:val="24"/>
                <w:szCs w:val="24"/>
                <w:highlight w:val="none"/>
                <w:lang w:val="en-US" w:eastAsia="zh-CN"/>
              </w:rPr>
              <w:t>，位于1#~3#渣堆汇水入马槽沟处</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W3位于4#渣堆汇水入古迹沟处</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W4位于马槽沟入红岩河前，W5位于古迹沟入红岩河前，</w:t>
            </w:r>
            <w:r>
              <w:rPr>
                <w:rFonts w:hint="default" w:ascii="Times New Roman" w:hAnsi="Times New Roman" w:eastAsia="宋体" w:cs="Times New Roman"/>
                <w:color w:val="auto"/>
                <w:sz w:val="24"/>
                <w:szCs w:val="24"/>
                <w:highlight w:val="none"/>
                <w:lang w:val="en-US" w:eastAsia="zh-CN"/>
              </w:rPr>
              <w:t>监测因子：流量、pH、汞、六价铬、铊、铅、镍、砷、铜、锌监测频次：封场后连续3年，每年丰水期、平水期、枯水期各监测1次；丰水期为淋溶高风险时段不得缺测；连续2年水质稳定达标可缩减监测点位。预警管控：汇水口、入河断面重金属超标立即排查防渗、排水系统堵塞破损问题。</w:t>
            </w:r>
          </w:p>
          <w:p w14:paraId="36EAA7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2.地下水监测</w:t>
            </w:r>
          </w:p>
          <w:p w14:paraId="04ED243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监测点位：GW0上游背景监测井、GW1</w:t>
            </w:r>
            <w:r>
              <w:rPr>
                <w:rFonts w:hint="eastAsia" w:cs="Times New Roman"/>
                <w:color w:val="auto"/>
                <w:sz w:val="24"/>
                <w:szCs w:val="24"/>
                <w:highlight w:val="none"/>
                <w:lang w:val="en-US" w:eastAsia="zh-CN"/>
              </w:rPr>
              <w:t>、GW2</w:t>
            </w:r>
            <w:r>
              <w:rPr>
                <w:rFonts w:hint="default" w:ascii="Times New Roman" w:hAnsi="Times New Roman" w:eastAsia="宋体" w:cs="Times New Roman"/>
                <w:color w:val="auto"/>
                <w:sz w:val="24"/>
                <w:szCs w:val="24"/>
                <w:highlight w:val="none"/>
                <w:lang w:val="en-US" w:eastAsia="zh-CN"/>
              </w:rPr>
              <w:t>渣堆下游渗漏监控井监测因子：水位、pH、砷、铅、镉、汞、铬（六价）、铜、镍、锌、铊</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监测频次：封场连续3年，每年丰、平、枯三期各采样1次；水位突升、重金属浓度异常加密月度监测。预警管控：地下水重金属高于本底值，判定存在防渗下渗通道，立即开挖排查HDPE膜破损点位。</w:t>
            </w:r>
          </w:p>
          <w:p w14:paraId="4A87147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3.土壤监测</w:t>
            </w:r>
          </w:p>
          <w:p w14:paraId="1DE5BDE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监测点位：T0区域背景点；T1、T2渣堆周边监控点；NT1、NT2下游农田控制点监测因子：pH、镉、汞、砷、铅、铬、镍、铜、锌；采样深度：农田0~0.4m，渣堆周边0~0.5m、0.5</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1.5m双层采样监测频次：封场连续3年每年枯水期监测1次，农田点位全程保留不取消。预警管控：农用地点位超标，判定重金属横向扩散，立即增设临时截土、防渗围挡阻断污染。</w:t>
            </w:r>
          </w:p>
          <w:p w14:paraId="1E6AEDE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4.生态专项监测</w:t>
            </w:r>
          </w:p>
          <w:p w14:paraId="34E1535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监测范围：全部7207.51</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复绿区域监测内容：植被成活率、植被覆盖度、坡面冲刷冲沟、裸露斑块、水土流失情况监测手段：无人机航测+现场样方实地核查监测频次：封场后连续3年，每年6-9月植被旺盛期监测1次；同步记录坡面裸露、塌陷等设施破损问题。</w:t>
            </w:r>
          </w:p>
          <w:p w14:paraId="45BABDF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二、生态恢复长效管护与成活率管控指标</w:t>
            </w:r>
          </w:p>
          <w:p w14:paraId="76D53AE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矿山生态修复工程验收合格后，需做好后期管护工作，管护内容主要包括工程设施维护和植被养护</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"https://sthj.guizhou.gov.cn/zwgk/zdlyxx/hjpj/jsxmslgs/202310/P020250228349937069619.pdf" \l "82#36" \t "https://chat.deepseek.com/a/chat/s/_blank"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。计划管护时间为生态修复工程验收合格后3年</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"https://sthj.guizhou.gov.cn/zwgk/zdlyxx/hjpj/jsxmslgs/202310/P020250228349937069619.pdf" \l "82#36" \t "https://chat.deepseek.com/a/chat/s/_blank"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"https://gi.mnr.gov.cn/202408/P020240820547973972466.pdf" \l "51#34" \t "https://chat.deepseek.com/a/chat/s/_blank"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"https://sthj.ln.gov.cn/sthj/zfxxgk/fdzdgknr/xzxkxxgk/czzj/hbzxzjxm/2025021716443616323/2025021716442698375.pdf" \l "104#89" \t "https://chat.deepseek.com/a/chat/s/_blank"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w:t>
            </w:r>
          </w:p>
          <w:p w14:paraId="29849A7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工程设施维护：对支护加固工程、截排水工程、地貌重塑工程、土壤重构工程和相关配套附属设施等，按照工程设计和运行要求进行定期检查和维护，发现设施运行不正常或损毁，应及时修复或替换</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"https://sthj.guizhou.gov.cn/zwgk/zdlyxx/hjpj/jsxmslgs/202310/P020250228349937069619.pdf" \l "82#36" \t "https://chat.deepseek.com/a/chat/s/_blank"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w:t>
            </w:r>
          </w:p>
          <w:p w14:paraId="357261B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植被养护：主要采取定期或不定期喷水、追肥、清除杂草、防治病虫害、补植、补种等措施，对复绿植被进行养护</w:t>
            </w:r>
            <w:r>
              <w:rPr>
                <w:rFonts w:hint="eastAsia" w:cs="Times New Roman"/>
                <w:color w:val="auto"/>
                <w:sz w:val="24"/>
                <w:szCs w:val="24"/>
                <w:highlight w:val="none"/>
                <w:lang w:val="en-US" w:eastAsia="zh-CN"/>
              </w:rPr>
              <w:t>。</w:t>
            </w:r>
          </w:p>
          <w:p w14:paraId="787BBF4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管护管理要求安排专人常态化现场巡检，留存养护照片、巡查日志，所有管护资料纳入项目长效生态管理档案。</w:t>
            </w:r>
          </w:p>
          <w:p w14:paraId="33680E2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三、安全设施定期维护及渗滤液应急外运处置</w:t>
            </w:r>
          </w:p>
          <w:p w14:paraId="1F802D5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巡检频次规定</w:t>
            </w:r>
          </w:p>
          <w:p w14:paraId="7D660CE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雨季（4-10月）每周全面巡检1次，暴雨结</w:t>
            </w:r>
            <w:r>
              <w:rPr>
                <w:rFonts w:hint="eastAsia" w:cs="Times New Roman"/>
                <w:color w:val="auto"/>
                <w:sz w:val="24"/>
                <w:szCs w:val="24"/>
                <w:highlight w:val="none"/>
                <w:lang w:val="en-US" w:eastAsia="zh-CN"/>
              </w:rPr>
              <w:t>束后</w:t>
            </w:r>
            <w:r>
              <w:rPr>
                <w:rFonts w:hint="default" w:ascii="Times New Roman" w:hAnsi="Times New Roman" w:eastAsia="宋体" w:cs="Times New Roman"/>
                <w:color w:val="auto"/>
                <w:sz w:val="24"/>
                <w:szCs w:val="24"/>
                <w:highlight w:val="none"/>
                <w:lang w:val="en-US" w:eastAsia="zh-CN"/>
              </w:rPr>
              <w:t>24小时内增加专项排查；枯水季（11月-次年3月）每月开展1次完整设施检查。</w:t>
            </w:r>
          </w:p>
          <w:p w14:paraId="12EE7F9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分设施巡检、维修措施</w:t>
            </w:r>
          </w:p>
          <w:p w14:paraId="6349B0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截排水沟（环形主沟+坡面截水沟）巡检重点：沟渠淤积泥沙、浆砌墙体开裂、边坡冲刷垮塌、排水通道堵塞；维修措施：定期人工清淤保障过水断面；墙体裂缝、脱落采用M7.5水泥砂浆修补；沟侧土体塌陷及时回填夯实，增设小型护坡防护。</w:t>
            </w:r>
          </w:p>
          <w:p w14:paraId="2FEEB37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HDPE防渗膜及上部覆土系统巡检重点：表层覆土沉降、塌陷、地表裂缝、膜体外露、防渗层搭接开缝；分级处置：①表层轻微裂缝（宽度＜2cm）：就地夯实覆土，补撒草籽固土；②大面积沉降塌陷、土工膜裸露：分层开挖上部覆土，重新焊接修复HDPE防渗层，分层压实黏土保护层后恢复种植土；③巡检发现低洼坑槽积存渗滤液，立即启动专项外运处置流程。</w:t>
            </w:r>
          </w:p>
          <w:p w14:paraId="7F44FFD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浆砌挡渣墙巡检重点：墙体倾斜、贯通裂缝、泄水孔堵塞、伸缩缝沥青麻筋脱落、基础沉降；维修措施：疏通泄水孔保障墙内渗水外排；细微裂缝灌注砂浆封闭；墙体明显变形、存在失稳风险时，设置警戒隔离带，编制加固方案实施支护补强。</w:t>
            </w:r>
          </w:p>
          <w:p w14:paraId="2DE8967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渗滤液积存应急、外运处置流程</w:t>
            </w:r>
          </w:p>
          <w:p w14:paraId="75107DA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现场隔离：发现坑洼、防渗破损处积存渗滤液，立即采用沙袋围挡隔离，阻断雨水持续汇入渗滤液汇集区；</w:t>
            </w:r>
          </w:p>
          <w:p w14:paraId="227CC70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收集转运：使用防渗抽水泵将渗滤液抽入密闭防渗储罐，委托具备重金属废液处置资质单位，采用专用防渗罐车密闭外运处置；</w:t>
            </w:r>
          </w:p>
          <w:p w14:paraId="1B52E7B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溯源修复：同步排查HDPE膜、截排水破损源头，完成防渗修补、截水沟加固后，方可解除现场隔离；</w:t>
            </w:r>
          </w:p>
          <w:p w14:paraId="4C5F557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台账管理：完整记录渗滤液积存方量、收集时间、转运单位、处置凭证、现场影像，专项台账单独归档留存，作为年度监测验收资料。</w:t>
            </w:r>
          </w:p>
          <w:p w14:paraId="3771326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运维档案要求</w:t>
            </w:r>
          </w:p>
          <w:p w14:paraId="50E4759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每次巡检、维修、渗滤液转运处置均填写设施运维记录表，配套现场实拍照片；设施运维档案与环境监测、生态管护资料统一存档管理，为3年跟踪验收、渣堆销号提供完整支撑材料</w:t>
            </w:r>
            <w:r>
              <w:rPr>
                <w:rFonts w:hint="eastAsia" w:cs="Times New Roman"/>
                <w:color w:val="auto"/>
                <w:sz w:val="24"/>
                <w:szCs w:val="24"/>
                <w:highlight w:val="none"/>
                <w:lang w:val="en-US" w:eastAsia="zh-CN"/>
              </w:rPr>
              <w:t>。</w:t>
            </w:r>
          </w:p>
        </w:tc>
      </w:tr>
      <w:tr w14:paraId="4C66D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tcBorders>
              <w:tl2br w:val="nil"/>
              <w:tr2bl w:val="nil"/>
            </w:tcBorders>
            <w:noWrap w:val="0"/>
            <w:tcMar>
              <w:left w:w="28" w:type="dxa"/>
              <w:right w:w="28" w:type="dxa"/>
            </w:tcMar>
            <w:vAlign w:val="center"/>
          </w:tcPr>
          <w:p w14:paraId="65C2D1D6">
            <w:pPr>
              <w:adjustRightInd w:val="0"/>
              <w:snapToGrid w:val="0"/>
              <w:jc w:val="center"/>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其他</w:t>
            </w:r>
          </w:p>
        </w:tc>
        <w:tc>
          <w:tcPr>
            <w:tcW w:w="8457" w:type="dxa"/>
            <w:tcBorders>
              <w:tl2br w:val="nil"/>
              <w:tr2bl w:val="nil"/>
            </w:tcBorders>
            <w:noWrap w:val="0"/>
            <w:vAlign w:val="top"/>
          </w:tcPr>
          <w:p w14:paraId="0EEF216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1.施工管理和宣传教育</w:t>
            </w:r>
          </w:p>
          <w:p w14:paraId="6576443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（1）制定环境保护工作年度计划，并组织实施：</w:t>
            </w:r>
          </w:p>
          <w:p w14:paraId="3AAD333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（2）根据有关法规和标准，制定建设期环境保护实施规划和管理办法：</w:t>
            </w:r>
          </w:p>
          <w:p w14:paraId="0A17293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（3）监督施工单位的环保措施执行情况，负责环保措施和环保工程的监督、检查和验收工作；</w:t>
            </w:r>
          </w:p>
          <w:p w14:paraId="4D337E5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（4）落实环评提出的环保措施，将地表水不利影响降低到最低程度。</w:t>
            </w:r>
          </w:p>
          <w:p w14:paraId="2F275EF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2.运行管理和宣传教育</w:t>
            </w:r>
          </w:p>
          <w:p w14:paraId="2112B87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（1）加强对当地群众进行保护方面的宣传工作，做好公众沟通工作。</w:t>
            </w:r>
          </w:p>
          <w:p w14:paraId="0B9682F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（2）设立各种警告、防护标识，严禁将零星垃圾进入水体。</w:t>
            </w:r>
          </w:p>
          <w:p w14:paraId="714E26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（3）建立健全环保管理制度，依法进行运行期的环境管理和环境监测工作。</w:t>
            </w:r>
          </w:p>
          <w:p w14:paraId="52A0FF2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（4）加强对巡检人员的环境教育工作，增强其环保意识。</w:t>
            </w:r>
          </w:p>
          <w:p w14:paraId="3A6F4F0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封场后的管理要求在项目封场以后必须加强植物抚育，跟踪观测等措施。项目封场后不存在生态破坏，封场完成后通过植被恢复等措施恢复生态，植被恢复后区域绿化率比工程实施之前将有所提高，对于填埋区水土流失治理将会起到积极的作用。植被恢复时需先覆土，覆土应尽量避开大风、多雨季节，避免水土流失的发生。覆土后应及时恢复植被，避免土壤长期裸露带来水土流失的发生。植被恢复后，由于区域生境的改善，野生动物将会逐渐进入，重新占据该区域，区域生物多样性将逐渐恢复。综上所述，在合理安排覆土和植被恢复前提下，封场后对区域生态环境影响较小。</w:t>
            </w:r>
          </w:p>
          <w:p w14:paraId="622B4C7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3.监测计划</w:t>
            </w:r>
          </w:p>
          <w:p w14:paraId="2938005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土壤监测方案</w:t>
            </w:r>
          </w:p>
          <w:p w14:paraId="73F33F1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w:t>
            </w:r>
            <w:r>
              <w:rPr>
                <w:rFonts w:hint="default" w:ascii="Times New Roman" w:hAnsi="Times New Roman" w:eastAsia="宋体" w:cs="Times New Roman"/>
                <w:b w:val="0"/>
                <w:bCs w:val="0"/>
                <w:color w:val="auto"/>
                <w:sz w:val="24"/>
                <w:szCs w:val="24"/>
                <w:highlight w:val="none"/>
                <w:lang w:val="en-US" w:eastAsia="zh-CN"/>
              </w:rPr>
              <w:t>布点原则（严格遵循</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环境影响评价技术导则土壤环境（HJ 964-2018）</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w:t>
            </w:r>
          </w:p>
          <w:p w14:paraId="34A6EC9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沿废渣雨水径流、重金属迁移主导下坡方向布设监控点位，设置背景对照点、污染监控点、下游农田风险控制点，形成“上游对照-渣堆周边-下游耕地”三级监控断面，完整捕捉防渗失效、雨水冲刷带来的重金属横向扩散风险。</w:t>
            </w:r>
          </w:p>
          <w:p w14:paraId="612CF46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w:t>
            </w:r>
            <w:r>
              <w:rPr>
                <w:rFonts w:hint="default" w:ascii="Times New Roman" w:hAnsi="Times New Roman" w:eastAsia="宋体" w:cs="Times New Roman"/>
                <w:b w:val="0"/>
                <w:bCs w:val="0"/>
                <w:color w:val="auto"/>
                <w:sz w:val="24"/>
                <w:szCs w:val="24"/>
                <w:highlight w:val="none"/>
                <w:lang w:val="en-US" w:eastAsia="zh-CN"/>
              </w:rPr>
              <w:t>点位布设明细</w:t>
            </w:r>
          </w:p>
          <w:p w14:paraId="28AF58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背景对照点（1个，T0）位置：项目上游无矿渣汇水、未受历史采矿影响原生坡地；作用：区域土壤重金属本底值基准，用于对比治理前后污染变化；采样深度：0~0.5m表层土。</w:t>
            </w:r>
          </w:p>
          <w:p w14:paraId="4E395FD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渣堆周边监控点（2个，T1、T2）位置：4处渣堆下坡径流出口、挡墙外侧5m处；作用：直接监测防渗层破损、截排水失效后重金属外泄情况；采样深度：0~0.5m、0.5</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1.5m两层，兼顾表层径流污染、垂直下渗污染。</w:t>
            </w:r>
          </w:p>
          <w:p w14:paraId="38CEB97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下游农用地风险监控点（2个，NT1、NT2）位置：渣</w:t>
            </w:r>
            <w:r>
              <w:rPr>
                <w:rFonts w:hint="eastAsia" w:cs="Times New Roman"/>
                <w:b w:val="0"/>
                <w:bCs w:val="0"/>
                <w:color w:val="auto"/>
                <w:sz w:val="24"/>
                <w:szCs w:val="24"/>
                <w:highlight w:val="none"/>
                <w:lang w:val="en-US" w:eastAsia="zh-CN"/>
              </w:rPr>
              <w:t>堆</w:t>
            </w:r>
            <w:r>
              <w:rPr>
                <w:rFonts w:hint="default" w:ascii="Times New Roman" w:hAnsi="Times New Roman" w:eastAsia="宋体" w:cs="Times New Roman"/>
                <w:b w:val="0"/>
                <w:bCs w:val="0"/>
                <w:color w:val="auto"/>
                <w:sz w:val="24"/>
                <w:szCs w:val="24"/>
                <w:highlight w:val="none"/>
                <w:lang w:val="en-US" w:eastAsia="zh-CN"/>
              </w:rPr>
              <w:t>下坡600m两处农田地块；作用：重点防控重金属污染耕地，为农业安全提供风控数据；采样深度：0~0.4m耕作层。</w:t>
            </w:r>
          </w:p>
          <w:p w14:paraId="441B73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w:t>
            </w:r>
            <w:r>
              <w:rPr>
                <w:rFonts w:hint="default" w:ascii="Times New Roman" w:hAnsi="Times New Roman" w:eastAsia="宋体" w:cs="Times New Roman"/>
                <w:b w:val="0"/>
                <w:bCs w:val="0"/>
                <w:color w:val="auto"/>
                <w:sz w:val="24"/>
                <w:szCs w:val="24"/>
                <w:highlight w:val="none"/>
                <w:lang w:val="en-US" w:eastAsia="zh-CN"/>
              </w:rPr>
              <w:t>监测因子</w:t>
            </w:r>
          </w:p>
          <w:p w14:paraId="396D36C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pH、砷、铅、镉、汞、铬、铜、镍、锌（本项目特征重金属全因子）</w:t>
            </w:r>
          </w:p>
          <w:p w14:paraId="1DBFF4C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④</w:t>
            </w:r>
            <w:r>
              <w:rPr>
                <w:rFonts w:hint="default" w:ascii="Times New Roman" w:hAnsi="Times New Roman" w:eastAsia="宋体" w:cs="Times New Roman"/>
                <w:b w:val="0"/>
                <w:bCs w:val="0"/>
                <w:color w:val="auto"/>
                <w:sz w:val="24"/>
                <w:szCs w:val="24"/>
                <w:highlight w:val="none"/>
                <w:lang w:val="en-US" w:eastAsia="zh-CN"/>
              </w:rPr>
              <w:t>监测频次</w:t>
            </w:r>
          </w:p>
          <w:p w14:paraId="42A1A8E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施工前基线监测（必做风控前置）：全部点位采样1次，锁定治理前污染本底，作为后期污染溯源依据；</w:t>
            </w:r>
          </w:p>
          <w:p w14:paraId="6ED92DF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施工期监测：主体防渗工程完工后采样1次，核查施工扰动是否造成重金属外泄；</w:t>
            </w:r>
          </w:p>
          <w:p w14:paraId="31F79CD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运营封场跟踪监测（核心长效风控）：连续3年，每年枯水期采样1次；</w:t>
            </w:r>
          </w:p>
          <w:p w14:paraId="5A55B5D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第1、2年：全覆盖5个点位；</w:t>
            </w:r>
          </w:p>
          <w:p w14:paraId="4A4E640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第3年：若前两年全部点位重金属稳定达标，经向太白县生态环境主管部门书面申请并获得同意后，可将第3年土壤监测点位简化为仅保留下游农田2个风险监控点（NT1、NT2）；</w:t>
            </w:r>
          </w:p>
          <w:p w14:paraId="05EFCB0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若任意点位重金属超标，立即加密至每年丰、平、枯三期监测，并启动防渗破损排查、应急阻断措施。</w:t>
            </w:r>
          </w:p>
          <w:p w14:paraId="6A9C2F8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⑤土壤</w:t>
            </w:r>
            <w:r>
              <w:rPr>
                <w:rFonts w:hint="default" w:ascii="Times New Roman" w:hAnsi="Times New Roman" w:eastAsia="宋体" w:cs="Times New Roman"/>
                <w:b w:val="0"/>
                <w:bCs w:val="0"/>
                <w:color w:val="auto"/>
                <w:sz w:val="24"/>
                <w:szCs w:val="24"/>
                <w:highlight w:val="none"/>
                <w:lang w:val="en-US" w:eastAsia="zh-CN"/>
              </w:rPr>
              <w:t>风控警示要点</w:t>
            </w:r>
          </w:p>
          <w:p w14:paraId="2B6BE31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土壤监测数据为耕地污染追责核心凭证，施工前基线采样未完成，严禁开展削坡、防渗铺设等扰动作业；</w:t>
            </w:r>
          </w:p>
          <w:p w14:paraId="36F5B23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若下游农田点位砷、镉、锌超出农用地筛选值，判定工程防渗/截排水存在失效风险，必须立即停工排查渣堆阻隔体系；</w:t>
            </w:r>
          </w:p>
          <w:p w14:paraId="64596EA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3年跟踪监测档案需单独归档移交太白分局，作为点位销号必备材料，监测中断将不予生态验收、不予污染点位销号；</w:t>
            </w:r>
          </w:p>
          <w:p w14:paraId="268D160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禁止简化采样层数、删减下游农田监控点位，农田点位缺失将无法界定治理工程对农业用地的污染责任。</w:t>
            </w:r>
          </w:p>
          <w:p w14:paraId="7AEE286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（2）地下水监测方案</w:t>
            </w:r>
          </w:p>
          <w:p w14:paraId="3962D5F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①</w:t>
            </w:r>
            <w:r>
              <w:rPr>
                <w:rFonts w:hint="default" w:ascii="Times New Roman" w:hAnsi="Times New Roman" w:eastAsia="宋体" w:cs="Times New Roman"/>
                <w:b w:val="0"/>
                <w:bCs w:val="0"/>
                <w:color w:val="auto"/>
                <w:sz w:val="24"/>
                <w:szCs w:val="24"/>
                <w:highlight w:val="none"/>
                <w:lang w:val="en-US" w:eastAsia="zh-CN"/>
              </w:rPr>
              <w:t>布点原则</w:t>
            </w:r>
          </w:p>
          <w:p w14:paraId="7CB0C9D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根据</w:t>
            </w:r>
            <w:r>
              <w:rPr>
                <w:rFonts w:hint="default" w:ascii="Times New Roman" w:hAnsi="Times New Roman" w:eastAsia="宋体" w:cs="Times New Roman"/>
                <w:b w:val="0"/>
                <w:bCs w:val="0"/>
                <w:color w:val="auto"/>
                <w:sz w:val="24"/>
                <w:szCs w:val="24"/>
                <w:highlight w:val="none"/>
                <w:lang w:val="en-US" w:eastAsia="zh-CN"/>
              </w:rPr>
              <w:t>《环境影响评价技术导则 地下水环境（HJ 610-2016）》</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沿地下水径流、渣堆汇水冲沟上下游布设，采用“上游对照-渣堆下游渗漏监控”断面式布点，捕捉HDPE防渗膜破损、矿硐渗水、截排水溢流造成的重金属垂直下渗风险。</w:t>
            </w:r>
          </w:p>
          <w:p w14:paraId="0FD1C99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②</w:t>
            </w:r>
            <w:r>
              <w:rPr>
                <w:rFonts w:hint="default" w:ascii="Times New Roman" w:hAnsi="Times New Roman" w:eastAsia="宋体" w:cs="Times New Roman"/>
                <w:b w:val="0"/>
                <w:bCs w:val="0"/>
                <w:color w:val="auto"/>
                <w:sz w:val="24"/>
                <w:szCs w:val="24"/>
                <w:highlight w:val="none"/>
                <w:lang w:val="en-US" w:eastAsia="zh-CN"/>
              </w:rPr>
              <w:t>点位布设明细（共</w:t>
            </w: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口地下水监测井）</w:t>
            </w:r>
          </w:p>
          <w:p w14:paraId="1BEB5135">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上游背景井（GW0）</w:t>
            </w:r>
          </w:p>
          <w:p w14:paraId="0583ABC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位置：渣堆冲沟上游800m，地下水径流上游，无矿渣渗流影响；功能：地下水水质本底对照，区分天然本底与废渣淋溶污染。</w:t>
            </w:r>
          </w:p>
          <w:p w14:paraId="4C47E5D7">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下游风险监控井（GW1）</w:t>
            </w:r>
          </w:p>
          <w:p w14:paraId="469CE6A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位置：4处渣堆整体汇水下游600m沟谷基岩裂隙水出露带；功能：核心风控点位，一旦防渗体系失效，重金属渗滤液将随地下水径流优先在此检出；井深：穿透上层滞水，深入基岩裂隙含水层1.5m，分层采集水样。</w:t>
            </w:r>
          </w:p>
          <w:p w14:paraId="1EA3F9C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3）近场预警井（GW2）</w:t>
            </w:r>
          </w:p>
          <w:p w14:paraId="3A41894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位置：在4处渣堆整体汇水下游50～100m范围内设置，作为早期预警井。其功能定位为：一旦HDPE膜发生局部破损，淋溶液开始下渗，该井将最先检出异常信号，便于及时排查修复。</w:t>
            </w:r>
          </w:p>
          <w:p w14:paraId="654C13E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w:t>
            </w:r>
            <w:r>
              <w:rPr>
                <w:rFonts w:hint="default" w:ascii="Times New Roman" w:hAnsi="Times New Roman" w:eastAsia="宋体" w:cs="Times New Roman"/>
                <w:b w:val="0"/>
                <w:bCs w:val="0"/>
                <w:color w:val="auto"/>
                <w:sz w:val="24"/>
                <w:szCs w:val="24"/>
                <w:highlight w:val="none"/>
                <w:lang w:val="en-US" w:eastAsia="zh-CN"/>
              </w:rPr>
              <w:t>监测因子</w:t>
            </w:r>
          </w:p>
          <w:p w14:paraId="225A0DD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水位、pH、砷、铅、镉、汞、铬（六价）、铜、镍、锌、铊</w:t>
            </w:r>
          </w:p>
          <w:p w14:paraId="3CF86F4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④</w:t>
            </w:r>
            <w:r>
              <w:rPr>
                <w:rFonts w:hint="default" w:ascii="Times New Roman" w:hAnsi="Times New Roman" w:eastAsia="宋体" w:cs="Times New Roman"/>
                <w:b w:val="0"/>
                <w:bCs w:val="0"/>
                <w:color w:val="auto"/>
                <w:sz w:val="24"/>
                <w:szCs w:val="24"/>
                <w:highlight w:val="none"/>
                <w:lang w:val="en-US" w:eastAsia="zh-CN"/>
              </w:rPr>
              <w:t>监测频次（分阶段风控节点）</w:t>
            </w:r>
          </w:p>
          <w:p w14:paraId="4CBDE8C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施工前置基线监测：施工前连续监测1个月，每月1次，掌握地下水水位、重金属本底波动；</w:t>
            </w:r>
          </w:p>
          <w:p w14:paraId="196AF05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施工期监测：防渗层、挡墙全部完工后，丰水期加密监测1次（雨季为渗滤风险最高时段）；</w:t>
            </w:r>
          </w:p>
          <w:p w14:paraId="10ECDBF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封场运营长效监控（3年强制风控期）：连续3年，分丰、平、枯水期每年各监测1次；若监控井重金属持续高于背景值、超过地下水Ⅲ类标准，立即开展渣堆防渗完整性检测，开挖排查破损点位，同步增设临时截渗沟阻断渗流。</w:t>
            </w:r>
          </w:p>
          <w:p w14:paraId="5475DF8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⑤地下水</w:t>
            </w:r>
            <w:r>
              <w:rPr>
                <w:rFonts w:hint="default" w:ascii="Times New Roman" w:hAnsi="Times New Roman" w:eastAsia="宋体" w:cs="Times New Roman"/>
                <w:b w:val="0"/>
                <w:bCs w:val="0"/>
                <w:color w:val="auto"/>
                <w:sz w:val="24"/>
                <w:szCs w:val="24"/>
                <w:highlight w:val="none"/>
                <w:lang w:val="en-US" w:eastAsia="zh-CN"/>
              </w:rPr>
              <w:t>风控警示</w:t>
            </w:r>
          </w:p>
          <w:p w14:paraId="5727EA7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地下水是汉江支流红岩河补给源头，地下水监测井未完工、未取得基线数据，不得开展大面积削坡、废渣扰动作业；雨季渗滤风险极高，无监控井等于无渗漏预警手段；</w:t>
            </w:r>
          </w:p>
          <w:p w14:paraId="24709FB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下游监控井一旦特征重金属超标，视为重大环境风险，需立刻启动应急方案：封堵渗漏区域、增设黏土防渗覆盖、加长外围截排水；</w:t>
            </w:r>
          </w:p>
          <w:p w14:paraId="5921DF5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三年跟踪监测记录、水位变化曲线、水质检测报告全部作为项目竣工环保验收硬性资料，缺失监测记录不予通过销号验收；</w:t>
            </w:r>
          </w:p>
          <w:p w14:paraId="20BDBAD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严禁减少监测频次、取消丰水期监测：雨季降雨量大，废渣淋溶下渗风险全年最高，</w:t>
            </w:r>
            <w:r>
              <w:rPr>
                <w:rFonts w:hint="eastAsia" w:cs="Times New Roman"/>
                <w:b w:val="0"/>
                <w:bCs w:val="0"/>
                <w:color w:val="auto"/>
                <w:sz w:val="24"/>
                <w:szCs w:val="24"/>
                <w:highlight w:val="none"/>
                <w:lang w:val="en-US" w:eastAsia="zh-CN"/>
              </w:rPr>
              <w:t>仅凭</w:t>
            </w:r>
            <w:r>
              <w:rPr>
                <w:rFonts w:hint="default" w:ascii="Times New Roman" w:hAnsi="Times New Roman" w:eastAsia="宋体" w:cs="Times New Roman"/>
                <w:b w:val="0"/>
                <w:bCs w:val="0"/>
                <w:color w:val="auto"/>
                <w:sz w:val="24"/>
                <w:szCs w:val="24"/>
                <w:highlight w:val="none"/>
                <w:lang w:val="en-US" w:eastAsia="zh-CN"/>
              </w:rPr>
              <w:t>枯水期监测无法识别渗漏隐患；</w:t>
            </w:r>
          </w:p>
          <w:p w14:paraId="2CF3D22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监测井每年委托第三方运维清洗，防止井内沉积物富集重金属，造成监测数据失真、风险误判。</w:t>
            </w:r>
          </w:p>
          <w:p w14:paraId="738E09B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项目运营期环境质量监测计划见表5-1。</w:t>
            </w:r>
          </w:p>
          <w:p w14:paraId="4E24DB8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表5-1环境质量监测计划一览表</w:t>
            </w:r>
          </w:p>
          <w:tbl>
            <w:tblPr>
              <w:tblStyle w:val="15"/>
              <w:tblW w:w="82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5"/>
              <w:gridCol w:w="3050"/>
              <w:gridCol w:w="1338"/>
              <w:gridCol w:w="1483"/>
              <w:gridCol w:w="1791"/>
            </w:tblGrid>
            <w:tr w14:paraId="23F8DE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95" w:type="dxa"/>
                  <w:tcBorders>
                    <w:tl2br w:val="nil"/>
                    <w:tr2bl w:val="nil"/>
                  </w:tcBorders>
                  <w:vAlign w:val="center"/>
                </w:tcPr>
                <w:p w14:paraId="3990EB4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类别</w:t>
                  </w:r>
                </w:p>
              </w:tc>
              <w:tc>
                <w:tcPr>
                  <w:tcW w:w="3050" w:type="dxa"/>
                  <w:tcBorders>
                    <w:tl2br w:val="nil"/>
                    <w:tr2bl w:val="nil"/>
                  </w:tcBorders>
                  <w:vAlign w:val="center"/>
                </w:tcPr>
                <w:p w14:paraId="276B2A5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监测点位</w:t>
                  </w:r>
                </w:p>
              </w:tc>
              <w:tc>
                <w:tcPr>
                  <w:tcW w:w="1338" w:type="dxa"/>
                  <w:tcBorders>
                    <w:tl2br w:val="nil"/>
                    <w:tr2bl w:val="nil"/>
                  </w:tcBorders>
                  <w:vAlign w:val="center"/>
                </w:tcPr>
                <w:p w14:paraId="2745C6A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监测因子</w:t>
                  </w:r>
                </w:p>
              </w:tc>
              <w:tc>
                <w:tcPr>
                  <w:tcW w:w="1483" w:type="dxa"/>
                  <w:tcBorders>
                    <w:tl2br w:val="nil"/>
                    <w:tr2bl w:val="nil"/>
                  </w:tcBorders>
                  <w:vAlign w:val="center"/>
                </w:tcPr>
                <w:p w14:paraId="6BA26E6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监测频率</w:t>
                  </w:r>
                </w:p>
              </w:tc>
              <w:tc>
                <w:tcPr>
                  <w:tcW w:w="1791" w:type="dxa"/>
                  <w:tcBorders>
                    <w:tl2br w:val="nil"/>
                    <w:tr2bl w:val="nil"/>
                  </w:tcBorders>
                  <w:vAlign w:val="center"/>
                </w:tcPr>
                <w:p w14:paraId="6CCF2CE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执行标准</w:t>
                  </w:r>
                </w:p>
              </w:tc>
            </w:tr>
            <w:tr w14:paraId="1D3A9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95" w:type="dxa"/>
                  <w:tcBorders>
                    <w:tl2br w:val="nil"/>
                    <w:tr2bl w:val="nil"/>
                  </w:tcBorders>
                  <w:vAlign w:val="center"/>
                </w:tcPr>
                <w:p w14:paraId="1A5AEBD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地表水</w:t>
                  </w:r>
                </w:p>
              </w:tc>
              <w:tc>
                <w:tcPr>
                  <w:tcW w:w="3050" w:type="dxa"/>
                  <w:tcBorders>
                    <w:tl2br w:val="nil"/>
                    <w:tr2bl w:val="nil"/>
                  </w:tcBorders>
                  <w:vAlign w:val="center"/>
                </w:tcPr>
                <w:p w14:paraId="1CFB2C5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地表水监测点设于古迹沟</w:t>
                  </w:r>
                  <w:r>
                    <w:rPr>
                      <w:rFonts w:hint="eastAsia" w:cs="Times New Roman"/>
                      <w:b w:val="0"/>
                      <w:bCs w:val="0"/>
                      <w:color w:val="auto"/>
                      <w:sz w:val="21"/>
                      <w:szCs w:val="21"/>
                      <w:highlight w:val="none"/>
                      <w:vertAlign w:val="baseline"/>
                      <w:lang w:val="en-US" w:eastAsia="zh-CN"/>
                    </w:rPr>
                    <w:t>4#</w:t>
                  </w:r>
                  <w:r>
                    <w:rPr>
                      <w:rFonts w:hint="default" w:ascii="Times New Roman" w:hAnsi="Times New Roman" w:eastAsia="宋体" w:cs="Times New Roman"/>
                      <w:b w:val="0"/>
                      <w:bCs w:val="0"/>
                      <w:color w:val="auto"/>
                      <w:sz w:val="21"/>
                      <w:szCs w:val="21"/>
                      <w:highlight w:val="none"/>
                      <w:vertAlign w:val="baseline"/>
                      <w:lang w:val="en-US" w:eastAsia="zh-CN"/>
                    </w:rPr>
                    <w:t>废渣堆上、下游地表径流古迹沟</w:t>
                  </w:r>
                  <w:r>
                    <w:rPr>
                      <w:rFonts w:hint="eastAsia" w:cs="Times New Roman"/>
                      <w:b w:val="0"/>
                      <w:bCs w:val="0"/>
                      <w:color w:val="auto"/>
                      <w:sz w:val="21"/>
                      <w:szCs w:val="21"/>
                      <w:highlight w:val="none"/>
                      <w:vertAlign w:val="baseline"/>
                      <w:lang w:val="en-US" w:eastAsia="zh-CN"/>
                    </w:rPr>
                    <w:t>各布设1个点位</w:t>
                  </w:r>
                  <w:r>
                    <w:rPr>
                      <w:rFonts w:hint="default" w:ascii="Times New Roman" w:hAnsi="Times New Roman" w:eastAsia="宋体" w:cs="Times New Roman"/>
                      <w:b w:val="0"/>
                      <w:bCs w:val="0"/>
                      <w:color w:val="auto"/>
                      <w:sz w:val="21"/>
                      <w:szCs w:val="21"/>
                      <w:highlight w:val="none"/>
                      <w:vertAlign w:val="baseline"/>
                      <w:lang w:val="en-US" w:eastAsia="zh-CN"/>
                    </w:rPr>
                    <w:t>，马槽沟</w:t>
                  </w:r>
                  <w:r>
                    <w:rPr>
                      <w:rFonts w:hint="eastAsia" w:cs="Times New Roman"/>
                      <w:b w:val="0"/>
                      <w:bCs w:val="0"/>
                      <w:color w:val="auto"/>
                      <w:sz w:val="21"/>
                      <w:szCs w:val="21"/>
                      <w:highlight w:val="none"/>
                      <w:vertAlign w:val="baseline"/>
                      <w:lang w:val="en-US" w:eastAsia="zh-CN"/>
                    </w:rPr>
                    <w:t>1#</w:t>
                  </w:r>
                  <w:r>
                    <w:rPr>
                      <w:rFonts w:hint="default" w:ascii="Times New Roman" w:hAnsi="Times New Roman" w:eastAsia="宋体" w:cs="Times New Roman"/>
                      <w:b w:val="0"/>
                      <w:bCs w:val="0"/>
                      <w:color w:val="auto"/>
                      <w:sz w:val="21"/>
                      <w:szCs w:val="21"/>
                      <w:highlight w:val="none"/>
                      <w:vertAlign w:val="baseline"/>
                      <w:lang w:val="en-US" w:eastAsia="zh-CN"/>
                    </w:rPr>
                    <w:t>、</w:t>
                  </w:r>
                  <w:r>
                    <w:rPr>
                      <w:rFonts w:hint="eastAsia" w:cs="Times New Roman"/>
                      <w:b w:val="0"/>
                      <w:bCs w:val="0"/>
                      <w:color w:val="auto"/>
                      <w:sz w:val="21"/>
                      <w:szCs w:val="21"/>
                      <w:highlight w:val="none"/>
                      <w:vertAlign w:val="baseline"/>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w:t>
                  </w:r>
                  <w:r>
                    <w:rPr>
                      <w:rFonts w:hint="eastAsia" w:cs="Times New Roman"/>
                      <w:b w:val="0"/>
                      <w:bCs w:val="0"/>
                      <w:color w:val="auto"/>
                      <w:sz w:val="21"/>
                      <w:szCs w:val="21"/>
                      <w:highlight w:val="none"/>
                      <w:vertAlign w:val="baseline"/>
                      <w:lang w:val="en-US" w:eastAsia="zh-CN"/>
                    </w:rPr>
                    <w:t>3#</w:t>
                  </w:r>
                  <w:r>
                    <w:rPr>
                      <w:rFonts w:hint="default" w:ascii="Times New Roman" w:hAnsi="Times New Roman" w:eastAsia="宋体" w:cs="Times New Roman"/>
                      <w:b w:val="0"/>
                      <w:bCs w:val="0"/>
                      <w:color w:val="auto"/>
                      <w:sz w:val="21"/>
                      <w:szCs w:val="21"/>
                      <w:highlight w:val="none"/>
                      <w:vertAlign w:val="baseline"/>
                      <w:lang w:val="en-US" w:eastAsia="zh-CN"/>
                    </w:rPr>
                    <w:t>废渣堆下游地表径流上下游（</w:t>
                  </w:r>
                  <w:r>
                    <w:rPr>
                      <w:rFonts w:hint="eastAsia" w:cs="Times New Roman"/>
                      <w:b w:val="0"/>
                      <w:bCs w:val="0"/>
                      <w:color w:val="auto"/>
                      <w:sz w:val="21"/>
                      <w:szCs w:val="21"/>
                      <w:highlight w:val="none"/>
                      <w:vertAlign w:val="baseline"/>
                      <w:lang w:val="en-US" w:eastAsia="zh-CN"/>
                    </w:rPr>
                    <w:t>布设3个点位</w:t>
                  </w:r>
                  <w:r>
                    <w:rPr>
                      <w:rFonts w:hint="default" w:ascii="Times New Roman" w:hAnsi="Times New Roman" w:eastAsia="宋体" w:cs="Times New Roman"/>
                      <w:b w:val="0"/>
                      <w:bCs w:val="0"/>
                      <w:color w:val="auto"/>
                      <w:sz w:val="21"/>
                      <w:szCs w:val="21"/>
                      <w:highlight w:val="none"/>
                      <w:vertAlign w:val="baseline"/>
                      <w:lang w:val="en-US" w:eastAsia="zh-CN"/>
                    </w:rPr>
                    <w:t>），共计5处监测点进行地表水监测。</w:t>
                  </w:r>
                </w:p>
              </w:tc>
              <w:tc>
                <w:tcPr>
                  <w:tcW w:w="1338" w:type="dxa"/>
                  <w:tcBorders>
                    <w:tl2br w:val="nil"/>
                    <w:tr2bl w:val="nil"/>
                  </w:tcBorders>
                  <w:vAlign w:val="center"/>
                </w:tcPr>
                <w:p w14:paraId="55AD49E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流量、pH、铅、砷、汞、铬（六价）、镍、铜、锌、铊。</w:t>
                  </w:r>
                </w:p>
              </w:tc>
              <w:tc>
                <w:tcPr>
                  <w:tcW w:w="1483" w:type="dxa"/>
                  <w:tcBorders>
                    <w:tl2br w:val="nil"/>
                    <w:tr2bl w:val="nil"/>
                  </w:tcBorders>
                  <w:vAlign w:val="center"/>
                </w:tcPr>
                <w:p w14:paraId="09C365B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施工前监测1次，施工结束后3年内每年3次（平水期、丰水期、枯水期）</w:t>
                  </w:r>
                </w:p>
              </w:tc>
              <w:tc>
                <w:tcPr>
                  <w:tcW w:w="1791" w:type="dxa"/>
                  <w:tcBorders>
                    <w:tl2br w:val="nil"/>
                    <w:tr2bl w:val="nil"/>
                  </w:tcBorders>
                  <w:vAlign w:val="center"/>
                </w:tcPr>
                <w:p w14:paraId="2FE194F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合《地表水环境质量标准》（GB3838-2002）中Ⅱ类标准</w:t>
                  </w:r>
                </w:p>
                <w:p w14:paraId="0B5888F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73D54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95" w:type="dxa"/>
                  <w:tcBorders>
                    <w:tl2br w:val="nil"/>
                    <w:tr2bl w:val="nil"/>
                  </w:tcBorders>
                  <w:vAlign w:val="center"/>
                </w:tcPr>
                <w:p w14:paraId="2C82FFE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地下水</w:t>
                  </w:r>
                </w:p>
              </w:tc>
              <w:tc>
                <w:tcPr>
                  <w:tcW w:w="3050" w:type="dxa"/>
                  <w:tcBorders>
                    <w:tl2br w:val="nil"/>
                    <w:tr2bl w:val="nil"/>
                  </w:tcBorders>
                  <w:vAlign w:val="center"/>
                </w:tcPr>
                <w:p w14:paraId="05A26C1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上游背景设置1个监测井；4处渣堆整体汇水下游600m沟谷基岩裂隙水出露带设置1个监测井；在4处渣堆整体汇水下游50～100m范围内设置1个早期预警井，共计3个监测点</w:t>
                  </w:r>
                </w:p>
              </w:tc>
              <w:tc>
                <w:tcPr>
                  <w:tcW w:w="1338" w:type="dxa"/>
                  <w:tcBorders>
                    <w:tl2br w:val="nil"/>
                    <w:tr2bl w:val="nil"/>
                  </w:tcBorders>
                  <w:vAlign w:val="center"/>
                </w:tcPr>
                <w:p w14:paraId="134D779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地下水水位，pH、铅、砷、汞、铬（六价）、镍、铜、锌、铊</w:t>
                  </w:r>
                </w:p>
              </w:tc>
              <w:tc>
                <w:tcPr>
                  <w:tcW w:w="1483" w:type="dxa"/>
                  <w:tcBorders>
                    <w:tl2br w:val="nil"/>
                    <w:tr2bl w:val="nil"/>
                  </w:tcBorders>
                  <w:vAlign w:val="center"/>
                </w:tcPr>
                <w:p w14:paraId="271DABF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施工前1个月开始监测，施工结束后3年内每年3次（平水期、丰水期、枯水期）</w:t>
                  </w:r>
                </w:p>
              </w:tc>
              <w:tc>
                <w:tcPr>
                  <w:tcW w:w="1791" w:type="dxa"/>
                  <w:tcBorders>
                    <w:tl2br w:val="nil"/>
                    <w:tr2bl w:val="nil"/>
                  </w:tcBorders>
                  <w:vAlign w:val="center"/>
                </w:tcPr>
                <w:p w14:paraId="23D3D2A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《地下水质量标准》（</w:t>
                  </w:r>
                  <w:r>
                    <w:rPr>
                      <w:rFonts w:hint="eastAsia" w:cs="Times New Roman"/>
                      <w:b w:val="0"/>
                      <w:bCs w:val="0"/>
                      <w:color w:val="auto"/>
                      <w:sz w:val="21"/>
                      <w:szCs w:val="21"/>
                      <w:highlight w:val="none"/>
                      <w:vertAlign w:val="baseline"/>
                      <w:lang w:val="en-US" w:eastAsia="zh-CN"/>
                    </w:rPr>
                    <w:t>GB/T14848-2017</w:t>
                  </w:r>
                  <w:r>
                    <w:rPr>
                      <w:rFonts w:hint="default" w:ascii="Times New Roman" w:hAnsi="Times New Roman" w:eastAsia="宋体" w:cs="Times New Roman"/>
                      <w:b w:val="0"/>
                      <w:bCs w:val="0"/>
                      <w:color w:val="auto"/>
                      <w:sz w:val="21"/>
                      <w:szCs w:val="21"/>
                      <w:highlight w:val="none"/>
                      <w:vertAlign w:val="baseline"/>
                      <w:lang w:val="en-US" w:eastAsia="zh-CN"/>
                    </w:rPr>
                    <w:t>）Ⅲ类标准要求</w:t>
                  </w:r>
                </w:p>
              </w:tc>
            </w:tr>
            <w:tr w14:paraId="122FE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595" w:type="dxa"/>
                  <w:vMerge w:val="restart"/>
                  <w:tcBorders>
                    <w:tl2br w:val="nil"/>
                    <w:tr2bl w:val="nil"/>
                  </w:tcBorders>
                  <w:vAlign w:val="center"/>
                </w:tcPr>
                <w:p w14:paraId="19FF5E9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土壤</w:t>
                  </w:r>
                </w:p>
              </w:tc>
              <w:tc>
                <w:tcPr>
                  <w:tcW w:w="3050" w:type="dxa"/>
                  <w:tcBorders>
                    <w:tl2br w:val="nil"/>
                    <w:tr2bl w:val="nil"/>
                  </w:tcBorders>
                  <w:vAlign w:val="center"/>
                </w:tcPr>
                <w:p w14:paraId="2257C4A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项目上游无矿渣汇水、未受历史采矿影响原生坡地设置1个背景点T0；渣堆周边设置2个监控点（T1、T2）</w:t>
                  </w:r>
                </w:p>
              </w:tc>
              <w:tc>
                <w:tcPr>
                  <w:tcW w:w="1338" w:type="dxa"/>
                  <w:tcBorders>
                    <w:tl2br w:val="nil"/>
                    <w:tr2bl w:val="nil"/>
                  </w:tcBorders>
                  <w:vAlign w:val="center"/>
                </w:tcPr>
                <w:p w14:paraId="7B5F1E5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pH、镉、汞、砷、铅、铬、六价铬、镍、铜、锌</w:t>
                  </w:r>
                </w:p>
              </w:tc>
              <w:tc>
                <w:tcPr>
                  <w:tcW w:w="1483" w:type="dxa"/>
                  <w:vMerge w:val="restart"/>
                  <w:tcBorders>
                    <w:tl2br w:val="nil"/>
                    <w:tr2bl w:val="nil"/>
                  </w:tcBorders>
                  <w:vAlign w:val="center"/>
                </w:tcPr>
                <w:p w14:paraId="537D713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施工前1次，施工结束后3年内每年1次，同地点重复采样</w:t>
                  </w:r>
                </w:p>
              </w:tc>
              <w:tc>
                <w:tcPr>
                  <w:tcW w:w="1791" w:type="dxa"/>
                  <w:tcBorders>
                    <w:tl2br w:val="nil"/>
                    <w:tr2bl w:val="nil"/>
                  </w:tcBorders>
                  <w:vAlign w:val="center"/>
                </w:tcPr>
                <w:p w14:paraId="5A281C4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《建设用地土壤污染风险管控标准》（GB36600-2018）中第二类用地筛选值</w:t>
                  </w:r>
                </w:p>
              </w:tc>
            </w:tr>
            <w:tr w14:paraId="1BACF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595" w:type="dxa"/>
                  <w:vMerge w:val="continue"/>
                  <w:tcBorders>
                    <w:tl2br w:val="nil"/>
                    <w:tr2bl w:val="nil"/>
                  </w:tcBorders>
                  <w:vAlign w:val="center"/>
                </w:tcPr>
                <w:p w14:paraId="11AC3CB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color w:val="auto"/>
                    </w:rPr>
                  </w:pPr>
                </w:p>
              </w:tc>
              <w:tc>
                <w:tcPr>
                  <w:tcW w:w="3050" w:type="dxa"/>
                  <w:tcBorders>
                    <w:tl2br w:val="nil"/>
                    <w:tr2bl w:val="nil"/>
                  </w:tcBorders>
                  <w:vAlign w:val="center"/>
                </w:tcPr>
                <w:p w14:paraId="57DD5B3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渣堆下坡600m两处农田地块</w:t>
                  </w:r>
                  <w:r>
                    <w:rPr>
                      <w:rFonts w:hint="eastAsia" w:cs="Times New Roman"/>
                      <w:b w:val="0"/>
                      <w:bCs w:val="0"/>
                      <w:color w:val="auto"/>
                      <w:sz w:val="21"/>
                      <w:szCs w:val="21"/>
                      <w:highlight w:val="none"/>
                      <w:vertAlign w:val="baseline"/>
                      <w:lang w:val="en-US" w:eastAsia="zh-CN"/>
                    </w:rPr>
                    <w:t>设2个监测点位</w:t>
                  </w:r>
                </w:p>
              </w:tc>
              <w:tc>
                <w:tcPr>
                  <w:tcW w:w="1338" w:type="dxa"/>
                  <w:tcBorders>
                    <w:tl2br w:val="nil"/>
                    <w:tr2bl w:val="nil"/>
                  </w:tcBorders>
                  <w:vAlign w:val="center"/>
                </w:tcPr>
                <w:p w14:paraId="7617928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pH、砷、铅、镉、汞、铬、铜、镍、锌</w:t>
                  </w:r>
                </w:p>
              </w:tc>
              <w:tc>
                <w:tcPr>
                  <w:tcW w:w="1483" w:type="dxa"/>
                  <w:vMerge w:val="continue"/>
                  <w:tcBorders>
                    <w:tl2br w:val="nil"/>
                    <w:tr2bl w:val="nil"/>
                  </w:tcBorders>
                  <w:vAlign w:val="center"/>
                </w:tcPr>
                <w:p w14:paraId="6ABBD2B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791" w:type="dxa"/>
                  <w:tcBorders>
                    <w:tl2br w:val="nil"/>
                    <w:tr2bl w:val="nil"/>
                  </w:tcBorders>
                  <w:vAlign w:val="center"/>
                </w:tcPr>
                <w:p w14:paraId="5D23773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《土壤环境质量农用地土壤污染风险管控标准》（GB15618-2018）农用地土壤污染风险筛选值</w:t>
                  </w:r>
                </w:p>
              </w:tc>
            </w:tr>
            <w:tr w14:paraId="53330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95" w:type="dxa"/>
                  <w:tcBorders>
                    <w:tl2br w:val="nil"/>
                    <w:tr2bl w:val="nil"/>
                  </w:tcBorders>
                  <w:vAlign w:val="center"/>
                </w:tcPr>
                <w:p w14:paraId="08BD961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生态</w:t>
                  </w:r>
                </w:p>
              </w:tc>
              <w:tc>
                <w:tcPr>
                  <w:tcW w:w="3050" w:type="dxa"/>
                  <w:tcBorders>
                    <w:tl2br w:val="nil"/>
                    <w:tr2bl w:val="nil"/>
                  </w:tcBorders>
                  <w:vAlign w:val="center"/>
                </w:tcPr>
                <w:p w14:paraId="0B6D31A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遥感解译、无人机航测</w:t>
                  </w:r>
                </w:p>
              </w:tc>
              <w:tc>
                <w:tcPr>
                  <w:tcW w:w="1338" w:type="dxa"/>
                  <w:tcBorders>
                    <w:tl2br w:val="nil"/>
                    <w:tr2bl w:val="nil"/>
                  </w:tcBorders>
                  <w:vAlign w:val="center"/>
                </w:tcPr>
                <w:p w14:paraId="6BEFDF4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植被类型、覆盖度、动物类型</w:t>
                  </w:r>
                </w:p>
              </w:tc>
              <w:tc>
                <w:tcPr>
                  <w:tcW w:w="1483" w:type="dxa"/>
                  <w:tcBorders>
                    <w:tl2br w:val="nil"/>
                    <w:tr2bl w:val="nil"/>
                  </w:tcBorders>
                  <w:vAlign w:val="center"/>
                </w:tcPr>
                <w:p w14:paraId="66B62B3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治理前1次，施工结束后3年内每年选定6-9月份监测1次</w:t>
                  </w:r>
                </w:p>
              </w:tc>
              <w:tc>
                <w:tcPr>
                  <w:tcW w:w="1791" w:type="dxa"/>
                  <w:tcBorders>
                    <w:tl2br w:val="nil"/>
                    <w:tr2bl w:val="nil"/>
                  </w:tcBorders>
                  <w:vAlign w:val="center"/>
                </w:tcPr>
                <w:p w14:paraId="3B4E38F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建设单位派专人及时对恢复的植被浇水，保证存活率，当个别树木死亡时，及时补植</w:t>
                  </w:r>
                </w:p>
              </w:tc>
            </w:tr>
          </w:tbl>
          <w:p w14:paraId="626F7F65">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p>
        </w:tc>
      </w:tr>
      <w:tr w14:paraId="6D39D6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tcBorders>
              <w:tl2br w:val="nil"/>
              <w:tr2bl w:val="nil"/>
            </w:tcBorders>
            <w:noWrap w:val="0"/>
            <w:tcMar>
              <w:left w:w="28" w:type="dxa"/>
              <w:right w:w="28" w:type="dxa"/>
            </w:tcMar>
            <w:vAlign w:val="center"/>
          </w:tcPr>
          <w:p w14:paraId="4878AA30">
            <w:pPr>
              <w:adjustRightInd w:val="0"/>
              <w:snapToGrid w:val="0"/>
              <w:jc w:val="center"/>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环保投资</w:t>
            </w:r>
          </w:p>
        </w:tc>
        <w:tc>
          <w:tcPr>
            <w:tcW w:w="8457" w:type="dxa"/>
            <w:tcBorders>
              <w:tl2br w:val="nil"/>
              <w:tr2bl w:val="nil"/>
            </w:tcBorders>
            <w:noWrap w:val="0"/>
            <w:vAlign w:val="top"/>
          </w:tcPr>
          <w:p w14:paraId="6EFAC3B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本项目的环保投资主要针对施工期和生态恢复阶段。本项目总投资1356.9万元，环保投入96万元，占总投资的7.15%，具体分配见表5-2</w:t>
            </w:r>
          </w:p>
          <w:p w14:paraId="1E66A7EB">
            <w:pPr>
              <w:widowControl/>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表5-2  工程环保设施与投资概算一览表</w:t>
            </w:r>
          </w:p>
          <w:tbl>
            <w:tblPr>
              <w:tblStyle w:val="1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409"/>
              <w:gridCol w:w="4229"/>
              <w:gridCol w:w="1831"/>
            </w:tblGrid>
            <w:tr w14:paraId="3376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455" w:type="pct"/>
                  <w:noWrap w:val="0"/>
                  <w:vAlign w:val="center"/>
                </w:tcPr>
                <w:p w14:paraId="144AA94B">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时段</w:t>
                  </w:r>
                </w:p>
              </w:tc>
              <w:tc>
                <w:tcPr>
                  <w:tcW w:w="3430" w:type="pct"/>
                  <w:gridSpan w:val="2"/>
                  <w:noWrap w:val="0"/>
                  <w:vAlign w:val="center"/>
                </w:tcPr>
                <w:p w14:paraId="3CB67468">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环保措施</w:t>
                  </w:r>
                </w:p>
              </w:tc>
              <w:tc>
                <w:tcPr>
                  <w:tcW w:w="1114" w:type="pct"/>
                  <w:noWrap w:val="0"/>
                  <w:vAlign w:val="center"/>
                </w:tcPr>
                <w:p w14:paraId="4BDF2042">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环保投资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万元</w:t>
                  </w:r>
                  <w:r>
                    <w:rPr>
                      <w:rFonts w:hint="default" w:ascii="Times New Roman" w:hAnsi="Times New Roman" w:eastAsia="宋体" w:cs="Times New Roman"/>
                      <w:color w:val="auto"/>
                      <w:highlight w:val="none"/>
                      <w:lang w:eastAsia="zh-CN"/>
                    </w:rPr>
                    <w:t>）</w:t>
                  </w:r>
                </w:p>
              </w:tc>
            </w:tr>
            <w:tr w14:paraId="6C76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vMerge w:val="restart"/>
                  <w:noWrap w:val="0"/>
                  <w:vAlign w:val="center"/>
                </w:tcPr>
                <w:p w14:paraId="1D1551B7">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w:t>
                  </w:r>
                </w:p>
              </w:tc>
              <w:tc>
                <w:tcPr>
                  <w:tcW w:w="857" w:type="pct"/>
                  <w:noWrap w:val="0"/>
                  <w:vAlign w:val="center"/>
                </w:tcPr>
                <w:p w14:paraId="09684384">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废气</w:t>
                  </w:r>
                </w:p>
              </w:tc>
              <w:tc>
                <w:tcPr>
                  <w:tcW w:w="2573" w:type="pct"/>
                  <w:noWrap w:val="0"/>
                  <w:vAlign w:val="center"/>
                </w:tcPr>
                <w:p w14:paraId="2D69E7E3">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围挡、洒水抑尘、物料、土方等及时覆盖</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加强管理，选用符合国家标准的施工机械设备和运输车辆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加强对施工机械及运输车辆检修和维护</w:t>
                  </w:r>
                </w:p>
              </w:tc>
              <w:tc>
                <w:tcPr>
                  <w:tcW w:w="1114" w:type="pct"/>
                  <w:noWrap w:val="0"/>
                  <w:vAlign w:val="center"/>
                </w:tcPr>
                <w:p w14:paraId="159766A5">
                  <w:pPr>
                    <w:widowControl/>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 w:val="22"/>
                      <w:szCs w:val="22"/>
                      <w:highlight w:val="none"/>
                      <w:lang w:val="en-US" w:eastAsia="zh-CN" w:bidi="ar"/>
                    </w:rPr>
                    <w:t>2</w:t>
                  </w:r>
                  <w:r>
                    <w:rPr>
                      <w:rFonts w:hint="default" w:ascii="Times New Roman" w:hAnsi="Times New Roman" w:eastAsia="宋体" w:cs="Times New Roman"/>
                      <w:color w:val="auto"/>
                      <w:kern w:val="0"/>
                      <w:sz w:val="22"/>
                      <w:szCs w:val="22"/>
                      <w:highlight w:val="none"/>
                      <w:lang w:bidi="ar"/>
                    </w:rPr>
                    <w:t>5</w:t>
                  </w:r>
                </w:p>
              </w:tc>
            </w:tr>
            <w:tr w14:paraId="2CBE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455" w:type="pct"/>
                  <w:vMerge w:val="continue"/>
                  <w:noWrap w:val="0"/>
                  <w:vAlign w:val="center"/>
                </w:tcPr>
                <w:p w14:paraId="12E4CFBF">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p>
              </w:tc>
              <w:tc>
                <w:tcPr>
                  <w:tcW w:w="857" w:type="pct"/>
                  <w:noWrap w:val="0"/>
                  <w:vAlign w:val="center"/>
                </w:tcPr>
                <w:p w14:paraId="127DF608">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废水</w:t>
                  </w:r>
                </w:p>
              </w:tc>
              <w:tc>
                <w:tcPr>
                  <w:tcW w:w="2573" w:type="pct"/>
                  <w:noWrap w:val="0"/>
                  <w:vAlign w:val="center"/>
                </w:tcPr>
                <w:p w14:paraId="0664406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防渗临时沉淀池（</w:t>
                  </w:r>
                  <w:r>
                    <w:rPr>
                      <w:rFonts w:hint="default"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lang w:eastAsia="zh-CN"/>
                    </w:rPr>
                    <w:t>座）</w:t>
                  </w:r>
                </w:p>
              </w:tc>
              <w:tc>
                <w:tcPr>
                  <w:tcW w:w="1114" w:type="pct"/>
                  <w:noWrap w:val="0"/>
                  <w:vAlign w:val="center"/>
                </w:tcPr>
                <w:p w14:paraId="6D95175D">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eastAsia="宋体" w:cs="Times New Roman"/>
                      <w:color w:val="auto"/>
                      <w:kern w:val="0"/>
                      <w:sz w:val="22"/>
                      <w:szCs w:val="22"/>
                      <w:highlight w:val="none"/>
                      <w:lang w:val="en-US" w:eastAsia="zh-CN" w:bidi="ar"/>
                    </w:rPr>
                    <w:t>5</w:t>
                  </w:r>
                </w:p>
              </w:tc>
            </w:tr>
            <w:tr w14:paraId="24B8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455" w:type="pct"/>
                  <w:vMerge w:val="continue"/>
                  <w:noWrap w:val="0"/>
                  <w:vAlign w:val="center"/>
                </w:tcPr>
                <w:p w14:paraId="5D7A070A">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p>
              </w:tc>
              <w:tc>
                <w:tcPr>
                  <w:tcW w:w="857" w:type="pct"/>
                  <w:noWrap w:val="0"/>
                  <w:vAlign w:val="center"/>
                </w:tcPr>
                <w:p w14:paraId="533943FC">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固体废物</w:t>
                  </w:r>
                </w:p>
              </w:tc>
              <w:tc>
                <w:tcPr>
                  <w:tcW w:w="2573" w:type="pct"/>
                  <w:noWrap w:val="0"/>
                  <w:vAlign w:val="center"/>
                </w:tcPr>
                <w:p w14:paraId="67D1373D">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建筑垃圾回收利用。施工人员生活垃圾分类集中运往垃圾收运点统一处置。</w:t>
                  </w:r>
                </w:p>
              </w:tc>
              <w:tc>
                <w:tcPr>
                  <w:tcW w:w="1114" w:type="pct"/>
                  <w:noWrap w:val="0"/>
                  <w:vAlign w:val="center"/>
                </w:tcPr>
                <w:p w14:paraId="0A58072C">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kern w:val="0"/>
                      <w:sz w:val="22"/>
                      <w:szCs w:val="22"/>
                      <w:highlight w:val="none"/>
                      <w:lang w:val="en-US" w:eastAsia="zh-CN" w:bidi="ar"/>
                    </w:rPr>
                    <w:t>1</w:t>
                  </w:r>
                </w:p>
              </w:tc>
            </w:tr>
            <w:tr w14:paraId="164E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5" w:type="pct"/>
                  <w:vMerge w:val="continue"/>
                  <w:noWrap w:val="0"/>
                  <w:vAlign w:val="center"/>
                </w:tcPr>
                <w:p w14:paraId="0BDDCEF0">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p>
              </w:tc>
              <w:tc>
                <w:tcPr>
                  <w:tcW w:w="857" w:type="pct"/>
                  <w:noWrap w:val="0"/>
                  <w:vAlign w:val="center"/>
                </w:tcPr>
                <w:p w14:paraId="53D513D4">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噪声</w:t>
                  </w:r>
                </w:p>
              </w:tc>
              <w:tc>
                <w:tcPr>
                  <w:tcW w:w="2573" w:type="pct"/>
                  <w:noWrap w:val="0"/>
                  <w:vAlign w:val="center"/>
                </w:tcPr>
                <w:p w14:paraId="7DA39BD1">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采用低噪声设备，加强机械设备的维护保养</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加强施工现场管理，合理安排施工时间</w:t>
                  </w:r>
                </w:p>
              </w:tc>
              <w:tc>
                <w:tcPr>
                  <w:tcW w:w="1114" w:type="pct"/>
                  <w:noWrap w:val="0"/>
                  <w:vAlign w:val="center"/>
                </w:tcPr>
                <w:p w14:paraId="607F198C">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kern w:val="0"/>
                      <w:sz w:val="22"/>
                      <w:szCs w:val="22"/>
                      <w:highlight w:val="none"/>
                      <w:lang w:val="en-US" w:eastAsia="zh-CN" w:bidi="ar"/>
                    </w:rPr>
                    <w:t>5</w:t>
                  </w:r>
                </w:p>
              </w:tc>
            </w:tr>
            <w:tr w14:paraId="1896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55" w:type="pct"/>
                  <w:vMerge w:val="continue"/>
                  <w:noWrap w:val="0"/>
                  <w:vAlign w:val="center"/>
                </w:tcPr>
                <w:p w14:paraId="038EE5F1">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p>
              </w:tc>
              <w:tc>
                <w:tcPr>
                  <w:tcW w:w="857" w:type="pct"/>
                  <w:noWrap w:val="0"/>
                  <w:vAlign w:val="center"/>
                </w:tcPr>
                <w:p w14:paraId="7F8B6C56">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生态保护</w:t>
                  </w:r>
                </w:p>
              </w:tc>
              <w:tc>
                <w:tcPr>
                  <w:tcW w:w="2573" w:type="pct"/>
                  <w:noWrap w:val="0"/>
                  <w:vAlign w:val="center"/>
                </w:tcPr>
                <w:p w14:paraId="27DA43CF">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封场后植被养护</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封场植物措施已纳入工程投资</w:t>
                  </w:r>
                  <w:r>
                    <w:rPr>
                      <w:rFonts w:hint="default" w:ascii="Times New Roman" w:hAnsi="Times New Roman" w:eastAsia="宋体" w:cs="Times New Roman"/>
                      <w:color w:val="auto"/>
                      <w:highlight w:val="none"/>
                      <w:lang w:eastAsia="zh-CN"/>
                    </w:rPr>
                    <w:t>）</w:t>
                  </w:r>
                </w:p>
              </w:tc>
              <w:tc>
                <w:tcPr>
                  <w:tcW w:w="1114" w:type="pct"/>
                  <w:noWrap w:val="0"/>
                  <w:vAlign w:val="center"/>
                </w:tcPr>
                <w:p w14:paraId="25A6D714">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30</w:t>
                  </w:r>
                </w:p>
              </w:tc>
            </w:tr>
            <w:tr w14:paraId="5FC4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55" w:type="pct"/>
                  <w:vMerge w:val="continue"/>
                  <w:noWrap w:val="0"/>
                  <w:vAlign w:val="center"/>
                </w:tcPr>
                <w:p w14:paraId="3C625A6A">
                  <w:pPr>
                    <w:widowControl/>
                    <w:jc w:val="center"/>
                    <w:textAlignment w:val="center"/>
                    <w:rPr>
                      <w:rFonts w:hint="default" w:ascii="Times New Roman" w:hAnsi="Times New Roman" w:eastAsia="宋体" w:cs="Times New Roman"/>
                      <w:color w:val="auto"/>
                    </w:rPr>
                  </w:pPr>
                </w:p>
              </w:tc>
              <w:tc>
                <w:tcPr>
                  <w:tcW w:w="857" w:type="pct"/>
                  <w:noWrap w:val="0"/>
                  <w:vAlign w:val="center"/>
                </w:tcPr>
                <w:p w14:paraId="41C2CE7A">
                  <w:pPr>
                    <w:widowControl/>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检测</w:t>
                  </w:r>
                </w:p>
              </w:tc>
              <w:tc>
                <w:tcPr>
                  <w:tcW w:w="2573" w:type="pct"/>
                  <w:noWrap w:val="0"/>
                  <w:vAlign w:val="center"/>
                </w:tcPr>
                <w:p w14:paraId="372FF6F9">
                  <w:pPr>
                    <w:widowControl/>
                    <w:jc w:val="center"/>
                    <w:textAlignment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地表水、地下水、土壤及挡渣墙监测</w:t>
                  </w:r>
                </w:p>
              </w:tc>
              <w:tc>
                <w:tcPr>
                  <w:tcW w:w="1114" w:type="pct"/>
                  <w:noWrap w:val="0"/>
                  <w:vAlign w:val="center"/>
                </w:tcPr>
                <w:p w14:paraId="22B8E3E7">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30</w:t>
                  </w:r>
                </w:p>
              </w:tc>
            </w:tr>
            <w:tr w14:paraId="2ACD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885" w:type="pct"/>
                  <w:gridSpan w:val="3"/>
                  <w:noWrap w:val="0"/>
                  <w:vAlign w:val="center"/>
                </w:tcPr>
                <w:p w14:paraId="58B4841E">
                  <w:pPr>
                    <w:pStyle w:val="30"/>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合计</w:t>
                  </w:r>
                </w:p>
              </w:tc>
              <w:tc>
                <w:tcPr>
                  <w:tcW w:w="1114" w:type="pct"/>
                  <w:noWrap w:val="0"/>
                  <w:vAlign w:val="center"/>
                </w:tcPr>
                <w:p w14:paraId="40EF24F5">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96</w:t>
                  </w:r>
                </w:p>
              </w:tc>
            </w:tr>
          </w:tbl>
          <w:p w14:paraId="3CA84D69">
            <w:pPr>
              <w:keepNext w:val="0"/>
              <w:keepLines w:val="0"/>
              <w:pageBreakBefore w:val="0"/>
              <w:kinsoku/>
              <w:wordWrap/>
              <w:overflowPunct/>
              <w:topLinePunct w:val="0"/>
              <w:autoSpaceDE/>
              <w:autoSpaceDN/>
              <w:bidi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p>
        </w:tc>
      </w:tr>
    </w:tbl>
    <w:p w14:paraId="7D483F51">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4652E08">
      <w:pPr>
        <w:pStyle w:val="13"/>
        <w:jc w:val="center"/>
        <w:outlineLvl w:val="0"/>
        <w:rPr>
          <w:rFonts w:hint="default" w:ascii="Times New Roman" w:hAnsi="Times New Roman" w:eastAsia="黑体" w:cs="Times New Roman"/>
          <w:snapToGrid w:val="0"/>
          <w:color w:val="auto"/>
          <w:sz w:val="30"/>
          <w:szCs w:val="30"/>
          <w:highlight w:val="none"/>
        </w:rPr>
      </w:pPr>
      <w:bookmarkStart w:id="14" w:name="_Toc13298"/>
      <w:r>
        <w:rPr>
          <w:rFonts w:hint="default" w:ascii="Times New Roman" w:hAnsi="Times New Roman" w:eastAsia="黑体" w:cs="Times New Roman"/>
          <w:snapToGrid w:val="0"/>
          <w:color w:val="auto"/>
          <w:sz w:val="30"/>
          <w:szCs w:val="30"/>
          <w:highlight w:val="none"/>
        </w:rPr>
        <w:t>六、生态环境保护措施监督检查清单</w:t>
      </w:r>
      <w:bookmarkEnd w:id="14"/>
    </w:p>
    <w:tbl>
      <w:tblPr>
        <w:tblStyle w:val="14"/>
        <w:tblW w:w="530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840"/>
        <w:gridCol w:w="1893"/>
        <w:gridCol w:w="1800"/>
        <w:gridCol w:w="1250"/>
        <w:gridCol w:w="2046"/>
      </w:tblGrid>
      <w:tr w14:paraId="6CA463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668" w:type="pct"/>
            <w:vMerge w:val="restart"/>
            <w:tcBorders>
              <w:tl2br w:val="single" w:color="auto" w:sz="4" w:space="0"/>
            </w:tcBorders>
            <w:noWrap w:val="0"/>
            <w:vAlign w:val="top"/>
          </w:tcPr>
          <w:p w14:paraId="4508D147">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hint="eastAsia" w:ascii="Times New Roman" w:hAnsi="Times New Roman" w:eastAsia="宋体" w:cs="Times New Roman"/>
                <w:color w:val="auto"/>
                <w:spacing w:val="0"/>
                <w:kern w:val="2"/>
                <w:sz w:val="135"/>
                <w:szCs w:val="21"/>
                <w:highlight w:val="none"/>
                <w:lang w:eastAsia="zh-CN"/>
              </w:rPr>
            </w:pPr>
            <w:bookmarkStart w:id="15" w:name="_Toc19585"/>
            <w:bookmarkStart w:id="16" w:name="_Toc15257"/>
            <w:bookmarkStart w:id="17" w:name="_Toc5318"/>
            <w:r>
              <w:rPr>
                <w:rFonts w:hint="default" w:ascii="Times New Roman" w:hAnsi="Times New Roman" w:eastAsia="宋体" w:cs="Times New Roman"/>
                <w:color w:val="auto"/>
                <w:spacing w:val="0"/>
                <w:kern w:val="2"/>
                <w:sz w:val="21"/>
                <w:szCs w:val="21"/>
                <w:highlight w:val="none"/>
              </w:rPr>
              <w:t>内容</w:t>
            </w:r>
            <w:bookmarkEnd w:id="15"/>
            <w:bookmarkEnd w:id="16"/>
            <w:bookmarkEnd w:id="17"/>
          </w:p>
          <w:p w14:paraId="75295723">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outlineLvl w:val="0"/>
              <w:rPr>
                <w:rFonts w:hint="default" w:ascii="Times New Roman" w:hAnsi="Times New Roman" w:eastAsia="宋体" w:cs="Times New Roman"/>
                <w:color w:val="auto"/>
                <w:spacing w:val="0"/>
                <w:kern w:val="2"/>
                <w:sz w:val="21"/>
                <w:szCs w:val="21"/>
                <w:highlight w:val="none"/>
              </w:rPr>
            </w:pPr>
            <w:bookmarkStart w:id="18" w:name="_Toc12956"/>
            <w:bookmarkStart w:id="19" w:name="_Toc31943"/>
            <w:bookmarkStart w:id="20" w:name="_Toc20661"/>
            <w:r>
              <w:rPr>
                <w:rFonts w:hint="default" w:ascii="Times New Roman" w:hAnsi="Times New Roman" w:eastAsia="宋体" w:cs="Times New Roman"/>
                <w:color w:val="auto"/>
                <w:spacing w:val="0"/>
                <w:kern w:val="2"/>
                <w:sz w:val="21"/>
                <w:szCs w:val="21"/>
                <w:highlight w:val="none"/>
              </w:rPr>
              <w:t>要素</w:t>
            </w:r>
            <w:bookmarkEnd w:id="18"/>
            <w:bookmarkEnd w:id="19"/>
            <w:bookmarkEnd w:id="20"/>
          </w:p>
        </w:tc>
        <w:tc>
          <w:tcPr>
            <w:tcW w:w="2507" w:type="pct"/>
            <w:gridSpan w:val="3"/>
            <w:noWrap w:val="0"/>
            <w:vAlign w:val="center"/>
          </w:tcPr>
          <w:p w14:paraId="302BBCDD">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21" w:name="_Toc13642"/>
            <w:bookmarkStart w:id="22" w:name="_Toc9364"/>
            <w:bookmarkStart w:id="23" w:name="_Toc25330"/>
            <w:r>
              <w:rPr>
                <w:rFonts w:hint="default" w:ascii="Times New Roman" w:hAnsi="Times New Roman" w:eastAsia="宋体" w:cs="Times New Roman"/>
                <w:color w:val="auto"/>
                <w:spacing w:val="0"/>
                <w:kern w:val="2"/>
                <w:sz w:val="21"/>
                <w:szCs w:val="21"/>
                <w:highlight w:val="none"/>
              </w:rPr>
              <w:t>施工期</w:t>
            </w:r>
            <w:bookmarkEnd w:id="21"/>
            <w:bookmarkEnd w:id="22"/>
            <w:bookmarkEnd w:id="23"/>
          </w:p>
        </w:tc>
        <w:tc>
          <w:tcPr>
            <w:tcW w:w="1823" w:type="pct"/>
            <w:gridSpan w:val="2"/>
            <w:noWrap w:val="0"/>
            <w:vAlign w:val="center"/>
          </w:tcPr>
          <w:p w14:paraId="31CBA392">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24" w:name="_Toc9994"/>
            <w:bookmarkStart w:id="25" w:name="_Toc26915"/>
            <w:bookmarkStart w:id="26" w:name="_Toc12586"/>
            <w:r>
              <w:rPr>
                <w:rFonts w:hint="default" w:ascii="Times New Roman" w:hAnsi="Times New Roman" w:eastAsia="宋体" w:cs="Times New Roman"/>
                <w:color w:val="auto"/>
                <w:spacing w:val="0"/>
                <w:kern w:val="2"/>
                <w:sz w:val="21"/>
                <w:szCs w:val="21"/>
                <w:highlight w:val="none"/>
              </w:rPr>
              <w:t>运营期</w:t>
            </w:r>
            <w:bookmarkEnd w:id="24"/>
            <w:bookmarkEnd w:id="25"/>
            <w:bookmarkEnd w:id="26"/>
          </w:p>
        </w:tc>
      </w:tr>
      <w:tr w14:paraId="2EA76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668" w:type="pct"/>
            <w:vMerge w:val="continue"/>
            <w:noWrap w:val="0"/>
            <w:vAlign w:val="top"/>
          </w:tcPr>
          <w:p w14:paraId="3BFE0C6D">
            <w:pPr>
              <w:pStyle w:val="13"/>
              <w:adjustRightInd w:val="0"/>
              <w:snapToGrid w:val="0"/>
              <w:spacing w:before="0" w:beforeAutospacing="0" w:after="0" w:afterAutospacing="0"/>
              <w:ind w:firstLine="840"/>
              <w:jc w:val="center"/>
              <w:outlineLvl w:val="9"/>
              <w:rPr>
                <w:rFonts w:hint="default" w:ascii="Times New Roman" w:hAnsi="Times New Roman" w:eastAsia="宋体" w:cs="Times New Roman"/>
                <w:color w:val="auto"/>
                <w:spacing w:val="0"/>
                <w:kern w:val="2"/>
                <w:sz w:val="21"/>
                <w:szCs w:val="21"/>
                <w:highlight w:val="none"/>
              </w:rPr>
            </w:pPr>
          </w:p>
        </w:tc>
        <w:tc>
          <w:tcPr>
            <w:tcW w:w="1511" w:type="pct"/>
            <w:gridSpan w:val="2"/>
            <w:noWrap w:val="0"/>
            <w:vAlign w:val="center"/>
          </w:tcPr>
          <w:p w14:paraId="009F7630">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27" w:name="_Toc4510"/>
            <w:bookmarkStart w:id="28" w:name="_Toc5475"/>
            <w:bookmarkStart w:id="29" w:name="_Toc21325"/>
            <w:r>
              <w:rPr>
                <w:rFonts w:hint="default" w:ascii="Times New Roman" w:hAnsi="Times New Roman" w:eastAsia="宋体" w:cs="Times New Roman"/>
                <w:color w:val="auto"/>
                <w:spacing w:val="0"/>
                <w:kern w:val="2"/>
                <w:sz w:val="21"/>
                <w:szCs w:val="21"/>
                <w:highlight w:val="none"/>
              </w:rPr>
              <w:t>环境保护措施</w:t>
            </w:r>
            <w:bookmarkEnd w:id="27"/>
            <w:bookmarkEnd w:id="28"/>
            <w:bookmarkEnd w:id="29"/>
          </w:p>
        </w:tc>
        <w:tc>
          <w:tcPr>
            <w:tcW w:w="995" w:type="pct"/>
            <w:noWrap w:val="0"/>
            <w:vAlign w:val="center"/>
          </w:tcPr>
          <w:p w14:paraId="5687E019">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30" w:name="_Toc13198"/>
            <w:bookmarkStart w:id="31" w:name="_Toc22961"/>
            <w:bookmarkStart w:id="32" w:name="_Toc19160"/>
            <w:r>
              <w:rPr>
                <w:rFonts w:hint="default" w:ascii="Times New Roman" w:hAnsi="Times New Roman" w:eastAsia="宋体" w:cs="Times New Roman"/>
                <w:color w:val="auto"/>
                <w:spacing w:val="0"/>
                <w:kern w:val="2"/>
                <w:sz w:val="21"/>
                <w:szCs w:val="21"/>
                <w:highlight w:val="none"/>
              </w:rPr>
              <w:t>验收要求</w:t>
            </w:r>
            <w:bookmarkEnd w:id="30"/>
            <w:bookmarkEnd w:id="31"/>
            <w:bookmarkEnd w:id="32"/>
          </w:p>
        </w:tc>
        <w:tc>
          <w:tcPr>
            <w:tcW w:w="691" w:type="pct"/>
            <w:noWrap w:val="0"/>
            <w:vAlign w:val="center"/>
          </w:tcPr>
          <w:p w14:paraId="154462E7">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33" w:name="_Toc32316"/>
            <w:bookmarkStart w:id="34" w:name="_Toc19193"/>
            <w:bookmarkStart w:id="35" w:name="_Toc1674"/>
            <w:r>
              <w:rPr>
                <w:rFonts w:hint="default" w:ascii="Times New Roman" w:hAnsi="Times New Roman" w:eastAsia="宋体" w:cs="Times New Roman"/>
                <w:color w:val="auto"/>
                <w:spacing w:val="0"/>
                <w:kern w:val="2"/>
                <w:sz w:val="21"/>
                <w:szCs w:val="21"/>
                <w:highlight w:val="none"/>
              </w:rPr>
              <w:t>环境保护措施</w:t>
            </w:r>
            <w:bookmarkEnd w:id="33"/>
            <w:bookmarkEnd w:id="34"/>
            <w:bookmarkEnd w:id="35"/>
          </w:p>
        </w:tc>
        <w:tc>
          <w:tcPr>
            <w:tcW w:w="1131" w:type="pct"/>
            <w:noWrap w:val="0"/>
            <w:vAlign w:val="center"/>
          </w:tcPr>
          <w:p w14:paraId="5B1A0AD1">
            <w:pPr>
              <w:pStyle w:val="13"/>
              <w:adjustRightInd w:val="0"/>
              <w:snapToGrid w:val="0"/>
              <w:spacing w:before="0" w:beforeAutospacing="0" w:after="0" w:afterAutospacing="0"/>
              <w:jc w:val="center"/>
              <w:outlineLvl w:val="0"/>
              <w:rPr>
                <w:rFonts w:hint="default" w:ascii="Times New Roman" w:hAnsi="Times New Roman" w:eastAsia="宋体" w:cs="Times New Roman"/>
                <w:color w:val="auto"/>
                <w:spacing w:val="0"/>
                <w:kern w:val="2"/>
                <w:sz w:val="21"/>
                <w:szCs w:val="21"/>
                <w:highlight w:val="none"/>
              </w:rPr>
            </w:pPr>
            <w:bookmarkStart w:id="36" w:name="_Toc17179"/>
            <w:bookmarkStart w:id="37" w:name="_Toc17617"/>
            <w:bookmarkStart w:id="38" w:name="_Toc27812"/>
            <w:r>
              <w:rPr>
                <w:rFonts w:hint="default" w:ascii="Times New Roman" w:hAnsi="Times New Roman" w:eastAsia="宋体" w:cs="Times New Roman"/>
                <w:color w:val="auto"/>
                <w:spacing w:val="0"/>
                <w:kern w:val="2"/>
                <w:sz w:val="21"/>
                <w:szCs w:val="21"/>
                <w:highlight w:val="none"/>
              </w:rPr>
              <w:t>验收要求</w:t>
            </w:r>
            <w:bookmarkEnd w:id="36"/>
            <w:bookmarkEnd w:id="37"/>
            <w:bookmarkEnd w:id="38"/>
          </w:p>
        </w:tc>
      </w:tr>
      <w:tr w14:paraId="3BEF6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6" w:hRule="atLeast"/>
          <w:jc w:val="center"/>
        </w:trPr>
        <w:tc>
          <w:tcPr>
            <w:tcW w:w="668" w:type="pct"/>
            <w:noWrap w:val="0"/>
            <w:vAlign w:val="center"/>
          </w:tcPr>
          <w:p w14:paraId="2837FDF5">
            <w:pPr>
              <w:adjustRightInd w:val="0"/>
              <w:snapToGrid w:val="0"/>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陆生生态</w:t>
            </w:r>
          </w:p>
        </w:tc>
        <w:tc>
          <w:tcPr>
            <w:tcW w:w="1511" w:type="pct"/>
            <w:gridSpan w:val="2"/>
            <w:noWrap w:val="0"/>
            <w:vAlign w:val="center"/>
          </w:tcPr>
          <w:p w14:paraId="24B178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pacing w:val="0"/>
                <w:sz w:val="21"/>
                <w:szCs w:val="21"/>
                <w:highlight w:val="none"/>
              </w:rPr>
            </w:pPr>
            <w:r>
              <w:rPr>
                <w:color w:val="auto"/>
                <w:sz w:val="21"/>
                <w:szCs w:val="21"/>
                <w:highlight w:val="none"/>
              </w:rPr>
              <w:t>加强施工管理，严格按照划定的红线施工并采取防护措施，不得超界线；及时回填，施工裸露地表注意随时密目网覆盖，防止水土流失；施工结束后做好施工占地的生态恢复，进行绿化恢复工作，进行生态补偿</w:t>
            </w:r>
          </w:p>
        </w:tc>
        <w:tc>
          <w:tcPr>
            <w:tcW w:w="995" w:type="pct"/>
            <w:noWrap w:val="0"/>
            <w:vAlign w:val="center"/>
          </w:tcPr>
          <w:p w14:paraId="46D88F0D">
            <w:pPr>
              <w:adjustRightInd w:val="0"/>
              <w:snapToGrid w:val="0"/>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临时占地均恢复为原有土地类型、采取合理的植被恢复措施。</w:t>
            </w:r>
          </w:p>
        </w:tc>
        <w:tc>
          <w:tcPr>
            <w:tcW w:w="691" w:type="pct"/>
            <w:noWrap w:val="0"/>
            <w:vAlign w:val="center"/>
          </w:tcPr>
          <w:p w14:paraId="06C71AB3">
            <w:pPr>
              <w:adjustRightInd w:val="0"/>
              <w:snapToGrid w:val="0"/>
              <w:jc w:val="center"/>
              <w:rPr>
                <w:rFonts w:hint="default" w:ascii="Times New Roman" w:hAnsi="Times New Roman" w:eastAsia="宋体" w:cs="Times New Roman"/>
                <w:color w:val="auto"/>
                <w:spacing w:val="0"/>
                <w:sz w:val="21"/>
                <w:szCs w:val="21"/>
                <w:highlight w:val="none"/>
                <w:lang w:val="en-US"/>
              </w:rPr>
            </w:pPr>
            <w:r>
              <w:rPr>
                <w:rFonts w:hint="default" w:ascii="Times New Roman" w:hAnsi="Times New Roman" w:eastAsia="宋体" w:cs="Times New Roman"/>
                <w:color w:val="auto"/>
                <w:spacing w:val="0"/>
                <w:sz w:val="21"/>
                <w:szCs w:val="21"/>
                <w:highlight w:val="none"/>
                <w:lang w:val="en-US" w:eastAsia="zh-CN"/>
              </w:rPr>
              <w:t>对植被进行日常维护</w:t>
            </w:r>
          </w:p>
        </w:tc>
        <w:tc>
          <w:tcPr>
            <w:tcW w:w="1131" w:type="pct"/>
            <w:noWrap w:val="0"/>
            <w:vAlign w:val="center"/>
          </w:tcPr>
          <w:p w14:paraId="6CFC0B8F">
            <w:pPr>
              <w:adjustRightInd w:val="0"/>
              <w:snapToGrid w:val="0"/>
              <w:jc w:val="center"/>
              <w:rPr>
                <w:rFonts w:hint="default" w:ascii="Times New Roman" w:hAnsi="Times New Roman" w:eastAsia="宋体" w:cs="Times New Roman"/>
                <w:color w:val="auto"/>
                <w:spacing w:val="0"/>
                <w:sz w:val="21"/>
                <w:szCs w:val="21"/>
                <w:highlight w:val="none"/>
                <w:lang w:val="en-US"/>
              </w:rPr>
            </w:pPr>
            <w:r>
              <w:rPr>
                <w:rFonts w:hint="default" w:ascii="Times New Roman" w:hAnsi="Times New Roman" w:eastAsia="宋体" w:cs="Times New Roman"/>
                <w:color w:val="auto"/>
                <w:spacing w:val="0"/>
                <w:sz w:val="21"/>
                <w:szCs w:val="21"/>
                <w:highlight w:val="none"/>
                <w:lang w:val="en-US"/>
              </w:rPr>
              <w:t>恢复工程影响区内的陆生生态系统</w:t>
            </w:r>
          </w:p>
        </w:tc>
      </w:tr>
      <w:tr w14:paraId="3C01AF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68" w:type="pct"/>
            <w:noWrap w:val="0"/>
            <w:vAlign w:val="center"/>
          </w:tcPr>
          <w:p w14:paraId="421FFE52">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水生生态</w:t>
            </w:r>
          </w:p>
        </w:tc>
        <w:tc>
          <w:tcPr>
            <w:tcW w:w="1511" w:type="pct"/>
            <w:gridSpan w:val="2"/>
            <w:noWrap w:val="0"/>
            <w:vAlign w:val="center"/>
          </w:tcPr>
          <w:p w14:paraId="34F330AC">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w:t>
            </w:r>
          </w:p>
        </w:tc>
        <w:tc>
          <w:tcPr>
            <w:tcW w:w="995" w:type="pct"/>
            <w:noWrap w:val="0"/>
            <w:vAlign w:val="center"/>
          </w:tcPr>
          <w:p w14:paraId="3EB09B6F">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w:t>
            </w:r>
          </w:p>
        </w:tc>
        <w:tc>
          <w:tcPr>
            <w:tcW w:w="691" w:type="pct"/>
            <w:noWrap w:val="0"/>
            <w:vAlign w:val="center"/>
          </w:tcPr>
          <w:p w14:paraId="7AE939CD">
            <w:pPr>
              <w:adjustRightInd w:val="0"/>
              <w:snapToGrid w:val="0"/>
              <w:jc w:val="center"/>
              <w:rPr>
                <w:rFonts w:hint="eastAsia" w:ascii="Times New Roman" w:hAnsi="Times New Roman"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w:t>
            </w:r>
          </w:p>
        </w:tc>
        <w:tc>
          <w:tcPr>
            <w:tcW w:w="1131" w:type="pct"/>
            <w:noWrap w:val="0"/>
            <w:vAlign w:val="center"/>
          </w:tcPr>
          <w:p w14:paraId="6193C05D">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4DCAB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668" w:type="pct"/>
            <w:noWrap w:val="0"/>
            <w:vAlign w:val="center"/>
          </w:tcPr>
          <w:p w14:paraId="45BF7E5B">
            <w:pPr>
              <w:adjustRightInd w:val="0"/>
              <w:snapToGrid w:val="0"/>
              <w:jc w:val="center"/>
              <w:rPr>
                <w:rFonts w:hint="default" w:ascii="Times New Roman" w:hAnsi="Times New Roman" w:eastAsia="宋体" w:cs="Times New Roman"/>
                <w:b w:val="0"/>
                <w:bCs w:val="0"/>
                <w:color w:val="auto"/>
                <w:spacing w:val="0"/>
                <w:szCs w:val="21"/>
                <w:highlight w:val="none"/>
                <w:lang w:val="en-US" w:eastAsia="zh-CN"/>
              </w:rPr>
            </w:pPr>
            <w:r>
              <w:rPr>
                <w:rFonts w:hint="default" w:ascii="Times New Roman" w:hAnsi="Times New Roman" w:eastAsia="宋体" w:cs="Times New Roman"/>
                <w:color w:val="auto"/>
                <w:spacing w:val="0"/>
                <w:szCs w:val="21"/>
                <w:highlight w:val="none"/>
              </w:rPr>
              <w:t>地表水环境</w:t>
            </w:r>
          </w:p>
        </w:tc>
        <w:tc>
          <w:tcPr>
            <w:tcW w:w="1511" w:type="pct"/>
            <w:gridSpan w:val="2"/>
            <w:noWrap w:val="0"/>
            <w:vAlign w:val="center"/>
          </w:tcPr>
          <w:p w14:paraId="0F0AF7FD">
            <w:pPr>
              <w:pStyle w:val="6"/>
              <w:jc w:val="center"/>
              <w:rPr>
                <w:rFonts w:hint="default" w:ascii="Times New Roman" w:hAnsi="Times New Roman" w:eastAsia="宋体" w:cs="Times New Roman"/>
                <w:b w:val="0"/>
                <w:bCs w:val="0"/>
                <w:color w:val="auto"/>
                <w:spacing w:val="0"/>
                <w:highlight w:val="none"/>
                <w:lang w:val="en-US" w:eastAsia="zh-CN"/>
              </w:rPr>
            </w:pPr>
            <w:r>
              <w:rPr>
                <w:rFonts w:hint="default" w:ascii="Times New Roman" w:hAnsi="Times New Roman" w:eastAsia="宋体" w:cs="Times New Roman"/>
                <w:b w:val="0"/>
                <w:bCs w:val="0"/>
                <w:color w:val="auto"/>
                <w:spacing w:val="0"/>
                <w:highlight w:val="none"/>
                <w:lang w:val="en-US" w:eastAsia="zh-CN"/>
              </w:rPr>
              <w:t>施工废水收集并沉淀处理后回用</w:t>
            </w:r>
            <w:r>
              <w:rPr>
                <w:rFonts w:hint="eastAsia" w:cs="Times New Roman"/>
                <w:b w:val="0"/>
                <w:bCs w:val="0"/>
                <w:color w:val="auto"/>
                <w:spacing w:val="0"/>
                <w:highlight w:val="none"/>
                <w:lang w:val="en-US" w:eastAsia="zh-CN"/>
              </w:rPr>
              <w:t>；</w:t>
            </w:r>
            <w:r>
              <w:rPr>
                <w:rFonts w:hint="default" w:ascii="Times New Roman" w:hAnsi="Times New Roman" w:eastAsia="宋体" w:cs="Times New Roman"/>
                <w:b w:val="0"/>
                <w:bCs w:val="0"/>
                <w:color w:val="auto"/>
                <w:spacing w:val="0"/>
                <w:highlight w:val="none"/>
                <w:lang w:val="en-US" w:eastAsia="zh-CN"/>
              </w:rPr>
              <w:t>生活污水依托当地农户</w:t>
            </w:r>
            <w:r>
              <w:rPr>
                <w:rFonts w:hint="eastAsia" w:cs="Times New Roman"/>
                <w:b w:val="0"/>
                <w:bCs w:val="0"/>
                <w:color w:val="auto"/>
                <w:spacing w:val="0"/>
                <w:highlight w:val="none"/>
                <w:lang w:val="en-US" w:eastAsia="zh-CN"/>
              </w:rPr>
              <w:t>旱</w:t>
            </w:r>
            <w:r>
              <w:rPr>
                <w:rFonts w:hint="default" w:ascii="Times New Roman" w:hAnsi="Times New Roman" w:eastAsia="宋体" w:cs="Times New Roman"/>
                <w:b w:val="0"/>
                <w:bCs w:val="0"/>
                <w:color w:val="auto"/>
                <w:spacing w:val="0"/>
                <w:highlight w:val="none"/>
                <w:lang w:val="en-US" w:eastAsia="zh-CN"/>
              </w:rPr>
              <w:t>厕，定期清理。</w:t>
            </w:r>
          </w:p>
        </w:tc>
        <w:tc>
          <w:tcPr>
            <w:tcW w:w="995" w:type="pct"/>
            <w:noWrap w:val="0"/>
            <w:vAlign w:val="center"/>
          </w:tcPr>
          <w:p w14:paraId="7373B678">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落实各项环保措施，废水不外排</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施工期应采集和留存落实</w:t>
            </w:r>
            <w:r>
              <w:rPr>
                <w:rFonts w:hint="eastAsia" w:cs="Times New Roman"/>
                <w:color w:val="auto"/>
                <w:spacing w:val="0"/>
                <w:szCs w:val="21"/>
                <w:highlight w:val="none"/>
                <w:lang w:val="en-US" w:eastAsia="zh-CN"/>
              </w:rPr>
              <w:t>各项</w:t>
            </w:r>
            <w:r>
              <w:rPr>
                <w:rFonts w:hint="default" w:ascii="Times New Roman" w:hAnsi="Times New Roman" w:eastAsia="宋体" w:cs="Times New Roman"/>
                <w:color w:val="auto"/>
                <w:spacing w:val="0"/>
                <w:szCs w:val="21"/>
                <w:highlight w:val="none"/>
                <w:lang w:val="en-US" w:eastAsia="zh-CN"/>
              </w:rPr>
              <w:t>环保措施的照片、影像资料等。</w:t>
            </w:r>
          </w:p>
        </w:tc>
        <w:tc>
          <w:tcPr>
            <w:tcW w:w="691" w:type="pct"/>
            <w:noWrap w:val="0"/>
            <w:vAlign w:val="center"/>
          </w:tcPr>
          <w:p w14:paraId="5FF2B074">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0BBCD9EC">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2F12E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pct"/>
            <w:noWrap w:val="0"/>
            <w:vAlign w:val="center"/>
          </w:tcPr>
          <w:p w14:paraId="6B005BF8">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地下水及土壤环境</w:t>
            </w:r>
          </w:p>
        </w:tc>
        <w:tc>
          <w:tcPr>
            <w:tcW w:w="1511" w:type="pct"/>
            <w:gridSpan w:val="2"/>
            <w:noWrap w:val="0"/>
            <w:vAlign w:val="center"/>
          </w:tcPr>
          <w:p w14:paraId="4CDFF10F">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施工生产废水及生活污水不得随意排放，加强污废水处理设施的防渗，防止施工机械的跑、冒、滴、漏。</w:t>
            </w:r>
          </w:p>
        </w:tc>
        <w:tc>
          <w:tcPr>
            <w:tcW w:w="995" w:type="pct"/>
            <w:noWrap w:val="0"/>
            <w:vAlign w:val="center"/>
          </w:tcPr>
          <w:p w14:paraId="1B25BDD8">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691" w:type="pct"/>
            <w:noWrap w:val="0"/>
            <w:vAlign w:val="center"/>
          </w:tcPr>
          <w:p w14:paraId="7D573966">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加强治理区覆土和植被种植，并加强维护。</w:t>
            </w:r>
          </w:p>
        </w:tc>
        <w:tc>
          <w:tcPr>
            <w:tcW w:w="1131" w:type="pct"/>
            <w:noWrap w:val="0"/>
            <w:vAlign w:val="center"/>
          </w:tcPr>
          <w:p w14:paraId="73B9A228">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《地下水质量标准》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GB/T14848-2017</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中的I类标准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《土壤环境质量农用地土壤污染风险管控标准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试行</w:t>
            </w:r>
            <w:r>
              <w:rPr>
                <w:rFonts w:hint="eastAsia" w:cs="Times New Roman"/>
                <w:color w:val="auto"/>
                <w:spacing w:val="0"/>
                <w:szCs w:val="21"/>
                <w:highlight w:val="none"/>
                <w:lang w:val="en-US" w:eastAsia="zh-CN"/>
              </w:rPr>
              <w:t>）（G</w:t>
            </w:r>
            <w:r>
              <w:rPr>
                <w:rFonts w:hint="default" w:ascii="Times New Roman" w:hAnsi="Times New Roman" w:eastAsia="宋体" w:cs="Times New Roman"/>
                <w:color w:val="auto"/>
                <w:spacing w:val="0"/>
                <w:szCs w:val="21"/>
                <w:highlight w:val="none"/>
                <w:lang w:val="en-US" w:eastAsia="zh-CN"/>
              </w:rPr>
              <w:t>B15618-2018</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》标准表1中第二类筛选值</w:t>
            </w:r>
          </w:p>
        </w:tc>
      </w:tr>
      <w:tr w14:paraId="58D9D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0" w:hRule="atLeast"/>
          <w:jc w:val="center"/>
        </w:trPr>
        <w:tc>
          <w:tcPr>
            <w:tcW w:w="668" w:type="pct"/>
            <w:noWrap w:val="0"/>
            <w:vAlign w:val="center"/>
          </w:tcPr>
          <w:p w14:paraId="0317F71D">
            <w:pPr>
              <w:adjustRightInd w:val="0"/>
              <w:snapToGrid w:val="0"/>
              <w:jc w:val="center"/>
              <w:rPr>
                <w:rFonts w:hint="eastAsia" w:ascii="Times New Roman" w:hAnsi="Times New Roman" w:eastAsia="宋体" w:cs="Times New Roman"/>
                <w:color w:val="auto"/>
                <w:spacing w:val="0"/>
                <w:szCs w:val="21"/>
                <w:highlight w:val="none"/>
                <w:lang w:eastAsia="zh-CN"/>
              </w:rPr>
            </w:pPr>
            <w:r>
              <w:rPr>
                <w:rFonts w:hint="eastAsia" w:ascii="Times New Roman" w:hAnsi="Times New Roman" w:eastAsia="宋体" w:cs="Times New Roman"/>
                <w:color w:val="auto"/>
                <w:spacing w:val="0"/>
                <w:szCs w:val="21"/>
                <w:highlight w:val="none"/>
                <w:lang w:val="en-US" w:eastAsia="zh-CN"/>
              </w:rPr>
              <w:t>声环境</w:t>
            </w:r>
          </w:p>
        </w:tc>
        <w:tc>
          <w:tcPr>
            <w:tcW w:w="1511" w:type="pct"/>
            <w:gridSpan w:val="2"/>
            <w:noWrap w:val="0"/>
            <w:vAlign w:val="center"/>
          </w:tcPr>
          <w:p w14:paraId="3F34E043">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①合理安排施工作业时间，尽量避免高噪声设备同时施工，并且严禁在夜间和午休时间进行高噪声设备施工，以免造成扰民。</w:t>
            </w:r>
          </w:p>
          <w:p w14:paraId="66E9F6C9">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②</w:t>
            </w:r>
            <w:r>
              <w:rPr>
                <w:rFonts w:hint="eastAsia" w:cs="Times New Roman"/>
                <w:color w:val="auto"/>
                <w:spacing w:val="0"/>
                <w:szCs w:val="21"/>
                <w:highlight w:val="none"/>
                <w:lang w:val="en-US" w:eastAsia="zh-CN"/>
              </w:rPr>
              <w:t>选择</w:t>
            </w:r>
            <w:r>
              <w:rPr>
                <w:rFonts w:hint="default" w:ascii="Times New Roman" w:hAnsi="Times New Roman" w:eastAsia="宋体" w:cs="Times New Roman"/>
                <w:color w:val="auto"/>
                <w:spacing w:val="0"/>
                <w:szCs w:val="21"/>
                <w:highlight w:val="none"/>
                <w:lang w:val="en-US" w:eastAsia="zh-CN"/>
              </w:rPr>
              <w:t>低噪声机械设备，同时做好施工机械维护和保养，有效降低机械设备运转的噪声源强。</w:t>
            </w:r>
          </w:p>
          <w:p w14:paraId="462AF540">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③合理安排车辆运输时间，沿线涉及居民段禁止鸣笛。</w:t>
            </w:r>
          </w:p>
        </w:tc>
        <w:tc>
          <w:tcPr>
            <w:tcW w:w="995" w:type="pct"/>
            <w:noWrap w:val="0"/>
            <w:vAlign w:val="center"/>
          </w:tcPr>
          <w:p w14:paraId="286889BC">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满足《建筑施工场界环境噪声排放标准》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GB12523-2011</w:t>
            </w:r>
            <w:r>
              <w:rPr>
                <w:rFonts w:hint="eastAsia" w:cs="Times New Roman"/>
                <w:color w:val="auto"/>
                <w:spacing w:val="0"/>
                <w:szCs w:val="21"/>
                <w:highlight w:val="none"/>
                <w:lang w:val="en-US" w:eastAsia="zh-CN"/>
              </w:rPr>
              <w:t>）</w:t>
            </w:r>
          </w:p>
        </w:tc>
        <w:tc>
          <w:tcPr>
            <w:tcW w:w="691" w:type="pct"/>
            <w:noWrap w:val="0"/>
            <w:vAlign w:val="center"/>
          </w:tcPr>
          <w:p w14:paraId="31E2A209">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2A6D0F42">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5C2CB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pct"/>
            <w:vMerge w:val="restart"/>
            <w:noWrap w:val="0"/>
            <w:vAlign w:val="center"/>
          </w:tcPr>
          <w:p w14:paraId="495335AC">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大气环境</w:t>
            </w:r>
          </w:p>
        </w:tc>
        <w:tc>
          <w:tcPr>
            <w:tcW w:w="464" w:type="pct"/>
            <w:noWrap w:val="0"/>
            <w:vAlign w:val="center"/>
          </w:tcPr>
          <w:p w14:paraId="464FD6CF">
            <w:pPr>
              <w:adjustRightInd w:val="0"/>
              <w:snapToGrid w:val="0"/>
              <w:spacing w:line="276" w:lineRule="auto"/>
              <w:rPr>
                <w:rFonts w:hint="default" w:ascii="Times New Roman" w:hAnsi="Times New Roman" w:eastAsia="宋体" w:cs="Times New Roman"/>
                <w:color w:val="auto"/>
                <w:spacing w:val="0"/>
                <w:sz w:val="21"/>
                <w:szCs w:val="21"/>
                <w:highlight w:val="none"/>
                <w:lang w:val="en-US" w:eastAsia="zh-CN"/>
              </w:rPr>
            </w:pPr>
            <w:r>
              <w:rPr>
                <w:color w:val="auto"/>
                <w:sz w:val="21"/>
                <w:szCs w:val="21"/>
                <w:highlight w:val="none"/>
              </w:rPr>
              <w:t>施工扬尘、运输扬尘</w:t>
            </w:r>
          </w:p>
        </w:tc>
        <w:tc>
          <w:tcPr>
            <w:tcW w:w="1047" w:type="pct"/>
            <w:noWrap w:val="0"/>
            <w:vAlign w:val="center"/>
          </w:tcPr>
          <w:p w14:paraId="02B81F51">
            <w:pPr>
              <w:adjustRightInd w:val="0"/>
              <w:snapToGrid w:val="0"/>
              <w:spacing w:line="276" w:lineRule="auto"/>
              <w:rPr>
                <w:rFonts w:hint="default" w:ascii="Times New Roman" w:hAnsi="Times New Roman" w:eastAsia="宋体" w:cs="Times New Roman"/>
                <w:color w:val="auto"/>
                <w:spacing w:val="0"/>
                <w:sz w:val="21"/>
                <w:szCs w:val="21"/>
                <w:highlight w:val="none"/>
                <w:lang w:val="en-US" w:eastAsia="zh-CN"/>
              </w:rPr>
            </w:pPr>
            <w:r>
              <w:rPr>
                <w:color w:val="auto"/>
                <w:sz w:val="21"/>
                <w:szCs w:val="21"/>
                <w:highlight w:val="none"/>
              </w:rPr>
              <w:t>采取分段施工，</w:t>
            </w:r>
            <w:r>
              <w:rPr>
                <w:rFonts w:hint="eastAsia"/>
                <w:color w:val="auto"/>
                <w:sz w:val="21"/>
                <w:szCs w:val="21"/>
                <w:highlight w:val="none"/>
                <w:lang w:eastAsia="zh-CN"/>
              </w:rPr>
              <w:t>施工场地设置</w:t>
            </w:r>
            <w:r>
              <w:rPr>
                <w:color w:val="auto"/>
                <w:sz w:val="21"/>
                <w:szCs w:val="21"/>
                <w:highlight w:val="none"/>
              </w:rPr>
              <w:t>围栏，粉状物料采取覆盖遮蔽等措施，洒水降尘等措施。运输车辆加盖篷布</w:t>
            </w:r>
          </w:p>
        </w:tc>
        <w:tc>
          <w:tcPr>
            <w:tcW w:w="995" w:type="pct"/>
            <w:noWrap w:val="0"/>
            <w:vAlign w:val="center"/>
          </w:tcPr>
          <w:p w14:paraId="538884C5">
            <w:pPr>
              <w:adjustRightInd w:val="0"/>
              <w:snapToGrid w:val="0"/>
              <w:spacing w:line="276" w:lineRule="auto"/>
              <w:rPr>
                <w:rFonts w:hint="default" w:ascii="Times New Roman" w:hAnsi="Times New Roman" w:eastAsia="宋体" w:cs="Times New Roman"/>
                <w:color w:val="auto"/>
                <w:spacing w:val="0"/>
                <w:sz w:val="21"/>
                <w:szCs w:val="21"/>
                <w:highlight w:val="none"/>
                <w:lang w:val="en-US" w:eastAsia="zh-CN"/>
              </w:rPr>
            </w:pPr>
            <w:r>
              <w:rPr>
                <w:color w:val="auto"/>
                <w:sz w:val="21"/>
                <w:szCs w:val="21"/>
                <w:highlight w:val="none"/>
              </w:rPr>
              <w:t>满足《施工场界扬尘排放限值》（DB61/1078-2017）中表1规定限值</w:t>
            </w:r>
          </w:p>
        </w:tc>
        <w:tc>
          <w:tcPr>
            <w:tcW w:w="691" w:type="pct"/>
            <w:vMerge w:val="restart"/>
            <w:noWrap w:val="0"/>
            <w:vAlign w:val="center"/>
          </w:tcPr>
          <w:p w14:paraId="1FB5AE02">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vMerge w:val="restart"/>
            <w:noWrap w:val="0"/>
            <w:vAlign w:val="center"/>
          </w:tcPr>
          <w:p w14:paraId="65EC550E">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1D45A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668" w:type="pct"/>
            <w:vMerge w:val="continue"/>
            <w:noWrap w:val="0"/>
            <w:vAlign w:val="center"/>
          </w:tcPr>
          <w:p w14:paraId="733C6DF9">
            <w:pPr>
              <w:pStyle w:val="8"/>
              <w:jc w:val="center"/>
              <w:rPr>
                <w:color w:val="auto"/>
                <w:highlight w:val="none"/>
              </w:rPr>
            </w:pPr>
          </w:p>
        </w:tc>
        <w:tc>
          <w:tcPr>
            <w:tcW w:w="464" w:type="pct"/>
            <w:noWrap w:val="0"/>
            <w:vAlign w:val="center"/>
          </w:tcPr>
          <w:p w14:paraId="5884BBAC">
            <w:pPr>
              <w:adjustRightInd w:val="0"/>
              <w:snapToGrid w:val="0"/>
              <w:spacing w:line="276" w:lineRule="auto"/>
              <w:rPr>
                <w:color w:val="auto"/>
                <w:sz w:val="21"/>
                <w:szCs w:val="21"/>
                <w:highlight w:val="none"/>
              </w:rPr>
            </w:pPr>
            <w:r>
              <w:rPr>
                <w:color w:val="auto"/>
                <w:sz w:val="21"/>
                <w:szCs w:val="21"/>
                <w:highlight w:val="none"/>
              </w:rPr>
              <w:t>施工机械燃油尾气</w:t>
            </w:r>
          </w:p>
        </w:tc>
        <w:tc>
          <w:tcPr>
            <w:tcW w:w="1047" w:type="pct"/>
            <w:noWrap w:val="0"/>
            <w:vAlign w:val="center"/>
          </w:tcPr>
          <w:p w14:paraId="696D256E">
            <w:pPr>
              <w:adjustRightInd w:val="0"/>
              <w:snapToGrid w:val="0"/>
              <w:spacing w:line="276" w:lineRule="auto"/>
              <w:rPr>
                <w:rFonts w:hint="default" w:ascii="Times New Roman" w:hAnsi="Times New Roman" w:eastAsia="宋体" w:cs="Times New Roman"/>
                <w:color w:val="auto"/>
                <w:spacing w:val="0"/>
                <w:sz w:val="21"/>
                <w:szCs w:val="21"/>
                <w:highlight w:val="none"/>
                <w:lang w:val="en-US" w:eastAsia="zh-CN"/>
              </w:rPr>
            </w:pPr>
            <w:r>
              <w:rPr>
                <w:color w:val="auto"/>
                <w:kern w:val="0"/>
                <w:sz w:val="21"/>
                <w:szCs w:val="21"/>
                <w:highlight w:val="none"/>
                <w:lang w:bidi="ar"/>
              </w:rPr>
              <w:t>加强施工车辆运行管理与维护保养</w:t>
            </w:r>
          </w:p>
        </w:tc>
        <w:tc>
          <w:tcPr>
            <w:tcW w:w="995" w:type="pct"/>
            <w:noWrap w:val="0"/>
            <w:vAlign w:val="center"/>
          </w:tcPr>
          <w:p w14:paraId="39821C5C">
            <w:pPr>
              <w:adjustRightInd w:val="0"/>
              <w:snapToGrid w:val="0"/>
              <w:spacing w:line="276" w:lineRule="auto"/>
              <w:rPr>
                <w:rFonts w:hint="default" w:ascii="Times New Roman" w:hAnsi="Times New Roman" w:eastAsia="宋体" w:cs="Times New Roman"/>
                <w:color w:val="auto"/>
                <w:spacing w:val="0"/>
                <w:sz w:val="21"/>
                <w:szCs w:val="21"/>
                <w:highlight w:val="none"/>
                <w:lang w:val="en-US" w:eastAsia="zh-CN"/>
              </w:rPr>
            </w:pPr>
            <w:r>
              <w:rPr>
                <w:color w:val="auto"/>
                <w:kern w:val="0"/>
                <w:sz w:val="21"/>
                <w:szCs w:val="21"/>
                <w:highlight w:val="none"/>
                <w:lang w:bidi="ar"/>
              </w:rPr>
              <w:t>满足《非道路移动机械用柴油机排气污染物排放限值及测量方法》（GB20891-2014）中的第</w:t>
            </w:r>
            <w:r>
              <w:rPr>
                <w:rFonts w:hint="eastAsia"/>
                <w:color w:val="auto"/>
                <w:kern w:val="0"/>
                <w:sz w:val="21"/>
                <w:szCs w:val="21"/>
                <w:highlight w:val="none"/>
                <w:lang w:eastAsia="zh-CN" w:bidi="ar"/>
              </w:rPr>
              <w:t>Ⅲ</w:t>
            </w:r>
            <w:r>
              <w:rPr>
                <w:color w:val="auto"/>
                <w:kern w:val="0"/>
                <w:sz w:val="21"/>
                <w:szCs w:val="21"/>
                <w:highlight w:val="none"/>
                <w:lang w:bidi="ar"/>
              </w:rPr>
              <w:t>阶段标准限值</w:t>
            </w:r>
          </w:p>
        </w:tc>
        <w:tc>
          <w:tcPr>
            <w:tcW w:w="691" w:type="pct"/>
            <w:vMerge w:val="continue"/>
            <w:noWrap w:val="0"/>
            <w:vAlign w:val="center"/>
          </w:tcPr>
          <w:p w14:paraId="207B5915">
            <w:pPr>
              <w:pStyle w:val="8"/>
              <w:jc w:val="center"/>
              <w:rPr>
                <w:rFonts w:hint="default" w:ascii="Times New Roman" w:hAnsi="Times New Roman" w:eastAsia="宋体" w:cs="Times New Roman"/>
                <w:color w:val="auto"/>
                <w:spacing w:val="0"/>
                <w:highlight w:val="none"/>
                <w:lang w:val="en-US" w:eastAsia="zh-CN"/>
              </w:rPr>
            </w:pPr>
          </w:p>
        </w:tc>
        <w:tc>
          <w:tcPr>
            <w:tcW w:w="1131" w:type="pct"/>
            <w:vMerge w:val="continue"/>
            <w:noWrap w:val="0"/>
            <w:vAlign w:val="center"/>
          </w:tcPr>
          <w:p w14:paraId="49BA97DE">
            <w:pPr>
              <w:pStyle w:val="8"/>
              <w:jc w:val="center"/>
              <w:rPr>
                <w:rFonts w:hint="default" w:ascii="Times New Roman" w:hAnsi="Times New Roman" w:eastAsia="宋体" w:cs="Times New Roman"/>
                <w:color w:val="auto"/>
                <w:spacing w:val="0"/>
                <w:highlight w:val="none"/>
                <w:lang w:val="en-US" w:eastAsia="zh-CN"/>
              </w:rPr>
            </w:pPr>
          </w:p>
        </w:tc>
      </w:tr>
      <w:tr w14:paraId="5FCAE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68" w:type="pct"/>
            <w:noWrap w:val="0"/>
            <w:vAlign w:val="center"/>
          </w:tcPr>
          <w:p w14:paraId="3E3D5533">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固体废物</w:t>
            </w:r>
          </w:p>
        </w:tc>
        <w:tc>
          <w:tcPr>
            <w:tcW w:w="1511" w:type="pct"/>
            <w:gridSpan w:val="2"/>
            <w:noWrap w:val="0"/>
            <w:vAlign w:val="center"/>
          </w:tcPr>
          <w:p w14:paraId="546FF359">
            <w:pPr>
              <w:adjustRightInd w:val="0"/>
              <w:snapToGrid w:val="0"/>
              <w:jc w:val="center"/>
              <w:rPr>
                <w:rFonts w:hint="default" w:ascii="Times New Roman" w:hAnsi="Times New Roman" w:eastAsia="宋体" w:cs="Times New Roman"/>
                <w:color w:val="auto"/>
                <w:spacing w:val="0"/>
                <w:highlight w:val="none"/>
                <w:lang w:val="en-US"/>
              </w:rPr>
            </w:pPr>
            <w:r>
              <w:rPr>
                <w:rFonts w:hint="default" w:ascii="Times New Roman" w:hAnsi="Times New Roman" w:eastAsia="宋体" w:cs="Times New Roman"/>
                <w:color w:val="auto"/>
                <w:spacing w:val="0"/>
                <w:highlight w:val="none"/>
                <w:lang w:val="en-US"/>
              </w:rPr>
              <w:t>生活垃圾收集后，清运至垃圾集中处理点。</w:t>
            </w:r>
          </w:p>
        </w:tc>
        <w:tc>
          <w:tcPr>
            <w:tcW w:w="995" w:type="pct"/>
            <w:noWrap w:val="0"/>
            <w:vAlign w:val="center"/>
          </w:tcPr>
          <w:p w14:paraId="5C1A3A48">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落实各项环保措施，确保生活垃圾等合理处置</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施工期应采集和留存落实各项环保措施的照片、影像资料等。</w:t>
            </w:r>
          </w:p>
        </w:tc>
        <w:tc>
          <w:tcPr>
            <w:tcW w:w="691" w:type="pct"/>
            <w:noWrap w:val="0"/>
            <w:vAlign w:val="center"/>
          </w:tcPr>
          <w:p w14:paraId="32D1D9F8">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05A16417">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64DFB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68" w:type="pct"/>
            <w:noWrap w:val="0"/>
            <w:vAlign w:val="center"/>
          </w:tcPr>
          <w:p w14:paraId="0AF0163E">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电磁环境</w:t>
            </w:r>
          </w:p>
        </w:tc>
        <w:tc>
          <w:tcPr>
            <w:tcW w:w="1511" w:type="pct"/>
            <w:gridSpan w:val="2"/>
            <w:noWrap w:val="0"/>
            <w:vAlign w:val="center"/>
          </w:tcPr>
          <w:p w14:paraId="3DB13086">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995" w:type="pct"/>
            <w:noWrap w:val="0"/>
            <w:vAlign w:val="center"/>
          </w:tcPr>
          <w:p w14:paraId="718028BB">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691" w:type="pct"/>
            <w:noWrap w:val="0"/>
            <w:vAlign w:val="center"/>
          </w:tcPr>
          <w:p w14:paraId="5A8A28D3">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7C72BEF8">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6F047C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68" w:type="pct"/>
            <w:noWrap w:val="0"/>
            <w:vAlign w:val="center"/>
          </w:tcPr>
          <w:p w14:paraId="03E9ECB1">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环境风险</w:t>
            </w:r>
          </w:p>
        </w:tc>
        <w:tc>
          <w:tcPr>
            <w:tcW w:w="1511" w:type="pct"/>
            <w:gridSpan w:val="2"/>
            <w:noWrap w:val="0"/>
            <w:vAlign w:val="center"/>
          </w:tcPr>
          <w:p w14:paraId="64D63393">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995" w:type="pct"/>
            <w:noWrap w:val="0"/>
            <w:vAlign w:val="center"/>
          </w:tcPr>
          <w:p w14:paraId="0AA4EF07">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691" w:type="pct"/>
            <w:noWrap w:val="0"/>
            <w:vAlign w:val="center"/>
          </w:tcPr>
          <w:p w14:paraId="3B413555">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3298BB75">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w:t>
            </w:r>
          </w:p>
        </w:tc>
      </w:tr>
      <w:tr w14:paraId="52506B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68" w:type="pct"/>
            <w:vMerge w:val="restart"/>
            <w:noWrap w:val="0"/>
            <w:vAlign w:val="center"/>
          </w:tcPr>
          <w:p w14:paraId="24642C88">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环境监测</w:t>
            </w:r>
          </w:p>
        </w:tc>
        <w:tc>
          <w:tcPr>
            <w:tcW w:w="1511" w:type="pct"/>
            <w:gridSpan w:val="2"/>
            <w:noWrap w:val="0"/>
            <w:vAlign w:val="center"/>
          </w:tcPr>
          <w:p w14:paraId="1B1A81C0">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995" w:type="pct"/>
            <w:noWrap w:val="0"/>
            <w:vAlign w:val="center"/>
          </w:tcPr>
          <w:p w14:paraId="198DE60B">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691" w:type="pct"/>
            <w:noWrap w:val="0"/>
            <w:vAlign w:val="center"/>
          </w:tcPr>
          <w:p w14:paraId="4B55F897">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lang w:val="en-US" w:eastAsia="zh-CN"/>
              </w:rPr>
              <w:t>地下水</w:t>
            </w:r>
          </w:p>
        </w:tc>
        <w:tc>
          <w:tcPr>
            <w:tcW w:w="1131" w:type="pct"/>
            <w:noWrap w:val="0"/>
            <w:vAlign w:val="center"/>
          </w:tcPr>
          <w:p w14:paraId="73A38D32">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《地下水质量标准》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GB/T14848-2017</w:t>
            </w:r>
            <w:r>
              <w:rPr>
                <w:rFonts w:hint="eastAsia" w:cs="Times New Roman"/>
                <w:color w:val="auto"/>
                <w:spacing w:val="0"/>
                <w:szCs w:val="21"/>
                <w:highlight w:val="none"/>
                <w:lang w:val="en-US" w:eastAsia="zh-CN"/>
              </w:rPr>
              <w:t>）</w:t>
            </w:r>
          </w:p>
          <w:p w14:paraId="6C34153A">
            <w:pPr>
              <w:adjustRightInd w:val="0"/>
              <w:snapToGrid w:val="0"/>
              <w:jc w:val="center"/>
              <w:rPr>
                <w:rFonts w:hint="default" w:ascii="Times New Roman" w:hAnsi="Times New Roman" w:eastAsia="宋体" w:cs="Times New Roman"/>
                <w:color w:val="auto"/>
                <w:spacing w:val="0"/>
                <w:szCs w:val="21"/>
                <w:highlight w:val="none"/>
              </w:rPr>
            </w:pPr>
            <w:r>
              <w:rPr>
                <w:rFonts w:hint="eastAsia" w:cs="Times New Roman"/>
                <w:color w:val="auto"/>
                <w:spacing w:val="0"/>
                <w:szCs w:val="21"/>
                <w:highlight w:val="none"/>
                <w:lang w:val="en-US" w:eastAsia="zh-CN"/>
              </w:rPr>
              <w:t>Ⅲ</w:t>
            </w:r>
            <w:r>
              <w:rPr>
                <w:rFonts w:hint="default" w:ascii="Times New Roman" w:hAnsi="Times New Roman" w:eastAsia="宋体" w:cs="Times New Roman"/>
                <w:color w:val="auto"/>
                <w:spacing w:val="0"/>
                <w:szCs w:val="21"/>
                <w:highlight w:val="none"/>
                <w:lang w:val="en-US" w:eastAsia="zh-CN"/>
              </w:rPr>
              <w:t>标准</w:t>
            </w:r>
          </w:p>
        </w:tc>
      </w:tr>
      <w:tr w14:paraId="36F99D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68" w:type="pct"/>
            <w:vMerge w:val="continue"/>
            <w:noWrap w:val="0"/>
            <w:vAlign w:val="center"/>
          </w:tcPr>
          <w:p w14:paraId="7A0A7B89">
            <w:pPr>
              <w:adjustRightInd w:val="0"/>
              <w:snapToGrid w:val="0"/>
              <w:jc w:val="center"/>
              <w:rPr>
                <w:color w:val="auto"/>
              </w:rPr>
            </w:pPr>
          </w:p>
        </w:tc>
        <w:tc>
          <w:tcPr>
            <w:tcW w:w="1511" w:type="pct"/>
            <w:gridSpan w:val="2"/>
            <w:noWrap w:val="0"/>
            <w:vAlign w:val="center"/>
          </w:tcPr>
          <w:p w14:paraId="05590FF7">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995" w:type="pct"/>
            <w:noWrap w:val="0"/>
            <w:vAlign w:val="center"/>
          </w:tcPr>
          <w:p w14:paraId="629602D7">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691" w:type="pct"/>
            <w:noWrap w:val="0"/>
            <w:vAlign w:val="center"/>
          </w:tcPr>
          <w:p w14:paraId="47C5F666">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生态</w:t>
            </w:r>
          </w:p>
        </w:tc>
        <w:tc>
          <w:tcPr>
            <w:tcW w:w="1131" w:type="pct"/>
            <w:noWrap w:val="0"/>
            <w:vAlign w:val="center"/>
          </w:tcPr>
          <w:p w14:paraId="0EEDFF24">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建设单位派专人及时对恢复的植被浇水，保证存活率，当个别株木死亡时，及时补种</w:t>
            </w:r>
          </w:p>
        </w:tc>
      </w:tr>
      <w:tr w14:paraId="731C9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68" w:type="pct"/>
            <w:vMerge w:val="continue"/>
            <w:noWrap w:val="0"/>
            <w:vAlign w:val="center"/>
          </w:tcPr>
          <w:p w14:paraId="6F406022">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1511" w:type="pct"/>
            <w:gridSpan w:val="2"/>
            <w:noWrap w:val="0"/>
            <w:vAlign w:val="center"/>
          </w:tcPr>
          <w:p w14:paraId="206A28A8">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995" w:type="pct"/>
            <w:noWrap w:val="0"/>
            <w:vAlign w:val="center"/>
          </w:tcPr>
          <w:p w14:paraId="50FB4631">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691" w:type="pct"/>
            <w:noWrap w:val="0"/>
            <w:vAlign w:val="center"/>
          </w:tcPr>
          <w:p w14:paraId="003FCC2C">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土壤</w:t>
            </w:r>
          </w:p>
        </w:tc>
        <w:tc>
          <w:tcPr>
            <w:tcW w:w="1131" w:type="pct"/>
            <w:noWrap w:val="0"/>
            <w:vAlign w:val="center"/>
          </w:tcPr>
          <w:p w14:paraId="69C3F101">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土壤环境质量建设用地土壤污染风险管控标准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试行</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GB36600-2018</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第二类用地筛选值</w:t>
            </w:r>
          </w:p>
        </w:tc>
      </w:tr>
      <w:tr w14:paraId="1937B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68" w:type="pct"/>
            <w:vMerge w:val="continue"/>
            <w:noWrap w:val="0"/>
            <w:vAlign w:val="center"/>
          </w:tcPr>
          <w:p w14:paraId="2730DBD0">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1511" w:type="pct"/>
            <w:gridSpan w:val="2"/>
            <w:noWrap w:val="0"/>
            <w:vAlign w:val="center"/>
          </w:tcPr>
          <w:p w14:paraId="46294FDB">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995" w:type="pct"/>
            <w:noWrap w:val="0"/>
            <w:vAlign w:val="center"/>
          </w:tcPr>
          <w:p w14:paraId="692E50D1">
            <w:pPr>
              <w:adjustRightInd w:val="0"/>
              <w:snapToGrid w:val="0"/>
              <w:jc w:val="center"/>
              <w:rPr>
                <w:rFonts w:hint="default" w:ascii="Times New Roman" w:hAnsi="Times New Roman" w:eastAsia="宋体" w:cs="Times New Roman"/>
                <w:color w:val="auto"/>
                <w:spacing w:val="0"/>
                <w:szCs w:val="21"/>
                <w:highlight w:val="none"/>
                <w:lang w:val="en-US" w:eastAsia="zh-CN"/>
              </w:rPr>
            </w:pPr>
          </w:p>
        </w:tc>
        <w:tc>
          <w:tcPr>
            <w:tcW w:w="691" w:type="pct"/>
            <w:noWrap w:val="0"/>
            <w:vAlign w:val="center"/>
          </w:tcPr>
          <w:p w14:paraId="537A77FD">
            <w:pPr>
              <w:adjustRightInd w:val="0"/>
              <w:snapToGrid w:val="0"/>
              <w:jc w:val="center"/>
              <w:rPr>
                <w:rFonts w:hint="default" w:eastAsia="宋体" w:cs="Times New Roman"/>
                <w:color w:val="auto"/>
                <w:spacing w:val="0"/>
                <w:szCs w:val="21"/>
                <w:highlight w:val="none"/>
                <w:lang w:val="en-US" w:eastAsia="zh-CN"/>
              </w:rPr>
            </w:pPr>
            <w:r>
              <w:rPr>
                <w:rFonts w:hint="eastAsia" w:eastAsia="宋体" w:cs="Times New Roman"/>
                <w:color w:val="auto"/>
                <w:spacing w:val="0"/>
                <w:szCs w:val="21"/>
                <w:highlight w:val="none"/>
                <w:lang w:val="en-US" w:eastAsia="zh-CN"/>
              </w:rPr>
              <w:t>地表水</w:t>
            </w:r>
          </w:p>
        </w:tc>
        <w:tc>
          <w:tcPr>
            <w:tcW w:w="1131" w:type="pct"/>
            <w:noWrap w:val="0"/>
            <w:vAlign w:val="center"/>
          </w:tcPr>
          <w:p w14:paraId="43D53EC4">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《地表水环境质量标准》</w:t>
            </w:r>
            <w:r>
              <w:rPr>
                <w:rFonts w:hint="eastAsia" w:cs="Times New Roman"/>
                <w:color w:val="auto"/>
                <w:spacing w:val="0"/>
                <w:szCs w:val="21"/>
                <w:highlight w:val="none"/>
                <w:lang w:val="en-US" w:eastAsia="zh-CN"/>
              </w:rPr>
              <w:t>（</w:t>
            </w:r>
            <w:r>
              <w:rPr>
                <w:rFonts w:hint="default" w:ascii="Times New Roman" w:hAnsi="Times New Roman" w:eastAsia="宋体" w:cs="Times New Roman"/>
                <w:color w:val="auto"/>
                <w:spacing w:val="0"/>
                <w:szCs w:val="21"/>
                <w:highlight w:val="none"/>
                <w:lang w:val="en-US" w:eastAsia="zh-CN"/>
              </w:rPr>
              <w:t>GB3838-2002</w:t>
            </w:r>
            <w:r>
              <w:rPr>
                <w:rFonts w:hint="eastAsia" w:cs="Times New Roman"/>
                <w:color w:val="auto"/>
                <w:spacing w:val="0"/>
                <w:szCs w:val="21"/>
                <w:highlight w:val="none"/>
                <w:lang w:val="en-US" w:eastAsia="zh-CN"/>
              </w:rPr>
              <w:t>）Ⅱ</w:t>
            </w:r>
          </w:p>
          <w:p w14:paraId="04D0126C">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类标准限值要求</w:t>
            </w:r>
          </w:p>
        </w:tc>
      </w:tr>
      <w:tr w14:paraId="55798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68" w:type="pct"/>
            <w:noWrap w:val="0"/>
            <w:vAlign w:val="center"/>
          </w:tcPr>
          <w:p w14:paraId="23552FFB">
            <w:pPr>
              <w:adjustRightInd w:val="0"/>
              <w:snapToGrid w:val="0"/>
              <w:jc w:val="center"/>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其他</w:t>
            </w:r>
          </w:p>
        </w:tc>
        <w:tc>
          <w:tcPr>
            <w:tcW w:w="1511" w:type="pct"/>
            <w:gridSpan w:val="2"/>
            <w:noWrap w:val="0"/>
            <w:vAlign w:val="center"/>
          </w:tcPr>
          <w:p w14:paraId="27526C6D">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995" w:type="pct"/>
            <w:noWrap w:val="0"/>
            <w:vAlign w:val="center"/>
          </w:tcPr>
          <w:p w14:paraId="70BD7777">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691" w:type="pct"/>
            <w:noWrap w:val="0"/>
            <w:vAlign w:val="center"/>
          </w:tcPr>
          <w:p w14:paraId="6F903ECA">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c>
          <w:tcPr>
            <w:tcW w:w="1131" w:type="pct"/>
            <w:noWrap w:val="0"/>
            <w:vAlign w:val="center"/>
          </w:tcPr>
          <w:p w14:paraId="06F9B2A8">
            <w:pPr>
              <w:adjustRightInd w:val="0"/>
              <w:snapToGrid w:val="0"/>
              <w:jc w:val="center"/>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w:t>
            </w:r>
          </w:p>
        </w:tc>
      </w:tr>
    </w:tbl>
    <w:p w14:paraId="2EE86001">
      <w:pPr>
        <w:rPr>
          <w:rFonts w:hint="eastAsia" w:eastAsia="宋体"/>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BF5BFB6">
      <w:pPr>
        <w:pStyle w:val="13"/>
        <w:spacing w:before="192" w:beforeLines="80" w:beforeAutospacing="0"/>
        <w:jc w:val="center"/>
        <w:outlineLvl w:val="0"/>
        <w:rPr>
          <w:rFonts w:hint="default" w:ascii="Times New Roman" w:hAnsi="Times New Roman" w:eastAsia="黑体" w:cs="Times New Roman"/>
          <w:snapToGrid w:val="0"/>
          <w:color w:val="auto"/>
          <w:sz w:val="30"/>
          <w:szCs w:val="30"/>
          <w:highlight w:val="none"/>
        </w:rPr>
      </w:pPr>
      <w:bookmarkStart w:id="39" w:name="_Toc31393"/>
      <w:r>
        <w:rPr>
          <w:rFonts w:hint="default" w:ascii="Times New Roman" w:hAnsi="Times New Roman" w:eastAsia="黑体" w:cs="Times New Roman"/>
          <w:snapToGrid w:val="0"/>
          <w:color w:val="auto"/>
          <w:sz w:val="30"/>
          <w:szCs w:val="30"/>
          <w:highlight w:val="none"/>
        </w:rPr>
        <w:t>七、结论</w:t>
      </w:r>
      <w:bookmarkEnd w:id="39"/>
    </w:p>
    <w:tbl>
      <w:tblPr>
        <w:tblStyle w:val="14"/>
        <w:tblW w:w="92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083EF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53" w:hRule="atLeast"/>
          <w:jc w:val="center"/>
        </w:trPr>
        <w:tc>
          <w:tcPr>
            <w:tcW w:w="9289" w:type="dxa"/>
            <w:tcBorders>
              <w:tl2br w:val="nil"/>
              <w:tr2bl w:val="nil"/>
            </w:tcBorders>
            <w:noWrap w:val="0"/>
            <w:vAlign w:val="top"/>
          </w:tcPr>
          <w:p w14:paraId="2DA11E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color w:val="auto"/>
                <w:sz w:val="24"/>
                <w:szCs w:val="24"/>
                <w:highlight w:val="none"/>
              </w:rPr>
              <w:t>本项目契合国家及地方矿山生态修复相关产业政策导向，工程通过渣坡稳固、防渗阻隔、覆土植被重建等综合治理手段，从源头消除矿渣堆存造成的水土流失、重金属迁移、坡面滑塌等各类环境隐患，全面修复受损生态空间，提升区域水源涵养与水土保持能力，优化生态系统完整性。项目施工扰动范围可控，治理完成后不再产生持续性环境负面影响，还可消除地质、环境风险及潜在社会稳定隐患，持续改善区域人居环境，保障汉江上游流域水生态安全。综合来看，项目兼具突出生态效益、环境效益与社会效益，从环境保护视角分析，本项目</w:t>
            </w:r>
            <w:r>
              <w:rPr>
                <w:rFonts w:hint="eastAsia" w:cs="Times New Roman"/>
                <w:color w:val="auto"/>
                <w:sz w:val="24"/>
                <w:szCs w:val="24"/>
                <w:highlight w:val="none"/>
                <w:lang w:val="en-US" w:eastAsia="zh-CN"/>
              </w:rPr>
              <w:t>环境影响可行</w:t>
            </w:r>
            <w:r>
              <w:rPr>
                <w:rFonts w:hint="default" w:ascii="Times New Roman" w:hAnsi="Times New Roman" w:eastAsia="宋体" w:cs="Times New Roman"/>
                <w:color w:val="auto"/>
                <w:sz w:val="24"/>
                <w:szCs w:val="24"/>
                <w:highlight w:val="none"/>
              </w:rPr>
              <w:t>。</w:t>
            </w:r>
          </w:p>
        </w:tc>
      </w:tr>
    </w:tbl>
    <w:p w14:paraId="0E851EEA">
      <w:pPr>
        <w:rPr>
          <w:rFonts w:hint="eastAsia" w:eastAsia="宋体"/>
          <w:color w:val="auto"/>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思源黑体"/>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思源黑体">
    <w:panose1 w:val="020B0500000000000000"/>
    <w:charset w:val="86"/>
    <w:family w:val="auto"/>
    <w:pitch w:val="default"/>
    <w:sig w:usb0="30000083" w:usb1="2BDF3C10" w:usb2="00000016" w:usb3="00000000" w:csb0="602E0107" w:csb1="00000000"/>
  </w:font>
  <w:font w:name="方正小标宋_GBK">
    <w:panose1 w:val="03000502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新宋体">
    <w:altName w:val="思源黑体"/>
    <w:panose1 w:val="02010609030101010101"/>
    <w:charset w:val="86"/>
    <w:family w:val="modern"/>
    <w:pitch w:val="default"/>
    <w:sig w:usb0="00000000" w:usb1="00000000" w:usb2="00000006" w:usb3="00000000" w:csb0="00040001" w:csb1="00000000"/>
  </w:font>
  <w:font w:name="等线 Light">
    <w:altName w:val="站酷快乐体2016修订版"/>
    <w:panose1 w:val="02010600030101010101"/>
    <w:charset w:val="86"/>
    <w:family w:val="auto"/>
    <w:pitch w:val="default"/>
    <w:sig w:usb0="00000000" w:usb1="00000000" w:usb2="00000016" w:usb3="00000000" w:csb0="0004000F" w:csb1="00000000"/>
  </w:font>
  <w:font w:name="站酷快乐体2016修订版">
    <w:panose1 w:val="02010600030101010101"/>
    <w:charset w:val="86"/>
    <w:family w:val="auto"/>
    <w:pitch w:val="default"/>
    <w:sig w:usb0="00000003" w:usb1="080E0000" w:usb2="00000000" w:usb3="00000000" w:csb0="00040001" w:csb1="00000000"/>
  </w:font>
  <w:font w:name="★日文毛笔">
    <w:panose1 w:val="02000609000000000000"/>
    <w:charset w:val="80"/>
    <w:family w:val="auto"/>
    <w:pitch w:val="default"/>
    <w:sig w:usb0="A00002BF" w:usb1="68C7FCFB" w:usb2="00000010" w:usb3="00000000" w:csb0="4002009F" w:csb1="DFD7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CCFC">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10314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B10314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3F5E43"/>
    <w:multiLevelType w:val="singleLevel"/>
    <w:tmpl w:val="A73F5E43"/>
    <w:lvl w:ilvl="0" w:tentative="0">
      <w:start w:val="1"/>
      <w:numFmt w:val="decimal"/>
      <w:suff w:val="nothing"/>
      <w:lvlText w:val="（%1）"/>
      <w:lvlJc w:val="left"/>
    </w:lvl>
  </w:abstractNum>
  <w:abstractNum w:abstractNumId="1">
    <w:nsid w:val="1BE571E1"/>
    <w:multiLevelType w:val="singleLevel"/>
    <w:tmpl w:val="1BE571E1"/>
    <w:lvl w:ilvl="0" w:tentative="0">
      <w:start w:val="1"/>
      <w:numFmt w:val="decimal"/>
      <w:suff w:val="nothing"/>
      <w:lvlText w:val="%1）"/>
      <w:lvlJc w:val="left"/>
    </w:lvl>
  </w:abstractNum>
  <w:abstractNum w:abstractNumId="2">
    <w:nsid w:val="796B271B"/>
    <w:multiLevelType w:val="singleLevel"/>
    <w:tmpl w:val="796B271B"/>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927402"/>
    <w:rsid w:val="007C0F2D"/>
    <w:rsid w:val="033E696D"/>
    <w:rsid w:val="03F436C3"/>
    <w:rsid w:val="05A618AB"/>
    <w:rsid w:val="06D461B5"/>
    <w:rsid w:val="082F1BCD"/>
    <w:rsid w:val="0AAD107E"/>
    <w:rsid w:val="0B2A34DD"/>
    <w:rsid w:val="0EFF07A0"/>
    <w:rsid w:val="10897E41"/>
    <w:rsid w:val="120D5E88"/>
    <w:rsid w:val="12AD766B"/>
    <w:rsid w:val="1392538D"/>
    <w:rsid w:val="152C2641"/>
    <w:rsid w:val="15431BC1"/>
    <w:rsid w:val="15485429"/>
    <w:rsid w:val="1566472C"/>
    <w:rsid w:val="16B74615"/>
    <w:rsid w:val="16F14633"/>
    <w:rsid w:val="177B7D38"/>
    <w:rsid w:val="1C651DCF"/>
    <w:rsid w:val="1CDA105D"/>
    <w:rsid w:val="1F093E7B"/>
    <w:rsid w:val="211C515D"/>
    <w:rsid w:val="27372579"/>
    <w:rsid w:val="288307FB"/>
    <w:rsid w:val="2983298D"/>
    <w:rsid w:val="2B6366C1"/>
    <w:rsid w:val="2FF94056"/>
    <w:rsid w:val="3110648D"/>
    <w:rsid w:val="317A735C"/>
    <w:rsid w:val="31E16592"/>
    <w:rsid w:val="32C44AE3"/>
    <w:rsid w:val="336D08D2"/>
    <w:rsid w:val="34515C51"/>
    <w:rsid w:val="37301088"/>
    <w:rsid w:val="39927402"/>
    <w:rsid w:val="3E8E35FE"/>
    <w:rsid w:val="44206155"/>
    <w:rsid w:val="462B18D7"/>
    <w:rsid w:val="49391322"/>
    <w:rsid w:val="4B7B7C81"/>
    <w:rsid w:val="4F76383D"/>
    <w:rsid w:val="4FFA6D45"/>
    <w:rsid w:val="53EF265A"/>
    <w:rsid w:val="55A86269"/>
    <w:rsid w:val="57B95737"/>
    <w:rsid w:val="60E609C1"/>
    <w:rsid w:val="633B34A5"/>
    <w:rsid w:val="66272548"/>
    <w:rsid w:val="68A1024E"/>
    <w:rsid w:val="68B065CC"/>
    <w:rsid w:val="6C1A634D"/>
    <w:rsid w:val="6DB42488"/>
    <w:rsid w:val="6FE81430"/>
    <w:rsid w:val="708865E8"/>
    <w:rsid w:val="70C62214"/>
    <w:rsid w:val="7657019E"/>
    <w:rsid w:val="7EC46EEC"/>
    <w:rsid w:val="7FE73577"/>
    <w:rsid w:val="BF8F2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26"/>
    <w:qFormat/>
    <w:uiPriority w:val="0"/>
    <w:pPr>
      <w:keepNext/>
      <w:keepLines/>
      <w:pageBreakBefore/>
      <w:spacing w:before="300" w:after="300" w:line="360" w:lineRule="auto"/>
      <w:jc w:val="center"/>
      <w:outlineLvl w:val="0"/>
    </w:pPr>
    <w:rPr>
      <w:rFonts w:ascii="Times New Roman" w:hAnsi="Times New Roman" w:eastAsia="宋体" w:cs="Times New Roman"/>
      <w:b/>
      <w:bCs/>
      <w:snapToGrid w:val="0"/>
      <w:kern w:val="0"/>
      <w:sz w:val="36"/>
      <w:szCs w:val="44"/>
      <w:lang w:val="en-US" w:eastAsia="zh-CN" w:bidi="ar-SA"/>
    </w:rPr>
  </w:style>
  <w:style w:type="paragraph" w:styleId="3">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Salutation"/>
    <w:basedOn w:val="1"/>
    <w:next w:val="1"/>
    <w:qFormat/>
    <w:uiPriority w:val="0"/>
    <w:pPr>
      <w:spacing w:line="240" w:lineRule="auto"/>
    </w:pPr>
    <w:rPr>
      <w:b/>
      <w:bCs/>
    </w:rPr>
  </w:style>
  <w:style w:type="paragraph" w:styleId="7">
    <w:name w:val="Block Text"/>
    <w:basedOn w:val="1"/>
    <w:qFormat/>
    <w:uiPriority w:val="0"/>
    <w:pPr>
      <w:spacing w:beforeLines="50" w:line="600" w:lineRule="exact"/>
      <w:ind w:left="42" w:leftChars="20" w:right="42" w:rightChars="20" w:firstLine="560"/>
    </w:pPr>
    <w:rPr>
      <w:rFonts w:ascii="宋体"/>
      <w:sz w:val="28"/>
    </w:rPr>
  </w:style>
  <w:style w:type="paragraph" w:styleId="8">
    <w:name w:val="Plain Text"/>
    <w:basedOn w:val="1"/>
    <w:qFormat/>
    <w:uiPriority w:val="0"/>
    <w:rPr>
      <w:rFonts w:ascii="宋体" w:hAnsi="Courier New" w:cs="Courier New"/>
      <w:szCs w:val="21"/>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able of figures"/>
    <w:basedOn w:val="1"/>
    <w:next w:val="1"/>
    <w:qFormat/>
    <w:uiPriority w:val="0"/>
    <w:pPr>
      <w:ind w:leftChars="200" w:hanging="200" w:hangingChars="200"/>
    </w:pPr>
  </w:style>
  <w:style w:type="paragraph" w:styleId="13">
    <w:name w:val="Normal (Web)"/>
    <w:basedOn w:val="1"/>
    <w:qFormat/>
    <w:uiPriority w:val="0"/>
    <w:pPr>
      <w:widowControl/>
      <w:spacing w:before="100" w:beforeAutospacing="1" w:after="100" w:afterAutospacing="1"/>
      <w:jc w:val="left"/>
    </w:pPr>
    <w:rPr>
      <w:rFonts w:ascii="宋体" w:hAnsi="宋体"/>
      <w:kern w:val="0"/>
      <w:sz w:val="24"/>
    </w:rPr>
  </w:style>
  <w:style w:type="table" w:styleId="15">
    <w:name w:val="Table Grid"/>
    <w:basedOn w:val="1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TML Code"/>
    <w:basedOn w:val="16"/>
    <w:qFormat/>
    <w:uiPriority w:val="0"/>
    <w:rPr>
      <w:rFonts w:ascii="Courier New" w:hAnsi="Courier New"/>
      <w:sz w:val="20"/>
    </w:rPr>
  </w:style>
  <w:style w:type="paragraph" w:customStyle="1" w:styleId="19">
    <w:name w:val="表格文字"/>
    <w:basedOn w:val="20"/>
    <w:autoRedefine/>
    <w:qFormat/>
    <w:uiPriority w:val="0"/>
    <w:pPr>
      <w:spacing w:before="10" w:beforeLines="10" w:after="10" w:afterLines="10" w:line="0" w:lineRule="atLeast"/>
      <w:jc w:val="center"/>
    </w:pPr>
    <w:rPr>
      <w:rFonts w:ascii="Times New Roman" w:hAnsi="Times New Roman" w:eastAsia="宋体" w:cs="Times New Roman"/>
      <w:kern w:val="2"/>
      <w:sz w:val="18"/>
      <w:szCs w:val="21"/>
      <w:lang w:val="en-US" w:eastAsia="zh-CN" w:bidi="ar-SA"/>
    </w:rPr>
  </w:style>
  <w:style w:type="paragraph" w:customStyle="1" w:styleId="20">
    <w:name w:val="表头"/>
    <w:basedOn w:val="1"/>
    <w:qFormat/>
    <w:uiPriority w:val="0"/>
    <w:pPr>
      <w:spacing w:line="240" w:lineRule="auto"/>
      <w:ind w:left="0" w:leftChars="0" w:firstLine="0" w:firstLineChars="0"/>
      <w:jc w:val="center"/>
    </w:pPr>
    <w:rPr>
      <w:rFonts w:ascii="Times New Roman" w:hAnsi="Times New Roman" w:eastAsia="宋体" w:cs="宋体"/>
      <w:b/>
      <w:bCs/>
      <w:kern w:val="0"/>
      <w:sz w:val="24"/>
      <w:szCs w:val="22"/>
      <w:lang w:val="zh-CN" w:bidi="zh-CN"/>
    </w:rPr>
  </w:style>
  <w:style w:type="paragraph" w:customStyle="1" w:styleId="21">
    <w:name w:val="参加人员"/>
    <w:basedOn w:val="1"/>
    <w:qFormat/>
    <w:uiPriority w:val="0"/>
    <w:pPr>
      <w:spacing w:line="500" w:lineRule="atLeast"/>
    </w:pPr>
    <w:rPr>
      <w:sz w:val="24"/>
    </w:rPr>
  </w:style>
  <w:style w:type="paragraph" w:customStyle="1" w:styleId="22">
    <w:name w:val="5E8A942B92774C978FFC2A16BCB09EA4"/>
    <w:qFormat/>
    <w:uiPriority w:val="99"/>
    <w:pPr>
      <w:spacing w:after="200" w:line="276" w:lineRule="auto"/>
    </w:pPr>
    <w:rPr>
      <w:rFonts w:ascii="Calibri" w:hAnsi="Calibri" w:eastAsia="宋体" w:cs="Times New Roman"/>
      <w:sz w:val="22"/>
      <w:szCs w:val="22"/>
      <w:lang w:val="en-US" w:eastAsia="en-US" w:bidi="ar-SA"/>
    </w:rPr>
  </w:style>
  <w:style w:type="paragraph" w:customStyle="1" w:styleId="23">
    <w:name w:val="Table Text"/>
    <w:basedOn w:val="1"/>
    <w:autoRedefine/>
    <w:semiHidden/>
    <w:qFormat/>
    <w:uiPriority w:val="0"/>
    <w:rPr>
      <w:rFonts w:ascii="宋体" w:hAnsi="宋体" w:eastAsia="宋体" w:cs="宋体"/>
      <w:sz w:val="20"/>
      <w:szCs w:val="20"/>
      <w:lang w:val="en-US" w:eastAsia="en-US" w:bidi="ar-SA"/>
    </w:rPr>
  </w:style>
  <w:style w:type="table" w:customStyle="1" w:styleId="24">
    <w:name w:val="Table Normal"/>
    <w:autoRedefine/>
    <w:semiHidden/>
    <w:unhideWhenUsed/>
    <w:qFormat/>
    <w:uiPriority w:val="0"/>
    <w:tblPr>
      <w:tblCellMar>
        <w:top w:w="0" w:type="dxa"/>
        <w:left w:w="0" w:type="dxa"/>
        <w:bottom w:w="0" w:type="dxa"/>
        <w:right w:w="0" w:type="dxa"/>
      </w:tblCellMar>
    </w:tblPr>
  </w:style>
  <w:style w:type="paragraph" w:customStyle="1" w:styleId="25">
    <w:name w:val="XQ报告表正文"/>
    <w:basedOn w:val="1"/>
    <w:qFormat/>
    <w:uiPriority w:val="0"/>
    <w:pPr>
      <w:adjustRightInd w:val="0"/>
      <w:snapToGrid w:val="0"/>
      <w:ind w:firstLine="200" w:firstLineChars="200"/>
    </w:pPr>
    <w:rPr>
      <w:rFonts w:hAnsi="宋体"/>
      <w:bCs/>
      <w:kern w:val="0"/>
      <w:szCs w:val="22"/>
      <w:lang w:val="zh-CN"/>
    </w:rPr>
  </w:style>
  <w:style w:type="character" w:customStyle="1" w:styleId="26">
    <w:name w:val="标题 1 字符"/>
    <w:link w:val="2"/>
    <w:autoRedefine/>
    <w:qFormat/>
    <w:uiPriority w:val="0"/>
    <w:rPr>
      <w:rFonts w:ascii="Times New Roman" w:hAnsi="Times New Roman" w:eastAsia="宋体" w:cs="Times New Roman"/>
      <w:b/>
      <w:bCs/>
      <w:snapToGrid w:val="0"/>
      <w:kern w:val="0"/>
      <w:sz w:val="36"/>
      <w:szCs w:val="44"/>
      <w:lang w:val="en-US" w:eastAsia="zh-CN" w:bidi="ar-SA"/>
    </w:rPr>
  </w:style>
  <w:style w:type="character" w:customStyle="1" w:styleId="27">
    <w:name w:val="font21"/>
    <w:basedOn w:val="16"/>
    <w:qFormat/>
    <w:uiPriority w:val="0"/>
    <w:rPr>
      <w:rFonts w:ascii="宋体" w:hAnsi="宋体" w:eastAsia="宋体" w:cs="宋体"/>
      <w:color w:val="000000"/>
      <w:sz w:val="22"/>
      <w:szCs w:val="22"/>
      <w:u w:val="none"/>
    </w:rPr>
  </w:style>
  <w:style w:type="paragraph" w:customStyle="1" w:styleId="28">
    <w:name w:val="正文1"/>
    <w:basedOn w:val="29"/>
    <w:qFormat/>
    <w:uiPriority w:val="0"/>
    <w:pPr>
      <w:ind w:firstLine="200" w:firstLineChars="200"/>
      <w:jc w:val="both"/>
    </w:pPr>
    <w:rPr>
      <w:b w:val="0"/>
    </w:rPr>
  </w:style>
  <w:style w:type="paragraph" w:customStyle="1" w:styleId="29">
    <w:name w:val="标题1"/>
    <w:basedOn w:val="1"/>
    <w:qFormat/>
    <w:uiPriority w:val="0"/>
    <w:pPr>
      <w:adjustRightInd w:val="0"/>
      <w:snapToGrid w:val="0"/>
      <w:spacing w:line="360" w:lineRule="auto"/>
      <w:jc w:val="left"/>
    </w:pPr>
    <w:rPr>
      <w:rFonts w:cs="宋体"/>
      <w:b/>
      <w:kern w:val="0"/>
      <w:sz w:val="24"/>
      <w:szCs w:val="21"/>
    </w:rPr>
  </w:style>
  <w:style w:type="paragraph" w:customStyle="1" w:styleId="3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31">
    <w:name w:val="font11"/>
    <w:basedOn w:val="16"/>
    <w:qFormat/>
    <w:uiPriority w:val="0"/>
    <w:rPr>
      <w:rFonts w:hint="eastAsia" w:ascii="宋体" w:hAnsi="宋体" w:eastAsia="宋体" w:cs="宋体"/>
      <w:color w:val="0F1115"/>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405dcc62-79de-4deb-b25b-281099066fe6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715A54FF</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f2f9ef9a-3e8e-40ea-a438-b3302ac777c2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715A54FF</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4406d5aa-120c-4dc6-b2b5-18625a02bed3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715A54FF</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24b7ca56-3b9b-47fc-8574-6c01da924dd7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715A54FF</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fbd6eb43-04a4-4309-83a1-efe083eff104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35418555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c7466807-7d96-4912-9dab-cd0a6c46d70f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35418555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402fa5bb-4026-48f0-9a5b-ecae7e56e59b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35418555</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f03e3738-0f2e-4984-9485-cdce75874f0d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35418555</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d458e85c-af87-486a-8431-097ce94bb838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51DFB22F</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2bd93da9-793a-45b2-ae8b-0a05b6497c60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51DFB22F</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c096fd00-1536-40b7-8871-39f17f5876c2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51DFB22F</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5555e4e0-5e76-473c-a0c5-939cc4887327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51DFB22F</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640127e2-038f-4adb-9fa9-ca934dba96ab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22E0B653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f7eb9d02-d85d-4053-815d-7f00cdc1d115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22E0B653</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9888dadc-6e68-41ab-92cf-61044fbcce11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22E0B653</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976c9d30-bf66-4ebc-9bf1-4cc5f88976de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12EDB02D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67581e91-46ce-4c12-aeb9-d221c7194df4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47501E15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38e94354-c382-4ac8-8e35-4cca7b0be5db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36072DB1</paraID>
      <start xmlns="http://schemas.wps.cn/vas-ai-hub/contract-review">81</start>
      <end xmlns="http://schemas.wps.cn/vas-ai-hub/contract-review">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41845fed-bfb6-4d6b-b6f7-d4f022da0faf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explain xmlns="http://schemas.wps.cn/vas-ai-hub/contract-review">文本全半角错误。</explain>
      <paraID xmlns="http://schemas.wps.cn/vas-ai-hub/contract-review">41F90B70</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eae4abd5-e026-47be-b09b-e9bc6bb0e455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explain xmlns="http://schemas.wps.cn/vas-ai-hub/contract-review">文本全半角错误。</explain>
      <paraID xmlns="http://schemas.wps.cn/vas-ai-hub/contract-review">41F90B70</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bdd9364d-c15e-4bf8-bcab-bdc652f2102b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697BDD66</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c8af5713-ddca-4145-907f-dd91b9f44647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697BDD66</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3d579f18-525a-4c09-8bb8-8c0e74139ab0</errorID>
      <errorWord xmlns="http://schemas.wps.cn/vas-ai-hub/contract-review">历史遗留矿山生态修复</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历史遗留废弃矿山生态修复</item>
      </candidateList>
      <explain xmlns="http://schemas.wps.cn/vas-ai-hub/contract-review">词汇“历史遗留废弃矿山生态修复”在特定场景下为固定表述形式，请确认此处的“历史遗留矿山生态修复”是否存在不当。</explain>
      <paraID xmlns="http://schemas.wps.cn/vas-ai-hub/contract-review">2DC5D342</paraID>
      <start xmlns="http://schemas.wps.cn/vas-ai-hub/contract-review">5</start>
      <end xmlns="http://schemas.wps.cn/vas-ai-hub/contract-review">17</end>
      <status xmlns="http://schemas.wps.cn/vas-ai-hub/contract-review">modified</status>
      <modifiedWord xmlns="http://schemas.wps.cn/vas-ai-hub/contract-review">历史遗留废弃矿山生态修复</modifiedWord>
      <trackRevisions xmlns="http://schemas.wps.cn/vas-ai-hub/contract-review">false</trackRevisions>
    </reviewItem>
    <reviewItem xmlns="http://schemas.wps.cn/vas-ai-hub/contract-review">
      <errorID xmlns="http://schemas.wps.cn/vas-ai-hub/contract-review">e4f8eb96-2480-41a1-93e2-ba1cf055ba32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37CC9766</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b16914d6-04b0-47f5-b9e5-fed4533a16f1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86F5FB3</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2c76faf1-e252-46d0-b64e-b3e863fcbfe7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5DC59B4C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521d079a-08de-4078-81d8-92646ea1c073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40DC54CF</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21e57f10-b580-41af-9eed-dc19d64a4e7f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162F0464</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65ec41b0-388e-4ff7-a642-ceb7b33e3769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162F0464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cd7e3c48-8fdb-4510-9cdc-8d9f5c8d393f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1743846B</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e7d54853-fe25-4491-a747-7107d3980bae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1743846B</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f3768350-edd5-4088-bbc2-b4ffdf640c02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4CCD9684</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8c9b9f60-f0fc-413e-9dbf-5e051f780f83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4CCD9684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3ff3f159-8088-4600-ac72-c46c7a09cb8f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597F5152</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b02c67d6-2078-4010-8b29-b6ffeb9a5452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597F5152</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194a3445-96f2-43c7-8b22-9f545655754a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3745E210</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66d3b915-5452-4691-8ba4-9d0ccb14727c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122E114C</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eb92afb4-c701-4837-b453-b3532b8b306c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122E114C</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02ec8061-6e36-42a7-b852-8b6dc7a0a438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7FF06610</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481afad4-6c41-4655-9565-eda4595a9ad6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7FF06610</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ef0e83fb-d80e-4683-8dd8-f78ac06f872f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63E98FF6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0538752d-d83b-4087-a57d-92b9c912fc17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63E98FF6</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f8a648e2-6cd8-49f4-8be4-76617a82f7d5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34416ED</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2ec127c9-f725-4da3-a87a-7040b9add72b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34416ED</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da6fed56-41a9-4af8-9fc0-a384f256db03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322F125</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aaa52ecb-c1a6-45ce-a38c-f66d8d1b505d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explain xmlns="http://schemas.wps.cn/vas-ai-hub/contract-review">文本全半角错误。</explain>
      <paraID xmlns="http://schemas.wps.cn/vas-ai-hub/contract-review">6C31FC4C</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0dcf8769-28e0-420c-870c-2ece4efc324c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explain xmlns="http://schemas.wps.cn/vas-ai-hub/contract-review">文本全半角错误。</explain>
      <paraID xmlns="http://schemas.wps.cn/vas-ai-hub/contract-review">6C31FC4C</paraID>
      <start xmlns="http://schemas.wps.cn/vas-ai-hub/contract-review">103</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0bb58c87-d34b-48f3-b7d5-a2453e6e1064</errorID>
      <errorWord xmlns="http://schemas.wps.cn/vas-ai-hub/contract-review">等米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469370FF</paraID>
      <start xmlns="http://schemas.wps.cn/vas-ai-hub/contract-review">36</start>
      <end xmlns="http://schemas.wps.cn/vas-ai-hub/contract-review">37</end>
      <status xmlns="http://schemas.wps.cn/vas-ai-hub/contract-review">modified</status>
      <modifiedWord xmlns="http://schemas.wps.cn/vas-ai-hub/contract-review">等</modifiedWord>
      <trackRevisions xmlns="http://schemas.wps.cn/vas-ai-hub/contract-review">false</trackRevisions>
    </reviewItem>
    <reviewItem xmlns="http://schemas.wps.cn/vas-ai-hub/contract-review">
      <errorID xmlns="http://schemas.wps.cn/vas-ai-hub/contract-review">269420c2-6568-4646-b416-d42226e1f56d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1894F0FA</paraID>
      <start xmlns="http://schemas.wps.cn/vas-ai-hub/contract-review">221</start>
      <end xmlns="http://schemas.wps.cn/vas-ai-hub/contract-review">222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d040cd02-ac48-4154-bf2f-6b0e79989b56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122d27df-7b0a-4862-aa44-971be43ee2a4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cc356c73-4c69-4938-86fd-3a339df0e286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be7f494f-f1be-4186-a739-f518f7473ac6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6afa172d-d1ca-4dfe-b5f1-27771a9d5aa0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e110b4b7-c4aa-43fa-9642-ac486c22361a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7E9B5432</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51bb408e-8a67-451a-8eb5-31ac78143ea4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44E54048</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e882c5a2-c8bb-4ebb-8b35-9cdf20ab5471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44E54048</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e1756ca6-af3e-4737-80c3-297406fc0918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55B3CC72</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9466b6f8-6f46-4e31-9732-99ca79cc003e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55B3CC72</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96208376-3ecd-4b03-9e47-2f25e187fe59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6CA19906</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0bc2dd5f-9c1e-4a61-8eeb-2f86406cc161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6CA19906</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041dc2f9-ed78-4b05-b3bb-fcdf0c0b6c9f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440A5EAA</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80b34fb4-70d7-42b8-a8f7-bf478991e7f1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440A5EAA</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46555292-8206-4942-a950-5457fb4229df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5126663C</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7fa2565a-8da1-4bff-8697-74f63293edce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5126663C</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e94faf5c-00e0-4e10-8a09-0436593e56d1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B1AE411</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ac2a6da4-a0cf-406c-a0ce-e6c76d6b5cc5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B1AE411</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36cbd4fd-d3a5-468a-8227-2cb2ef3c8960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622CF15C</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7cb4ced0-c580-4726-9dbb-9ad362727a90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622CF15C</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ed05f9d4-2f20-496d-9e2e-199c1bfc86ed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38C91F0</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88cea075-36bf-4b16-a900-66c88ac95bf3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38C91F0</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f0a5a0bf-6260-455d-8fd7-96696995a172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273BBF99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f44bc7cc-3057-401c-8c7d-44d0bbb55564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273BBF99</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5e64f727-ccfc-4b8c-a38e-3abe52eca0ff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22E64C26</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e30effcb-8c08-42d4-be2b-7428317c8034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22E64C26</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96d46e08-6547-4cb6-bdf9-8dbbdb2b4554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1E2E6784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acf13128-18a8-42a0-9768-d12c87e84ada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1E2E6784</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4b0c6cf0-a66c-4aea-bfbf-dd180750c778</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79045482</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a8131e67-3354-4dc3-a521-a451ba9e85a2</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3F261664</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1ffb9935-ba10-4d61-b829-1d0c083efb29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357261BF</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6e0a81db-81db-4674-ac43-0de764f74ed6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73F33F13</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a2f7425a-7e08-4687-ace0-7e7374a120a1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73F33F13</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77ae0296-613e-4266-8f35-8e96b08a698b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3A418943</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41442eb6-aae8-4d58-9e17-814d593d88c0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5A26C14</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683dff-5650-4807-8b46-35200c21799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444</Words>
  <Characters>618</Characters>
  <Lines>0</Lines>
  <Paragraphs>0</Paragraphs>
  <TotalTime>272</TotalTime>
  <ScaleCrop>false</ScaleCrop>
  <LinksUpToDate>false</LinksUpToDate>
  <CharactersWithSpaces>704</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2026-07-13T11:11:00Z</dcterms:created>
  <dc:creator> </dc:creator>
  <cp:lastModifiedBy>New  Thang</cp:lastModifiedBy>
  <dcterms:modified xsi:type="dcterms:W3CDTF">2026-08-25T15:51:56Z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B16B5014851CE6C79C498D6A74155CCE_43</vt:lpwstr>
  </property>
  <property fmtid="{D5CDD505-2E9C-101B-9397-08002B2CF9AE}" pid="4" name="KSOTemplateDocerSaveRecord">
    <vt:lpwstr>eyJoZGlkIjoiYmMxY2E0Mjg1MmM5ZTM5NDE1ZjhjOTA5YzgyNThlZTIiLCJ1c2VySWQiOiIzODE3NDIwMzMifQ==</vt:lpwstr>
  </property>
</Properties>
</file>