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FA3EB">
      <w:pPr>
        <w:rPr>
          <w:rFonts w:hint="eastAsia" w:ascii="Times New Roman" w:hAnsi="Times New Roman" w:eastAsia="宋体" w:cs="Times New Roman"/>
          <w:color w:val="auto"/>
          <w:sz w:val="36"/>
          <w:szCs w:val="36"/>
          <w:highlight w:val="none"/>
          <w:lang w:val="en-US" w:eastAsia="zh-CN"/>
        </w:rPr>
      </w:pPr>
      <w:bookmarkStart w:id="0" w:name="_Hlk57883707"/>
      <w:bookmarkStart w:id="1" w:name="_Toc5097"/>
      <w:r>
        <w:rPr>
          <w:rFonts w:hint="eastAsia"/>
          <w:color w:val="auto"/>
          <w:highlight w:val="none"/>
          <w:lang w:val="en-US" w:eastAsia="zh-CN"/>
        </w:rPr>
        <w:t xml:space="preserve"> </w:t>
      </w:r>
    </w:p>
    <w:p w14:paraId="62E461F0">
      <w:pPr>
        <w:rPr>
          <w:rFonts w:hint="default" w:ascii="Times New Roman" w:hAnsi="Times New Roman" w:eastAsia="仿宋_GB2312" w:cs="Times New Roman"/>
          <w:color w:val="auto"/>
          <w:sz w:val="36"/>
          <w:szCs w:val="36"/>
          <w:highlight w:val="none"/>
        </w:rPr>
      </w:pPr>
    </w:p>
    <w:p w14:paraId="633DB582">
      <w:pPr>
        <w:rPr>
          <w:rFonts w:hint="default" w:ascii="Times New Roman" w:hAnsi="Times New Roman" w:eastAsia="仿宋_GB2312" w:cs="Times New Roman"/>
          <w:color w:val="auto"/>
          <w:sz w:val="36"/>
          <w:szCs w:val="36"/>
          <w:highlight w:val="none"/>
        </w:rPr>
      </w:pPr>
    </w:p>
    <w:bookmarkEnd w:id="0"/>
    <w:p w14:paraId="7914C11C">
      <w:pPr>
        <w:adjustRightInd w:val="0"/>
        <w:snapToGrid w:val="0"/>
        <w:jc w:val="center"/>
        <w:outlineLvl w:val="0"/>
        <w:rPr>
          <w:rFonts w:hint="default" w:ascii="Times New Roman" w:hAnsi="Times New Roman" w:eastAsia="方正小标宋_GBK" w:cs="Times New Roman"/>
          <w:bCs/>
          <w:color w:val="auto"/>
          <w:sz w:val="72"/>
          <w:szCs w:val="72"/>
          <w:highlight w:val="none"/>
        </w:rPr>
      </w:pPr>
      <w:r>
        <w:rPr>
          <w:rFonts w:hint="default" w:ascii="Times New Roman" w:hAnsi="Times New Roman" w:eastAsia="方正小标宋_GBK" w:cs="Times New Roman"/>
          <w:bCs/>
          <w:color w:val="auto"/>
          <w:sz w:val="72"/>
          <w:szCs w:val="72"/>
          <w:highlight w:val="none"/>
        </w:rPr>
        <w:t>建设项目环境影响报告表</w:t>
      </w:r>
    </w:p>
    <w:p w14:paraId="5EF1EEA2">
      <w:pPr>
        <w:adjustRightInd w:val="0"/>
        <w:snapToGrid w:val="0"/>
        <w:spacing w:before="192" w:beforeLines="80"/>
        <w:jc w:val="center"/>
        <w:rPr>
          <w:rFonts w:hint="default" w:ascii="Times New Roman" w:hAnsi="Times New Roman" w:eastAsia="楷体_GB2312" w:cs="Times New Roman"/>
          <w:bCs/>
          <w:color w:val="auto"/>
          <w:sz w:val="48"/>
          <w:szCs w:val="48"/>
          <w:highlight w:val="none"/>
        </w:rPr>
      </w:pPr>
      <w:r>
        <w:rPr>
          <w:rFonts w:hint="default" w:ascii="Times New Roman" w:hAnsi="Times New Roman" w:eastAsia="楷体_GB2312" w:cs="Times New Roman"/>
          <w:bCs/>
          <w:color w:val="auto"/>
          <w:sz w:val="48"/>
          <w:szCs w:val="48"/>
          <w:highlight w:val="none"/>
        </w:rPr>
        <w:t>（</w:t>
      </w:r>
      <w:r>
        <w:rPr>
          <w:rFonts w:hint="eastAsia" w:ascii="Times New Roman" w:hAnsi="Times New Roman" w:eastAsia="楷体_GB2312" w:cs="Times New Roman"/>
          <w:bCs/>
          <w:color w:val="auto"/>
          <w:sz w:val="48"/>
          <w:szCs w:val="48"/>
          <w:highlight w:val="none"/>
          <w:lang w:val="en-US" w:eastAsia="zh-CN"/>
        </w:rPr>
        <w:t>污染</w:t>
      </w:r>
      <w:r>
        <w:rPr>
          <w:rFonts w:hint="default" w:ascii="Times New Roman" w:hAnsi="Times New Roman" w:eastAsia="楷体_GB2312" w:cs="Times New Roman"/>
          <w:bCs/>
          <w:color w:val="auto"/>
          <w:sz w:val="48"/>
          <w:szCs w:val="48"/>
          <w:highlight w:val="none"/>
        </w:rPr>
        <w:t>影响类）</w:t>
      </w:r>
    </w:p>
    <w:p w14:paraId="04C877C8">
      <w:pPr>
        <w:adjustRightInd w:val="0"/>
        <w:snapToGrid w:val="0"/>
        <w:spacing w:line="288" w:lineRule="auto"/>
        <w:jc w:val="center"/>
        <w:outlineLvl w:val="0"/>
        <w:rPr>
          <w:rFonts w:hint="default" w:ascii="Times New Roman" w:hAnsi="Times New Roman" w:eastAsia="华文仿宋" w:cs="Times New Roman"/>
          <w:color w:val="auto"/>
          <w:kern w:val="44"/>
          <w:sz w:val="44"/>
          <w:szCs w:val="44"/>
          <w:highlight w:val="none"/>
        </w:rPr>
      </w:pPr>
      <w:bookmarkStart w:id="2" w:name="_Hlk57883728"/>
    </w:p>
    <w:p w14:paraId="04775AB3">
      <w:pPr>
        <w:jc w:val="center"/>
        <w:rPr>
          <w:rFonts w:hint="default" w:ascii="Times New Roman" w:hAnsi="Times New Roman" w:eastAsia="仿宋" w:cs="Times New Roman"/>
          <w:color w:val="auto"/>
          <w:sz w:val="52"/>
          <w:szCs w:val="52"/>
          <w:highlight w:val="none"/>
        </w:rPr>
      </w:pPr>
    </w:p>
    <w:p w14:paraId="10350860">
      <w:pPr>
        <w:ind w:firstLine="1040"/>
        <w:rPr>
          <w:rFonts w:hint="default" w:ascii="Times New Roman" w:hAnsi="Times New Roman" w:eastAsia="仿宋" w:cs="Times New Roman"/>
          <w:color w:val="auto"/>
          <w:sz w:val="44"/>
          <w:szCs w:val="44"/>
          <w:highlight w:val="none"/>
        </w:rPr>
      </w:pPr>
    </w:p>
    <w:p w14:paraId="34C858A4">
      <w:pPr>
        <w:pStyle w:val="30"/>
        <w:rPr>
          <w:rFonts w:hint="default" w:ascii="Times New Roman" w:hAnsi="Times New Roman" w:eastAsia="仿宋" w:cs="Times New Roman"/>
          <w:color w:val="auto"/>
          <w:sz w:val="44"/>
          <w:szCs w:val="44"/>
          <w:highlight w:val="none"/>
        </w:rPr>
      </w:pPr>
    </w:p>
    <w:p w14:paraId="48E1BBFF">
      <w:pPr>
        <w:rPr>
          <w:rFonts w:hint="default" w:ascii="Times New Roman" w:hAnsi="Times New Roman" w:eastAsia="仿宋" w:cs="Times New Roman"/>
          <w:color w:val="auto"/>
          <w:sz w:val="44"/>
          <w:szCs w:val="44"/>
          <w:highlight w:val="none"/>
        </w:rPr>
      </w:pPr>
    </w:p>
    <w:p w14:paraId="7C17FBC1">
      <w:pPr>
        <w:pStyle w:val="30"/>
        <w:rPr>
          <w:rFonts w:hint="default" w:ascii="Times New Roman" w:hAnsi="Times New Roman" w:eastAsia="仿宋" w:cs="Times New Roman"/>
          <w:color w:val="auto"/>
          <w:sz w:val="44"/>
          <w:szCs w:val="44"/>
          <w:highlight w:val="none"/>
        </w:rPr>
      </w:pPr>
    </w:p>
    <w:p w14:paraId="0E1286B7">
      <w:pPr>
        <w:rPr>
          <w:rFonts w:hint="default"/>
          <w:color w:val="auto"/>
          <w:highlight w:val="none"/>
        </w:rPr>
      </w:pPr>
    </w:p>
    <w:p w14:paraId="65AB4B34">
      <w:pPr>
        <w:ind w:firstLine="1040"/>
        <w:rPr>
          <w:rFonts w:hint="default" w:ascii="Times New Roman" w:hAnsi="Times New Roman" w:eastAsia="仿宋" w:cs="Times New Roman"/>
          <w:color w:val="auto"/>
          <w:sz w:val="44"/>
          <w:szCs w:val="44"/>
          <w:highlight w:val="none"/>
        </w:rPr>
      </w:pPr>
    </w:p>
    <w:p w14:paraId="79C954F0">
      <w:pPr>
        <w:pStyle w:val="30"/>
        <w:rPr>
          <w:rFonts w:hint="default" w:ascii="Times New Roman" w:hAnsi="Times New Roman" w:eastAsia="仿宋" w:cs="Times New Roman"/>
          <w:color w:val="auto"/>
          <w:sz w:val="44"/>
          <w:szCs w:val="44"/>
          <w:highlight w:val="none"/>
        </w:rPr>
      </w:pPr>
    </w:p>
    <w:p w14:paraId="509D75D9">
      <w:pPr>
        <w:rPr>
          <w:rFonts w:hint="default"/>
          <w:color w:val="auto"/>
          <w:highlight w:val="none"/>
        </w:rPr>
      </w:pPr>
    </w:p>
    <w:p w14:paraId="3D05F7D4">
      <w:pPr>
        <w:ind w:firstLine="1040"/>
        <w:rPr>
          <w:rFonts w:hint="default" w:ascii="Times New Roman" w:hAnsi="Times New Roman" w:eastAsia="仿宋" w:cs="Times New Roman"/>
          <w:color w:val="auto"/>
          <w:sz w:val="44"/>
          <w:szCs w:val="44"/>
          <w:highlight w:val="none"/>
        </w:rPr>
      </w:pPr>
    </w:p>
    <w:p w14:paraId="5E479555">
      <w:pPr>
        <w:ind w:firstLine="1040"/>
        <w:rPr>
          <w:rFonts w:hint="default" w:ascii="Times New Roman" w:hAnsi="Times New Roman" w:eastAsia="仿宋" w:cs="Times New Roman"/>
          <w:color w:val="auto"/>
          <w:sz w:val="44"/>
          <w:szCs w:val="44"/>
          <w:highlight w:val="none"/>
        </w:rPr>
      </w:pPr>
    </w:p>
    <w:bookmarkEnd w:id="2"/>
    <w:p w14:paraId="03AFE504">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default" w:ascii="Times New Roman" w:hAnsi="Times New Roman" w:eastAsia="仿宋_GB2312" w:cs="Times New Roman"/>
          <w:b/>
          <w:bCs/>
          <w:color w:val="auto"/>
          <w:sz w:val="36"/>
          <w:szCs w:val="36"/>
          <w:highlight w:val="none"/>
          <w:u w:val="single"/>
        </w:rPr>
      </w:pPr>
      <w:r>
        <w:rPr>
          <w:rFonts w:hint="default" w:ascii="Times New Roman" w:hAnsi="Times New Roman" w:eastAsia="仿宋_GB2312" w:cs="Times New Roman"/>
          <w:b/>
          <w:bCs/>
          <w:color w:val="auto"/>
          <w:sz w:val="36"/>
          <w:szCs w:val="36"/>
          <w:highlight w:val="none"/>
        </w:rPr>
        <w:t>项目名称：</w:t>
      </w:r>
      <w:r>
        <w:rPr>
          <w:rFonts w:hint="eastAsia" w:eastAsia="仿宋_GB2312" w:cs="Times New Roman"/>
          <w:b/>
          <w:bCs/>
          <w:color w:val="auto"/>
          <w:sz w:val="32"/>
          <w:szCs w:val="32"/>
          <w:highlight w:val="none"/>
          <w:u w:val="single"/>
          <w:lang w:val="en-US" w:eastAsia="zh-CN"/>
        </w:rPr>
        <w:t>翠矶山安置小区二期集中供热热源站建设项目</w:t>
      </w:r>
      <w:r>
        <w:rPr>
          <w:rFonts w:hint="default" w:ascii="Times New Roman" w:hAnsi="Times New Roman" w:eastAsia="仿宋_GB2312" w:cs="Times New Roman"/>
          <w:b/>
          <w:bCs/>
          <w:color w:val="auto"/>
          <w:sz w:val="32"/>
          <w:szCs w:val="32"/>
          <w:highlight w:val="none"/>
          <w:u w:val="single"/>
        </w:rPr>
        <w:t xml:space="preserve">                </w:t>
      </w:r>
    </w:p>
    <w:p w14:paraId="51160BF3">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default" w:ascii="Times New Roman" w:hAnsi="Times New Roman" w:eastAsia="仿宋_GB2312" w:cs="Times New Roman"/>
          <w:b/>
          <w:bCs/>
          <w:color w:val="auto"/>
          <w:sz w:val="36"/>
          <w:szCs w:val="36"/>
          <w:highlight w:val="none"/>
          <w:u w:val="single"/>
        </w:rPr>
      </w:pPr>
      <w:r>
        <w:rPr>
          <w:rFonts w:hint="default" w:ascii="Times New Roman" w:hAnsi="Times New Roman" w:eastAsia="仿宋_GB2312" w:cs="Times New Roman"/>
          <w:b/>
          <w:bCs/>
          <w:color w:val="auto"/>
          <w:sz w:val="36"/>
          <w:szCs w:val="36"/>
          <w:highlight w:val="none"/>
        </w:rPr>
        <w:t>建设单位（盖章）：</w:t>
      </w:r>
      <w:r>
        <w:rPr>
          <w:rFonts w:hint="eastAsia" w:eastAsia="仿宋_GB2312" w:cs="Times New Roman"/>
          <w:b/>
          <w:bCs/>
          <w:color w:val="auto"/>
          <w:sz w:val="36"/>
          <w:szCs w:val="36"/>
          <w:highlight w:val="none"/>
          <w:u w:val="single"/>
          <w:lang w:val="en-US" w:eastAsia="zh-CN"/>
        </w:rPr>
        <w:t>太白县秦华热力有限公司</w:t>
      </w:r>
    </w:p>
    <w:p w14:paraId="5527ABAF">
      <w:pPr>
        <w:keepNext w:val="0"/>
        <w:keepLines w:val="0"/>
        <w:pageBreakBefore w:val="0"/>
        <w:widowControl w:val="0"/>
        <w:kinsoku/>
        <w:wordWrap/>
        <w:overflowPunct/>
        <w:topLinePunct w:val="0"/>
        <w:autoSpaceDE/>
        <w:autoSpaceDN/>
        <w:bidi w:val="0"/>
        <w:adjustRightInd w:val="0"/>
        <w:snapToGrid w:val="0"/>
        <w:spacing w:line="288" w:lineRule="auto"/>
        <w:textAlignment w:val="auto"/>
        <w:rPr>
          <w:rFonts w:hint="default" w:ascii="Times New Roman" w:hAnsi="Times New Roman" w:eastAsia="仿宋_GB2312" w:cs="Times New Roman"/>
          <w:color w:val="auto"/>
          <w:sz w:val="36"/>
          <w:szCs w:val="36"/>
          <w:highlight w:val="none"/>
          <w:u w:val="single"/>
        </w:rPr>
      </w:pPr>
      <w:r>
        <w:rPr>
          <w:rFonts w:hint="default" w:ascii="Times New Roman" w:hAnsi="Times New Roman" w:eastAsia="仿宋_GB2312" w:cs="Times New Roman"/>
          <w:b/>
          <w:bCs/>
          <w:color w:val="auto"/>
          <w:sz w:val="36"/>
          <w:szCs w:val="36"/>
          <w:highlight w:val="none"/>
        </w:rPr>
        <w:t>编制日期：</w:t>
      </w:r>
      <w:r>
        <w:rPr>
          <w:rFonts w:hint="default" w:ascii="Times New Roman" w:hAnsi="Times New Roman" w:eastAsia="仿宋_GB2312" w:cs="Times New Roman"/>
          <w:b/>
          <w:bCs/>
          <w:color w:val="auto"/>
          <w:sz w:val="36"/>
          <w:szCs w:val="36"/>
          <w:highlight w:val="none"/>
          <w:u w:val="single"/>
        </w:rPr>
        <w:t xml:space="preserve">     </w:t>
      </w:r>
      <w:r>
        <w:rPr>
          <w:rFonts w:hint="eastAsia" w:ascii="Times New Roman" w:hAnsi="Times New Roman" w:eastAsia="仿宋_GB2312" w:cs="Times New Roman"/>
          <w:b/>
          <w:bCs/>
          <w:color w:val="auto"/>
          <w:sz w:val="36"/>
          <w:szCs w:val="36"/>
          <w:highlight w:val="none"/>
          <w:u w:val="single"/>
          <w:lang w:val="en-US" w:eastAsia="zh-CN"/>
        </w:rPr>
        <w:t xml:space="preserve">    </w:t>
      </w:r>
      <w:r>
        <w:rPr>
          <w:rFonts w:hint="default" w:ascii="Times New Roman" w:hAnsi="Times New Roman" w:eastAsia="仿宋_GB2312" w:cs="Times New Roman"/>
          <w:b/>
          <w:bCs/>
          <w:color w:val="auto"/>
          <w:sz w:val="36"/>
          <w:szCs w:val="36"/>
          <w:highlight w:val="none"/>
          <w:u w:val="single"/>
        </w:rPr>
        <w:t xml:space="preserve"> </w:t>
      </w:r>
      <w:r>
        <w:rPr>
          <w:rFonts w:hint="default" w:ascii="Times New Roman" w:hAnsi="Times New Roman" w:eastAsia="仿宋_GB2312" w:cs="Times New Roman"/>
          <w:b/>
          <w:bCs/>
          <w:color w:val="auto"/>
          <w:sz w:val="36"/>
          <w:szCs w:val="36"/>
          <w:highlight w:val="none"/>
          <w:u w:val="single"/>
          <w:lang w:val="en-US" w:eastAsia="zh-CN"/>
        </w:rPr>
        <w:t>202</w:t>
      </w:r>
      <w:r>
        <w:rPr>
          <w:rFonts w:hint="eastAsia" w:eastAsia="仿宋_GB2312" w:cs="Times New Roman"/>
          <w:b/>
          <w:bCs/>
          <w:color w:val="auto"/>
          <w:sz w:val="36"/>
          <w:szCs w:val="36"/>
          <w:highlight w:val="none"/>
          <w:u w:val="single"/>
          <w:lang w:val="en-US" w:eastAsia="zh-CN"/>
        </w:rPr>
        <w:t>6</w:t>
      </w:r>
      <w:r>
        <w:rPr>
          <w:rFonts w:hint="default" w:ascii="Times New Roman" w:hAnsi="Times New Roman" w:eastAsia="仿宋_GB2312" w:cs="Times New Roman"/>
          <w:b/>
          <w:bCs/>
          <w:color w:val="auto"/>
          <w:sz w:val="36"/>
          <w:szCs w:val="36"/>
          <w:highlight w:val="none"/>
          <w:u w:val="single"/>
          <w:lang w:val="en-US" w:eastAsia="zh-CN"/>
        </w:rPr>
        <w:t>年</w:t>
      </w:r>
      <w:r>
        <w:rPr>
          <w:rFonts w:hint="eastAsia" w:eastAsia="仿宋_GB2312" w:cs="Times New Roman"/>
          <w:b/>
          <w:bCs/>
          <w:color w:val="auto"/>
          <w:sz w:val="36"/>
          <w:szCs w:val="36"/>
          <w:highlight w:val="none"/>
          <w:u w:val="single"/>
          <w:lang w:val="en-US" w:eastAsia="zh-CN"/>
        </w:rPr>
        <w:t>7</w:t>
      </w:r>
      <w:r>
        <w:rPr>
          <w:rFonts w:hint="default" w:ascii="Times New Roman" w:hAnsi="Times New Roman" w:eastAsia="仿宋_GB2312" w:cs="Times New Roman"/>
          <w:b/>
          <w:bCs/>
          <w:color w:val="auto"/>
          <w:sz w:val="36"/>
          <w:szCs w:val="36"/>
          <w:highlight w:val="none"/>
          <w:u w:val="single"/>
          <w:lang w:val="en-US" w:eastAsia="zh-CN"/>
        </w:rPr>
        <w:t>月</w:t>
      </w:r>
      <w:r>
        <w:rPr>
          <w:rFonts w:hint="default" w:ascii="Times New Roman" w:hAnsi="Times New Roman" w:eastAsia="仿宋_GB2312" w:cs="Times New Roman"/>
          <w:b/>
          <w:bCs/>
          <w:color w:val="auto"/>
          <w:sz w:val="36"/>
          <w:szCs w:val="36"/>
          <w:highlight w:val="none"/>
          <w:u w:val="single"/>
        </w:rPr>
        <w:t xml:space="preserve">                 </w:t>
      </w:r>
      <w:r>
        <w:rPr>
          <w:rFonts w:hint="default" w:ascii="Times New Roman" w:hAnsi="Times New Roman" w:eastAsia="仿宋_GB2312" w:cs="Times New Roman"/>
          <w:color w:val="auto"/>
          <w:sz w:val="36"/>
          <w:szCs w:val="36"/>
          <w:highlight w:val="none"/>
          <w:u w:val="single"/>
        </w:rPr>
        <w:t xml:space="preserve">    </w:t>
      </w:r>
    </w:p>
    <w:p w14:paraId="01EABB51">
      <w:pPr>
        <w:adjustRightInd w:val="0"/>
        <w:snapToGrid w:val="0"/>
        <w:spacing w:line="288" w:lineRule="auto"/>
        <w:ind w:firstLine="1040"/>
        <w:rPr>
          <w:rFonts w:hint="default" w:ascii="Times New Roman" w:hAnsi="Times New Roman" w:eastAsia="仿宋_GB2312" w:cs="Times New Roman"/>
          <w:color w:val="auto"/>
          <w:sz w:val="36"/>
          <w:szCs w:val="36"/>
          <w:highlight w:val="none"/>
          <w:u w:val="single"/>
        </w:rPr>
      </w:pPr>
    </w:p>
    <w:p w14:paraId="31496F8A">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642651B8">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42629113">
      <w:pPr>
        <w:adjustRightInd w:val="0"/>
        <w:snapToGrid w:val="0"/>
        <w:spacing w:line="288" w:lineRule="auto"/>
        <w:jc w:val="center"/>
        <w:rPr>
          <w:rFonts w:hint="default" w:ascii="Times New Roman" w:hAnsi="Times New Roman" w:eastAsia="楷体_GB2312" w:cs="Times New Roman"/>
          <w:b/>
          <w:bCs/>
          <w:color w:val="auto"/>
          <w:sz w:val="36"/>
          <w:szCs w:val="36"/>
          <w:highlight w:val="none"/>
        </w:rPr>
      </w:pPr>
      <w:r>
        <w:rPr>
          <w:rFonts w:hint="default" w:ascii="Times New Roman" w:hAnsi="Times New Roman" w:eastAsia="楷体_GB2312" w:cs="Times New Roman"/>
          <w:b/>
          <w:bCs/>
          <w:color w:val="auto"/>
          <w:sz w:val="36"/>
          <w:szCs w:val="36"/>
          <w:highlight w:val="none"/>
        </w:rPr>
        <w:t>中华人民共和国生态环境部制</w:t>
      </w:r>
    </w:p>
    <w:p w14:paraId="05664C21">
      <w:pPr>
        <w:adjustRightInd w:val="0"/>
        <w:snapToGrid w:val="0"/>
        <w:spacing w:line="288" w:lineRule="auto"/>
        <w:ind w:firstLine="1040"/>
        <w:rPr>
          <w:rFonts w:hint="default" w:ascii="Times New Roman" w:hAnsi="Times New Roman" w:eastAsia="仿宋_GB2312" w:cs="Times New Roman"/>
          <w:b/>
          <w:bCs/>
          <w:color w:val="auto"/>
          <w:sz w:val="36"/>
          <w:szCs w:val="36"/>
          <w:highlight w:val="none"/>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14:paraId="3BFA15EE">
      <w:pPr>
        <w:pStyle w:val="33"/>
        <w:spacing w:before="0" w:beforeAutospacing="0" w:after="0" w:afterAutospacing="0"/>
        <w:jc w:val="center"/>
        <w:outlineLvl w:val="0"/>
        <w:rPr>
          <w:rFonts w:ascii="黑体" w:hAnsi="黑体" w:eastAsia="黑体"/>
          <w:snapToGrid w:val="0"/>
          <w:color w:val="auto"/>
          <w:sz w:val="30"/>
          <w:szCs w:val="30"/>
          <w:highlight w:val="none"/>
          <w:u w:val="none"/>
        </w:rPr>
      </w:pPr>
      <w:r>
        <w:rPr>
          <w:rFonts w:ascii="黑体" w:hAnsi="黑体" w:eastAsia="黑体"/>
          <w:snapToGrid w:val="0"/>
          <w:color w:val="auto"/>
          <w:sz w:val="30"/>
          <w:szCs w:val="30"/>
          <w:highlight w:val="none"/>
          <w:u w:val="none"/>
        </w:rPr>
        <w:t>一、建设项目基本情况</w:t>
      </w:r>
      <w:bookmarkEnd w:id="1"/>
    </w:p>
    <w:tbl>
      <w:tblPr>
        <w:tblStyle w:val="37"/>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67"/>
        <w:gridCol w:w="2115"/>
        <w:gridCol w:w="1985"/>
        <w:gridCol w:w="3564"/>
      </w:tblGrid>
      <w:tr w14:paraId="29AAFE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trPr>
        <w:tc>
          <w:tcPr>
            <w:tcW w:w="1867" w:type="dxa"/>
            <w:noWrap w:val="0"/>
            <w:tcMar>
              <w:top w:w="16" w:type="dxa"/>
              <w:left w:w="16" w:type="dxa"/>
              <w:right w:w="16" w:type="dxa"/>
            </w:tcMar>
            <w:vAlign w:val="center"/>
          </w:tcPr>
          <w:p w14:paraId="15D42FBB">
            <w:pPr>
              <w:adjustRightInd w:val="0"/>
              <w:snapToGrid w:val="0"/>
              <w:jc w:val="center"/>
              <w:rPr>
                <w:rFonts w:ascii="Times New Roman" w:hAnsi="Times New Roman" w:eastAsia="宋体" w:cs="Times New Roman"/>
                <w:color w:val="auto"/>
                <w:sz w:val="24"/>
                <w:szCs w:val="24"/>
                <w:highlight w:val="none"/>
                <w:u w:val="none"/>
              </w:rPr>
            </w:pPr>
            <w:r>
              <w:rPr>
                <w:rFonts w:ascii="Times New Roman" w:hAnsi="Times New Roman" w:eastAsia="宋体" w:cs="Times New Roman"/>
                <w:color w:val="auto"/>
                <w:sz w:val="24"/>
                <w:szCs w:val="24"/>
                <w:highlight w:val="none"/>
                <w:u w:val="none"/>
              </w:rPr>
              <w:t>建设项目名称</w:t>
            </w:r>
          </w:p>
        </w:tc>
        <w:tc>
          <w:tcPr>
            <w:tcW w:w="7664" w:type="dxa"/>
            <w:gridSpan w:val="3"/>
            <w:noWrap w:val="0"/>
            <w:vAlign w:val="center"/>
          </w:tcPr>
          <w:p w14:paraId="3B6634FB">
            <w:pPr>
              <w:adjustRightInd w:val="0"/>
              <w:snapToGrid w:val="0"/>
              <w:jc w:val="center"/>
              <w:rPr>
                <w:rFonts w:hint="default" w:ascii="Times New Roman" w:hAnsi="Times New Roman" w:eastAsia="宋体" w:cs="Times New Roman"/>
                <w:color w:val="auto"/>
                <w:sz w:val="24"/>
                <w:szCs w:val="24"/>
                <w:highlight w:val="none"/>
                <w:u w:val="none"/>
                <w:lang w:val="en-US" w:eastAsia="zh-CN"/>
              </w:rPr>
            </w:pPr>
            <w:r>
              <w:rPr>
                <w:rFonts w:hint="eastAsia" w:cs="Times New Roman"/>
                <w:color w:val="auto"/>
                <w:sz w:val="24"/>
                <w:szCs w:val="24"/>
                <w:highlight w:val="none"/>
                <w:u w:val="none"/>
                <w:lang w:eastAsia="zh-CN"/>
              </w:rPr>
              <w:t>翠矶山安置小区二期集中供热热源站建设项目</w:t>
            </w:r>
          </w:p>
        </w:tc>
      </w:tr>
      <w:tr w14:paraId="26155D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867" w:type="dxa"/>
            <w:noWrap w:val="0"/>
            <w:tcMar>
              <w:top w:w="16" w:type="dxa"/>
              <w:left w:w="16" w:type="dxa"/>
              <w:right w:w="16" w:type="dxa"/>
            </w:tcMar>
            <w:vAlign w:val="center"/>
          </w:tcPr>
          <w:p w14:paraId="0B761EC0">
            <w:pPr>
              <w:adjustRightInd w:val="0"/>
              <w:snapToGrid w:val="0"/>
              <w:jc w:val="center"/>
              <w:rPr>
                <w:rFonts w:ascii="Times New Roman" w:hAnsi="Times New Roman" w:eastAsia="宋体" w:cs="Times New Roman"/>
                <w:color w:val="auto"/>
                <w:sz w:val="24"/>
                <w:szCs w:val="24"/>
                <w:highlight w:val="none"/>
                <w:u w:val="none"/>
              </w:rPr>
            </w:pPr>
            <w:r>
              <w:rPr>
                <w:rFonts w:ascii="Times New Roman" w:hAnsi="Times New Roman" w:eastAsia="宋体" w:cs="Times New Roman"/>
                <w:color w:val="auto"/>
                <w:sz w:val="24"/>
                <w:szCs w:val="24"/>
                <w:highlight w:val="none"/>
                <w:u w:val="none"/>
              </w:rPr>
              <w:t>项目代码</w:t>
            </w:r>
          </w:p>
        </w:tc>
        <w:tc>
          <w:tcPr>
            <w:tcW w:w="7664" w:type="dxa"/>
            <w:gridSpan w:val="3"/>
            <w:noWrap w:val="0"/>
            <w:vAlign w:val="center"/>
          </w:tcPr>
          <w:p w14:paraId="70347EAF">
            <w:pPr>
              <w:adjustRightInd w:val="0"/>
              <w:snapToGrid w:val="0"/>
              <w:jc w:val="center"/>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2606-610331-04-01-347109</w:t>
            </w:r>
          </w:p>
        </w:tc>
      </w:tr>
      <w:tr w14:paraId="4FF27E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trPr>
        <w:tc>
          <w:tcPr>
            <w:tcW w:w="1867" w:type="dxa"/>
            <w:noWrap w:val="0"/>
            <w:tcMar>
              <w:top w:w="16" w:type="dxa"/>
              <w:left w:w="16" w:type="dxa"/>
              <w:right w:w="16" w:type="dxa"/>
            </w:tcMar>
            <w:vAlign w:val="center"/>
          </w:tcPr>
          <w:p w14:paraId="448CED4A">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建设单位联系人</w:t>
            </w:r>
          </w:p>
        </w:tc>
        <w:tc>
          <w:tcPr>
            <w:tcW w:w="2115" w:type="dxa"/>
            <w:noWrap w:val="0"/>
            <w:vAlign w:val="center"/>
          </w:tcPr>
          <w:p w14:paraId="06447383">
            <w:pPr>
              <w:adjustRightInd w:val="0"/>
              <w:snapToGrid w:val="0"/>
              <w:jc w:val="center"/>
              <w:rPr>
                <w:rFonts w:hint="default" w:ascii="Times New Roman" w:hAnsi="Times New Roman" w:eastAsia="宋体" w:cs="Times New Roman"/>
                <w:color w:val="auto"/>
                <w:sz w:val="24"/>
                <w:szCs w:val="24"/>
                <w:highlight w:val="none"/>
                <w:lang w:val="en-US" w:eastAsia="zh-CN"/>
              </w:rPr>
            </w:pPr>
          </w:p>
        </w:tc>
        <w:tc>
          <w:tcPr>
            <w:tcW w:w="1985" w:type="dxa"/>
            <w:noWrap w:val="0"/>
            <w:vAlign w:val="center"/>
          </w:tcPr>
          <w:p w14:paraId="1D480F6F">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联系方式</w:t>
            </w:r>
          </w:p>
        </w:tc>
        <w:tc>
          <w:tcPr>
            <w:tcW w:w="3564" w:type="dxa"/>
            <w:noWrap w:val="0"/>
            <w:vAlign w:val="center"/>
          </w:tcPr>
          <w:p w14:paraId="06D17372">
            <w:pPr>
              <w:adjustRightInd w:val="0"/>
              <w:snapToGrid w:val="0"/>
              <w:jc w:val="center"/>
              <w:rPr>
                <w:rFonts w:hint="default" w:ascii="Times New Roman" w:hAnsi="Times New Roman" w:eastAsia="宋体" w:cs="Times New Roman"/>
                <w:color w:val="auto"/>
                <w:sz w:val="24"/>
                <w:szCs w:val="24"/>
                <w:highlight w:val="none"/>
                <w:lang w:val="en-US" w:eastAsia="zh-CN"/>
              </w:rPr>
            </w:pPr>
            <w:bookmarkStart w:id="27" w:name="_GoBack"/>
            <w:bookmarkEnd w:id="27"/>
          </w:p>
        </w:tc>
      </w:tr>
      <w:tr w14:paraId="6733A3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trPr>
        <w:tc>
          <w:tcPr>
            <w:tcW w:w="1867" w:type="dxa"/>
            <w:noWrap w:val="0"/>
            <w:tcMar>
              <w:top w:w="16" w:type="dxa"/>
              <w:left w:w="16" w:type="dxa"/>
              <w:right w:w="16" w:type="dxa"/>
            </w:tcMar>
            <w:vAlign w:val="center"/>
          </w:tcPr>
          <w:p w14:paraId="06953F97">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建设地点</w:t>
            </w:r>
          </w:p>
        </w:tc>
        <w:tc>
          <w:tcPr>
            <w:tcW w:w="7664" w:type="dxa"/>
            <w:gridSpan w:val="3"/>
            <w:noWrap w:val="0"/>
            <w:vAlign w:val="center"/>
          </w:tcPr>
          <w:p w14:paraId="7DEBF72D">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太白县咀头镇咀头街村三组</w:t>
            </w:r>
          </w:p>
        </w:tc>
      </w:tr>
      <w:tr w14:paraId="20926B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867" w:type="dxa"/>
            <w:noWrap w:val="0"/>
            <w:tcMar>
              <w:top w:w="16" w:type="dxa"/>
              <w:left w:w="16" w:type="dxa"/>
              <w:right w:w="16" w:type="dxa"/>
            </w:tcMar>
            <w:vAlign w:val="center"/>
          </w:tcPr>
          <w:p w14:paraId="3CDAD5F2">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地理坐标</w:t>
            </w:r>
          </w:p>
        </w:tc>
        <w:tc>
          <w:tcPr>
            <w:tcW w:w="7664" w:type="dxa"/>
            <w:gridSpan w:val="3"/>
            <w:noWrap w:val="0"/>
            <w:vAlign w:val="center"/>
          </w:tcPr>
          <w:p w14:paraId="5CE254E5">
            <w:pPr>
              <w:pStyle w:val="33"/>
              <w:spacing w:before="0" w:beforeAutospacing="0" w:after="0" w:afterAutospacing="0"/>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（107度18分</w:t>
            </w:r>
            <w:r>
              <w:rPr>
                <w:rFonts w:hint="eastAsia" w:ascii="Times New Roman" w:hAnsi="Times New Roman" w:cs="Times New Roman"/>
                <w:color w:val="auto"/>
                <w:sz w:val="24"/>
                <w:szCs w:val="24"/>
                <w:highlight w:val="none"/>
                <w:lang w:val="en-US" w:eastAsia="zh-CN"/>
              </w:rPr>
              <w:t>21.094</w:t>
            </w:r>
            <w:r>
              <w:rPr>
                <w:rFonts w:hint="eastAsia" w:ascii="Times New Roman" w:hAnsi="Times New Roman" w:eastAsia="宋体" w:cs="Times New Roman"/>
                <w:color w:val="auto"/>
                <w:sz w:val="24"/>
                <w:szCs w:val="24"/>
                <w:highlight w:val="none"/>
                <w:lang w:val="en-US" w:eastAsia="zh-CN"/>
              </w:rPr>
              <w:t>秒，34度3分</w:t>
            </w:r>
            <w:r>
              <w:rPr>
                <w:rFonts w:hint="eastAsia" w:ascii="Times New Roman" w:hAnsi="Times New Roman" w:cs="Times New Roman"/>
                <w:color w:val="auto"/>
                <w:sz w:val="24"/>
                <w:szCs w:val="24"/>
                <w:highlight w:val="none"/>
                <w:lang w:val="en-US" w:eastAsia="zh-CN"/>
              </w:rPr>
              <w:t>27.366</w:t>
            </w:r>
            <w:r>
              <w:rPr>
                <w:rFonts w:hint="eastAsia" w:ascii="Times New Roman" w:hAnsi="Times New Roman" w:eastAsia="宋体" w:cs="Times New Roman"/>
                <w:color w:val="auto"/>
                <w:sz w:val="24"/>
                <w:szCs w:val="24"/>
                <w:highlight w:val="none"/>
                <w:lang w:val="en-US" w:eastAsia="zh-CN"/>
              </w:rPr>
              <w:t>秒）</w:t>
            </w:r>
          </w:p>
        </w:tc>
      </w:tr>
      <w:tr w14:paraId="3096E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trPr>
        <w:tc>
          <w:tcPr>
            <w:tcW w:w="1867" w:type="dxa"/>
            <w:noWrap w:val="0"/>
            <w:tcMar>
              <w:top w:w="16" w:type="dxa"/>
              <w:left w:w="16" w:type="dxa"/>
              <w:right w:w="16" w:type="dxa"/>
            </w:tcMar>
            <w:vAlign w:val="center"/>
          </w:tcPr>
          <w:p w14:paraId="69AE20E0">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国民经济</w:t>
            </w:r>
          </w:p>
          <w:p w14:paraId="5F9F6244">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行业类别</w:t>
            </w:r>
          </w:p>
        </w:tc>
        <w:tc>
          <w:tcPr>
            <w:tcW w:w="2115" w:type="dxa"/>
            <w:noWrap w:val="0"/>
            <w:vAlign w:val="center"/>
          </w:tcPr>
          <w:p w14:paraId="4BDDCD57">
            <w:pPr>
              <w:adjustRightInd w:val="0"/>
              <w:snapToGrid w:val="0"/>
              <w:jc w:val="center"/>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D4430</w:t>
            </w:r>
          </w:p>
          <w:p w14:paraId="6A531E73">
            <w:pPr>
              <w:adjustRightInd w:val="0"/>
              <w:snapToGrid w:val="0"/>
              <w:jc w:val="center"/>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热力生产和供应</w:t>
            </w:r>
          </w:p>
        </w:tc>
        <w:tc>
          <w:tcPr>
            <w:tcW w:w="1985" w:type="dxa"/>
            <w:noWrap w:val="0"/>
            <w:vAlign w:val="center"/>
          </w:tcPr>
          <w:p w14:paraId="08B00399">
            <w:pPr>
              <w:adjustRightInd w:val="0"/>
              <w:snapToGrid w:val="0"/>
              <w:jc w:val="center"/>
              <w:rPr>
                <w:rFonts w:ascii="Times New Roman" w:hAnsi="Times New Roman" w:eastAsia="宋体" w:cs="Times New Roman"/>
                <w:color w:val="auto"/>
                <w:sz w:val="24"/>
                <w:szCs w:val="24"/>
                <w:highlight w:val="none"/>
              </w:rPr>
            </w:pPr>
            <w:bookmarkStart w:id="3" w:name="_Hlk49843745"/>
            <w:r>
              <w:rPr>
                <w:rFonts w:ascii="Times New Roman" w:hAnsi="Times New Roman" w:eastAsia="宋体" w:cs="Times New Roman"/>
                <w:color w:val="auto"/>
                <w:sz w:val="24"/>
                <w:szCs w:val="24"/>
                <w:highlight w:val="none"/>
              </w:rPr>
              <w:t>建设项目</w:t>
            </w:r>
          </w:p>
          <w:p w14:paraId="0BF41F73">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行业类别</w:t>
            </w:r>
            <w:bookmarkEnd w:id="3"/>
          </w:p>
        </w:tc>
        <w:tc>
          <w:tcPr>
            <w:tcW w:w="3564" w:type="dxa"/>
            <w:noWrap w:val="0"/>
            <w:vAlign w:val="center"/>
          </w:tcPr>
          <w:p w14:paraId="622A0AD9">
            <w:pPr>
              <w:adjustRightInd w:val="0"/>
              <w:snapToGrid w:val="0"/>
              <w:jc w:val="both"/>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四十一、电力、热力</w:t>
            </w:r>
          </w:p>
          <w:p w14:paraId="6A8C4EBD">
            <w:pPr>
              <w:adjustRightInd w:val="0"/>
              <w:snapToGrid w:val="0"/>
              <w:jc w:val="both"/>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生产和供应业91.热力生产和供应工程—天然气锅炉总容量1吨/小时（0.7兆瓦）以上的</w:t>
            </w:r>
          </w:p>
        </w:tc>
      </w:tr>
      <w:tr w14:paraId="337C3D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trPr>
        <w:tc>
          <w:tcPr>
            <w:tcW w:w="1867" w:type="dxa"/>
            <w:noWrap w:val="0"/>
            <w:tcMar>
              <w:top w:w="16" w:type="dxa"/>
              <w:left w:w="16" w:type="dxa"/>
              <w:right w:w="16" w:type="dxa"/>
            </w:tcMar>
            <w:vAlign w:val="center"/>
          </w:tcPr>
          <w:p w14:paraId="3EE5DD4F">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建设性质</w:t>
            </w:r>
          </w:p>
        </w:tc>
        <w:tc>
          <w:tcPr>
            <w:tcW w:w="2115" w:type="dxa"/>
            <w:noWrap w:val="0"/>
            <w:vAlign w:val="center"/>
          </w:tcPr>
          <w:p w14:paraId="5270CAA9">
            <w:pPr>
              <w:adjustRightInd w:val="0"/>
              <w:snapToGrid w:val="0"/>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■新建（迁建）</w:t>
            </w:r>
          </w:p>
          <w:p w14:paraId="6E89057F">
            <w:pPr>
              <w:adjustRightInd w:val="0"/>
              <w:snapToGrid w:val="0"/>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□改建</w:t>
            </w:r>
          </w:p>
          <w:p w14:paraId="2465EE34">
            <w:pPr>
              <w:adjustRightInd w:val="0"/>
              <w:snapToGrid w:val="0"/>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□扩建</w:t>
            </w:r>
          </w:p>
          <w:p w14:paraId="1517BC32">
            <w:pPr>
              <w:adjustRightInd w:val="0"/>
              <w:snapToGrid w:val="0"/>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□技术改造</w:t>
            </w:r>
          </w:p>
        </w:tc>
        <w:tc>
          <w:tcPr>
            <w:tcW w:w="1985" w:type="dxa"/>
            <w:noWrap w:val="0"/>
            <w:vAlign w:val="center"/>
          </w:tcPr>
          <w:p w14:paraId="2CFEB31E">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建设项目</w:t>
            </w:r>
          </w:p>
          <w:p w14:paraId="44C7D601">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申报情形</w:t>
            </w:r>
          </w:p>
        </w:tc>
        <w:tc>
          <w:tcPr>
            <w:tcW w:w="3564" w:type="dxa"/>
            <w:noWrap w:val="0"/>
            <w:vAlign w:val="center"/>
          </w:tcPr>
          <w:p w14:paraId="6CF26F2C">
            <w:pPr>
              <w:adjustRightInd w:val="0"/>
              <w:snapToGrid w:val="0"/>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 xml:space="preserve">■首次申报项目             </w:t>
            </w:r>
          </w:p>
          <w:p w14:paraId="7FC3AB52">
            <w:pPr>
              <w:adjustRightInd w:val="0"/>
              <w:snapToGrid w:val="0"/>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不予批准后再次申报项目</w:t>
            </w:r>
          </w:p>
          <w:p w14:paraId="4A53889B">
            <w:pPr>
              <w:adjustRightInd w:val="0"/>
              <w:snapToGrid w:val="0"/>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 xml:space="preserve">超五年重新审核项目     </w:t>
            </w:r>
          </w:p>
          <w:p w14:paraId="73AE3227">
            <w:pPr>
              <w:adjustRightInd w:val="0"/>
              <w:snapToGrid w:val="0"/>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重大变动重新报批项目</w:t>
            </w:r>
          </w:p>
        </w:tc>
      </w:tr>
      <w:tr w14:paraId="6BD72D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867" w:type="dxa"/>
            <w:noWrap w:val="0"/>
            <w:tcMar>
              <w:top w:w="16" w:type="dxa"/>
              <w:left w:w="16" w:type="dxa"/>
              <w:right w:w="16" w:type="dxa"/>
            </w:tcMar>
            <w:vAlign w:val="center"/>
          </w:tcPr>
          <w:p w14:paraId="4165377B">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项目审批（核准/</w:t>
            </w:r>
          </w:p>
          <w:p w14:paraId="32B6A1DD">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备案）部门（选填）</w:t>
            </w:r>
          </w:p>
        </w:tc>
        <w:tc>
          <w:tcPr>
            <w:tcW w:w="2115" w:type="dxa"/>
            <w:noWrap w:val="0"/>
            <w:vAlign w:val="center"/>
          </w:tcPr>
          <w:p w14:paraId="1F9AFDB3">
            <w:pPr>
              <w:adjustRightInd w:val="0"/>
              <w:snapToGrid w:val="0"/>
              <w:jc w:val="center"/>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w:t>
            </w:r>
          </w:p>
        </w:tc>
        <w:tc>
          <w:tcPr>
            <w:tcW w:w="1985" w:type="dxa"/>
            <w:noWrap w:val="0"/>
            <w:vAlign w:val="center"/>
          </w:tcPr>
          <w:p w14:paraId="22D14B7F">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项目审批（核准/</w:t>
            </w:r>
          </w:p>
          <w:p w14:paraId="3FF4E016">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备案）文号（选填）</w:t>
            </w:r>
          </w:p>
        </w:tc>
        <w:tc>
          <w:tcPr>
            <w:tcW w:w="3564" w:type="dxa"/>
            <w:noWrap w:val="0"/>
            <w:vAlign w:val="center"/>
          </w:tcPr>
          <w:p w14:paraId="76083FA5">
            <w:pPr>
              <w:adjustRightInd w:val="0"/>
              <w:snapToGrid w:val="0"/>
              <w:jc w:val="center"/>
              <w:rPr>
                <w:rFonts w:hint="default" w:ascii="宋体" w:hAnsi="宋体" w:eastAsia="宋体" w:cs="宋体"/>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p>
        </w:tc>
      </w:tr>
      <w:tr w14:paraId="1710A4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867" w:type="dxa"/>
            <w:noWrap w:val="0"/>
            <w:tcMar>
              <w:top w:w="16" w:type="dxa"/>
              <w:left w:w="16" w:type="dxa"/>
              <w:right w:w="16" w:type="dxa"/>
            </w:tcMar>
            <w:vAlign w:val="center"/>
          </w:tcPr>
          <w:p w14:paraId="4EA20E4B">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总投资（万元）</w:t>
            </w:r>
          </w:p>
        </w:tc>
        <w:tc>
          <w:tcPr>
            <w:tcW w:w="2115" w:type="dxa"/>
            <w:noWrap w:val="0"/>
            <w:vAlign w:val="center"/>
          </w:tcPr>
          <w:p w14:paraId="35F26AB1">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143.1</w:t>
            </w:r>
          </w:p>
        </w:tc>
        <w:tc>
          <w:tcPr>
            <w:tcW w:w="1985" w:type="dxa"/>
            <w:noWrap w:val="0"/>
            <w:tcMar>
              <w:top w:w="16" w:type="dxa"/>
              <w:left w:w="16" w:type="dxa"/>
              <w:right w:w="16" w:type="dxa"/>
            </w:tcMar>
            <w:vAlign w:val="center"/>
          </w:tcPr>
          <w:p w14:paraId="34A59C0E">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环保投资（万元）</w:t>
            </w:r>
          </w:p>
        </w:tc>
        <w:tc>
          <w:tcPr>
            <w:tcW w:w="3564" w:type="dxa"/>
            <w:noWrap w:val="0"/>
            <w:vAlign w:val="center"/>
          </w:tcPr>
          <w:p w14:paraId="55CE1941">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15</w:t>
            </w:r>
          </w:p>
        </w:tc>
      </w:tr>
      <w:tr w14:paraId="550FCA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867" w:type="dxa"/>
            <w:noWrap w:val="0"/>
            <w:tcMar>
              <w:top w:w="16" w:type="dxa"/>
              <w:left w:w="16" w:type="dxa"/>
              <w:right w:w="16" w:type="dxa"/>
            </w:tcMar>
            <w:vAlign w:val="center"/>
          </w:tcPr>
          <w:p w14:paraId="481ACD32">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环保投资占比（%）</w:t>
            </w:r>
          </w:p>
        </w:tc>
        <w:tc>
          <w:tcPr>
            <w:tcW w:w="2115" w:type="dxa"/>
            <w:noWrap w:val="0"/>
            <w:vAlign w:val="center"/>
          </w:tcPr>
          <w:p w14:paraId="7164133C">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10.5</w:t>
            </w:r>
          </w:p>
        </w:tc>
        <w:tc>
          <w:tcPr>
            <w:tcW w:w="1985" w:type="dxa"/>
            <w:noWrap w:val="0"/>
            <w:tcMar>
              <w:top w:w="16" w:type="dxa"/>
              <w:left w:w="16" w:type="dxa"/>
              <w:right w:w="16" w:type="dxa"/>
            </w:tcMar>
            <w:vAlign w:val="center"/>
          </w:tcPr>
          <w:p w14:paraId="19E98FB6">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施工工期</w:t>
            </w:r>
          </w:p>
        </w:tc>
        <w:tc>
          <w:tcPr>
            <w:tcW w:w="3564" w:type="dxa"/>
            <w:noWrap w:val="0"/>
            <w:vAlign w:val="center"/>
          </w:tcPr>
          <w:p w14:paraId="753C8803">
            <w:pPr>
              <w:adjustRightInd w:val="0"/>
              <w:snapToGrid w:val="0"/>
              <w:jc w:val="center"/>
              <w:rPr>
                <w:rFonts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2</w:t>
            </w:r>
          </w:p>
        </w:tc>
      </w:tr>
      <w:tr w14:paraId="56B14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867" w:type="dxa"/>
            <w:noWrap w:val="0"/>
            <w:tcMar>
              <w:top w:w="16" w:type="dxa"/>
              <w:left w:w="16" w:type="dxa"/>
              <w:right w:w="16" w:type="dxa"/>
            </w:tcMar>
            <w:vAlign w:val="center"/>
          </w:tcPr>
          <w:p w14:paraId="02F0C125">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是否开工建设</w:t>
            </w:r>
          </w:p>
        </w:tc>
        <w:tc>
          <w:tcPr>
            <w:tcW w:w="2115" w:type="dxa"/>
            <w:noWrap w:val="0"/>
            <w:vAlign w:val="center"/>
          </w:tcPr>
          <w:p w14:paraId="1A97F114">
            <w:pPr>
              <w:adjustRightInd w:val="0"/>
              <w:snapToGrid w:val="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■否</w:t>
            </w:r>
          </w:p>
          <w:p w14:paraId="0B4B01E9">
            <w:pPr>
              <w:adjustRightInd w:val="0"/>
              <w:snapToGrid w:val="0"/>
              <w:jc w:val="both"/>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eastAsia="zh-CN"/>
              </w:rPr>
              <w:t>□</w:t>
            </w:r>
            <w:r>
              <w:rPr>
                <w:rFonts w:ascii="Times New Roman" w:hAnsi="Times New Roman" w:eastAsia="宋体" w:cs="Times New Roman"/>
                <w:color w:val="auto"/>
                <w:sz w:val="24"/>
                <w:szCs w:val="24"/>
                <w:highlight w:val="none"/>
              </w:rPr>
              <w:t>是：</w:t>
            </w:r>
          </w:p>
        </w:tc>
        <w:tc>
          <w:tcPr>
            <w:tcW w:w="1985" w:type="dxa"/>
            <w:noWrap w:val="0"/>
            <w:tcMar>
              <w:top w:w="16" w:type="dxa"/>
              <w:left w:w="16" w:type="dxa"/>
              <w:right w:w="16" w:type="dxa"/>
            </w:tcMar>
            <w:vAlign w:val="center"/>
          </w:tcPr>
          <w:p w14:paraId="18C63E71">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用地（用海）</w:t>
            </w:r>
          </w:p>
          <w:p w14:paraId="7123F5F1">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面积（m</w:t>
            </w:r>
            <w:r>
              <w:rPr>
                <w:rFonts w:ascii="Times New Roman" w:hAnsi="Times New Roman" w:eastAsia="宋体" w:cs="Times New Roman"/>
                <w:color w:val="auto"/>
                <w:sz w:val="24"/>
                <w:szCs w:val="24"/>
                <w:highlight w:val="none"/>
                <w:vertAlign w:val="superscript"/>
              </w:rPr>
              <w:t>2</w:t>
            </w:r>
            <w:r>
              <w:rPr>
                <w:rFonts w:ascii="Times New Roman" w:hAnsi="Times New Roman" w:eastAsia="宋体" w:cs="Times New Roman"/>
                <w:color w:val="auto"/>
                <w:sz w:val="24"/>
                <w:szCs w:val="24"/>
                <w:highlight w:val="none"/>
              </w:rPr>
              <w:t>）</w:t>
            </w:r>
          </w:p>
        </w:tc>
        <w:tc>
          <w:tcPr>
            <w:tcW w:w="3564" w:type="dxa"/>
            <w:noWrap w:val="0"/>
            <w:vAlign w:val="center"/>
          </w:tcPr>
          <w:p w14:paraId="1336DA05">
            <w:pPr>
              <w:pStyle w:val="33"/>
              <w:spacing w:before="0" w:beforeAutospacing="0" w:after="0" w:afterAutospacing="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kern w:val="2"/>
                <w:sz w:val="24"/>
                <w:szCs w:val="24"/>
                <w:highlight w:val="none"/>
                <w:lang w:val="en-US" w:eastAsia="zh-CN" w:bidi="ar-SA"/>
              </w:rPr>
              <w:t>161.33</w:t>
            </w:r>
          </w:p>
        </w:tc>
      </w:tr>
      <w:tr w14:paraId="20E5F5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67" w:type="dxa"/>
            <w:noWrap w:val="0"/>
            <w:vAlign w:val="center"/>
          </w:tcPr>
          <w:p w14:paraId="2C309A79">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专项评价设置情况</w:t>
            </w:r>
          </w:p>
        </w:tc>
        <w:tc>
          <w:tcPr>
            <w:tcW w:w="7664" w:type="dxa"/>
            <w:gridSpan w:val="3"/>
            <w:noWrap w:val="0"/>
            <w:vAlign w:val="center"/>
          </w:tcPr>
          <w:p w14:paraId="0D36A6E6">
            <w:pPr>
              <w:adjustRightInd w:val="0"/>
              <w:snapToGrid w:val="0"/>
              <w:spacing w:line="360" w:lineRule="auto"/>
              <w:jc w:val="center"/>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rPr>
              <w:t>无</w:t>
            </w:r>
          </w:p>
        </w:tc>
      </w:tr>
      <w:tr w14:paraId="24A36C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67" w:type="dxa"/>
            <w:noWrap w:val="0"/>
            <w:vAlign w:val="center"/>
          </w:tcPr>
          <w:p w14:paraId="04689B00">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规划情况</w:t>
            </w:r>
          </w:p>
        </w:tc>
        <w:tc>
          <w:tcPr>
            <w:tcW w:w="7664" w:type="dxa"/>
            <w:gridSpan w:val="3"/>
            <w:noWrap w:val="0"/>
            <w:vAlign w:val="center"/>
          </w:tcPr>
          <w:p w14:paraId="49A7DFE1">
            <w:pPr>
              <w:adjustRightInd w:val="0"/>
              <w:snapToGrid w:val="0"/>
              <w:spacing w:line="360" w:lineRule="auto"/>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无</w:t>
            </w:r>
          </w:p>
        </w:tc>
      </w:tr>
      <w:tr w14:paraId="1CDBCB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67" w:type="dxa"/>
            <w:noWrap w:val="0"/>
            <w:vAlign w:val="center"/>
          </w:tcPr>
          <w:p w14:paraId="62675571">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规划环境影响</w:t>
            </w:r>
          </w:p>
          <w:p w14:paraId="7D3389CF">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评价情况</w:t>
            </w:r>
          </w:p>
        </w:tc>
        <w:tc>
          <w:tcPr>
            <w:tcW w:w="7664" w:type="dxa"/>
            <w:gridSpan w:val="3"/>
            <w:noWrap w:val="0"/>
            <w:vAlign w:val="center"/>
          </w:tcPr>
          <w:p w14:paraId="51F93CE0">
            <w:pPr>
              <w:adjustRightInd w:val="0"/>
              <w:snapToGrid w:val="0"/>
              <w:spacing w:line="360" w:lineRule="auto"/>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无</w:t>
            </w:r>
          </w:p>
        </w:tc>
      </w:tr>
      <w:tr w14:paraId="0C1190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67" w:type="dxa"/>
            <w:noWrap w:val="0"/>
            <w:vAlign w:val="center"/>
          </w:tcPr>
          <w:p w14:paraId="25AB9C7D">
            <w:pPr>
              <w:adjustRightInd w:val="0"/>
              <w:snapToGrid w:val="0"/>
              <w:jc w:val="center"/>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规划及规划环境影响评价符合性分析</w:t>
            </w:r>
          </w:p>
        </w:tc>
        <w:tc>
          <w:tcPr>
            <w:tcW w:w="7664" w:type="dxa"/>
            <w:gridSpan w:val="3"/>
            <w:noWrap w:val="0"/>
            <w:vAlign w:val="center"/>
          </w:tcPr>
          <w:p w14:paraId="2D40ED77">
            <w:pPr>
              <w:adjustRightInd w:val="0"/>
              <w:snapToGrid w:val="0"/>
              <w:spacing w:line="360" w:lineRule="auto"/>
              <w:jc w:val="center"/>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无</w:t>
            </w:r>
          </w:p>
        </w:tc>
      </w:tr>
      <w:tr w14:paraId="7529E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67" w:type="dxa"/>
            <w:noWrap w:val="0"/>
            <w:vAlign w:val="center"/>
          </w:tcPr>
          <w:p w14:paraId="5FAEF785">
            <w:pPr>
              <w:autoSpaceDE w:val="0"/>
              <w:autoSpaceDN w:val="0"/>
              <w:adjustRightInd w:val="0"/>
              <w:snapToGrid w:val="0"/>
              <w:jc w:val="center"/>
              <w:rPr>
                <w:b/>
                <w:bCs/>
                <w:color w:val="auto"/>
                <w:kern w:val="0"/>
                <w:sz w:val="24"/>
                <w:szCs w:val="24"/>
                <w:highlight w:val="green"/>
              </w:rPr>
            </w:pPr>
            <w:r>
              <w:rPr>
                <w:rFonts w:hAnsi="宋体"/>
                <w:b w:val="0"/>
                <w:bCs w:val="0"/>
                <w:color w:val="auto"/>
                <w:kern w:val="0"/>
                <w:sz w:val="24"/>
                <w:szCs w:val="24"/>
                <w:highlight w:val="none"/>
              </w:rPr>
              <w:t>其他符合性分析</w:t>
            </w:r>
          </w:p>
        </w:tc>
        <w:tc>
          <w:tcPr>
            <w:tcW w:w="7664" w:type="dxa"/>
            <w:gridSpan w:val="3"/>
            <w:noWrap w:val="0"/>
            <w:vAlign w:val="center"/>
          </w:tcPr>
          <w:p w14:paraId="3E8295E3">
            <w:pPr>
              <w:pStyle w:val="4"/>
              <w:keepNext/>
              <w:keepLines/>
              <w:pageBreakBefore w:val="0"/>
              <w:widowControl w:val="0"/>
              <w:kinsoku/>
              <w:wordWrap/>
              <w:overflowPunct/>
              <w:topLinePunct w:val="0"/>
              <w:autoSpaceDE/>
              <w:autoSpaceDN/>
              <w:bidi w:val="0"/>
              <w:adjustRightInd/>
              <w:snapToGrid/>
              <w:spacing w:before="0" w:after="0" w:line="360" w:lineRule="auto"/>
              <w:ind w:firstLine="482" w:firstLineChars="200"/>
              <w:textAlignment w:val="auto"/>
              <w:rPr>
                <w:color w:val="auto"/>
                <w:sz w:val="24"/>
                <w:szCs w:val="24"/>
                <w:highlight w:val="none"/>
              </w:rPr>
            </w:pPr>
            <w:r>
              <w:rPr>
                <w:color w:val="auto"/>
                <w:sz w:val="24"/>
                <w:szCs w:val="24"/>
                <w:highlight w:val="none"/>
              </w:rPr>
              <w:t>一、</w:t>
            </w:r>
            <w:r>
              <w:rPr>
                <w:rFonts w:hint="eastAsia"/>
                <w:color w:val="auto"/>
                <w:sz w:val="24"/>
                <w:szCs w:val="24"/>
                <w:highlight w:val="none"/>
              </w:rPr>
              <w:t>“三线一单”生态环境分区管控符合性分析</w:t>
            </w:r>
          </w:p>
          <w:p w14:paraId="64B476D5">
            <w:pPr>
              <w:spacing w:line="360" w:lineRule="auto"/>
              <w:ind w:firstLine="480" w:firstLineChars="200"/>
              <w:rPr>
                <w:color w:val="auto"/>
                <w:sz w:val="24"/>
                <w:highlight w:val="none"/>
              </w:rPr>
            </w:pPr>
            <w:r>
              <w:rPr>
                <w:rFonts w:hint="eastAsia"/>
                <w:color w:val="auto"/>
                <w:sz w:val="24"/>
                <w:highlight w:val="none"/>
              </w:rPr>
              <w:t>根据《陕西省人民政府关于加快实施“三线一单”生态环境分区管控的意见》（陕政发〔2020〕11号）及《关于印发2023年宝鸡市生态环境分区管控调整方案的通知》（宝区环办〔2024〕1号）宝鸡市生态环境管控单元分布示意图，并查阅陕西省“三线一单”数据应用系统（V1.0），</w:t>
            </w:r>
            <w:r>
              <w:rPr>
                <w:rFonts w:hint="eastAsia"/>
                <w:color w:val="auto"/>
                <w:sz w:val="24"/>
                <w:highlight w:val="none"/>
                <w:lang w:eastAsia="zh-CN"/>
              </w:rPr>
              <w:t>太白县秦华热力有限公司</w:t>
            </w:r>
            <w:r>
              <w:rPr>
                <w:rFonts w:hint="eastAsia"/>
                <w:color w:val="auto"/>
                <w:sz w:val="24"/>
                <w:highlight w:val="none"/>
                <w:lang w:val="zh-CN"/>
              </w:rPr>
              <w:t>翠矶山安置小区二期集中供热热源站建设项目</w:t>
            </w:r>
            <w:r>
              <w:rPr>
                <w:color w:val="auto"/>
                <w:sz w:val="24"/>
                <w:highlight w:val="none"/>
              </w:rPr>
              <w:t>与环境管控单元比对，项目位于</w:t>
            </w:r>
            <w:r>
              <w:rPr>
                <w:rFonts w:hint="eastAsia"/>
                <w:color w:val="auto"/>
                <w:sz w:val="24"/>
                <w:highlight w:val="none"/>
              </w:rPr>
              <w:t>优先保护单元</w:t>
            </w:r>
            <w:r>
              <w:rPr>
                <w:color w:val="auto"/>
                <w:sz w:val="24"/>
                <w:highlight w:val="none"/>
              </w:rPr>
              <w:t>。</w:t>
            </w:r>
          </w:p>
          <w:p w14:paraId="02094F15">
            <w:pPr>
              <w:spacing w:line="480" w:lineRule="exact"/>
              <w:ind w:firstLine="482" w:firstLineChars="200"/>
              <w:rPr>
                <w:color w:val="auto"/>
                <w:highlight w:val="none"/>
              </w:rPr>
            </w:pPr>
            <w:r>
              <w:rPr>
                <w:b/>
                <w:bCs/>
                <w:color w:val="auto"/>
                <w:sz w:val="24"/>
                <w:highlight w:val="none"/>
              </w:rPr>
              <w:t>（1）项目与环境管控单元对照分析示意图</w:t>
            </w:r>
          </w:p>
          <w:p w14:paraId="1AD2C6CC">
            <w:pPr>
              <w:spacing w:line="480" w:lineRule="exact"/>
              <w:ind w:firstLine="480" w:firstLineChars="200"/>
              <w:rPr>
                <w:color w:val="auto"/>
                <w:sz w:val="24"/>
                <w:highlight w:val="none"/>
              </w:rPr>
            </w:pPr>
            <w:r>
              <w:rPr>
                <w:rFonts w:hint="eastAsia"/>
                <w:color w:val="auto"/>
                <w:sz w:val="24"/>
                <w:highlight w:val="none"/>
                <w:lang w:eastAsia="zh-CN"/>
              </w:rPr>
              <w:t>项目</w:t>
            </w:r>
            <w:r>
              <w:rPr>
                <w:color w:val="auto"/>
                <w:sz w:val="24"/>
                <w:highlight w:val="none"/>
              </w:rPr>
              <w:t>环境管控单元示意图</w:t>
            </w:r>
            <w:r>
              <w:rPr>
                <w:rFonts w:hint="eastAsia"/>
                <w:color w:val="auto"/>
                <w:sz w:val="24"/>
                <w:highlight w:val="none"/>
                <w:lang w:val="en-US" w:eastAsia="zh-CN"/>
              </w:rPr>
              <w:t>详见图1-1</w:t>
            </w:r>
            <w:r>
              <w:rPr>
                <w:color w:val="auto"/>
                <w:sz w:val="24"/>
                <w:highlight w:val="none"/>
              </w:rPr>
              <w:t>。</w:t>
            </w:r>
          </w:p>
          <w:p w14:paraId="6621EB7C">
            <w:pPr>
              <w:pStyle w:val="3"/>
              <w:rPr>
                <w:color w:val="auto"/>
                <w:sz w:val="24"/>
                <w:highlight w:val="green"/>
              </w:rPr>
            </w:pPr>
            <w:r>
              <w:rPr>
                <w:color w:val="auto"/>
                <w:highlight w:val="green"/>
              </w:rPr>
              <mc:AlternateContent>
                <mc:Choice Requires="wps">
                  <w:drawing>
                    <wp:anchor distT="0" distB="0" distL="114300" distR="114300" simplePos="0" relativeHeight="251694080" behindDoc="0" locked="0" layoutInCell="1" allowOverlap="1">
                      <wp:simplePos x="0" y="0"/>
                      <wp:positionH relativeFrom="column">
                        <wp:posOffset>2633345</wp:posOffset>
                      </wp:positionH>
                      <wp:positionV relativeFrom="paragraph">
                        <wp:posOffset>1656715</wp:posOffset>
                      </wp:positionV>
                      <wp:extent cx="607060" cy="277495"/>
                      <wp:effectExtent l="0" t="0" r="0" b="0"/>
                      <wp:wrapNone/>
                      <wp:docPr id="27" name="矩形 27"/>
                      <wp:cNvGraphicFramePr/>
                      <a:graphic xmlns:a="http://schemas.openxmlformats.org/drawingml/2006/main">
                        <a:graphicData uri="http://schemas.microsoft.com/office/word/2010/wordprocessingShape">
                          <wps:wsp>
                            <wps:cNvSpPr/>
                            <wps:spPr>
                              <a:xfrm>
                                <a:off x="0" y="0"/>
                                <a:ext cx="607060" cy="277495"/>
                              </a:xfrm>
                              <a:prstGeom prst="rect">
                                <a:avLst/>
                              </a:prstGeom>
                              <a:noFill/>
                              <a:ln>
                                <a:noFill/>
                              </a:ln>
                            </wps:spPr>
                            <wps:txbx>
                              <w:txbxContent>
                                <w:p w14:paraId="0047E09F">
                                  <w:pPr>
                                    <w:jc w:val="center"/>
                                    <w:rPr>
                                      <w:rFonts w:hint="default" w:eastAsia="宋体"/>
                                      <w:b/>
                                      <w:bCs/>
                                      <w:lang w:val="en-US" w:eastAsia="zh-CN"/>
                                    </w:rPr>
                                  </w:pPr>
                                  <w:r>
                                    <w:rPr>
                                      <w:rFonts w:hint="eastAsia" w:eastAsia="宋体"/>
                                      <w:b/>
                                      <w:bCs/>
                                      <w:lang w:val="en-US" w:eastAsia="zh-CN"/>
                                    </w:rPr>
                                    <w:t>热源</w:t>
                                  </w:r>
                                  <w:r>
                                    <w:rPr>
                                      <w:rFonts w:hint="eastAsia"/>
                                      <w:b/>
                                      <w:bCs/>
                                      <w:lang w:val="en-US" w:eastAsia="zh-CN"/>
                                    </w:rPr>
                                    <w:t>站</w:t>
                                  </w:r>
                                </w:p>
                              </w:txbxContent>
                            </wps:txbx>
                            <wps:bodyPr upright="1"/>
                          </wps:wsp>
                        </a:graphicData>
                      </a:graphic>
                    </wp:anchor>
                  </w:drawing>
                </mc:Choice>
                <mc:Fallback>
                  <w:pict>
                    <v:rect id="_x0000_s1026" o:spid="_x0000_s1026" o:spt="1" style="position:absolute;left:0pt;margin-left:207.35pt;margin-top:130.45pt;height:21.85pt;width:47.8pt;z-index:251694080;mso-width-relative:page;mso-height-relative:page;" filled="f" stroked="f" coordsize="21600,21600" o:gfxdata="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KiyJCrcAAAACwEAAA8A&#10;AAAAAAAAAQAgAAAAIgAAAGRycy9kb3ducmV2LnhtbFBLAQIUABQAAAAIAIdO4kBgAt2toQEAAEID&#10;AAAOAAAAAAAAAAEAIAAAACsBAABkcnMvZTJvRG9jLnhtbFBLBQYAAAAABgAGAFkBAAA+BQAAAAA=&#10;">
                      <v:fill on="f" focussize="0,0"/>
                      <v:stroke on="f"/>
                      <v:imagedata o:title=""/>
                      <o:lock v:ext="edit" aspectratio="f"/>
                      <v:textbox>
                        <w:txbxContent>
                          <w:p w14:paraId="0047E09F">
                            <w:pPr>
                              <w:jc w:val="center"/>
                              <w:rPr>
                                <w:rFonts w:hint="default" w:eastAsia="宋体"/>
                                <w:b/>
                                <w:bCs/>
                                <w:lang w:val="en-US" w:eastAsia="zh-CN"/>
                              </w:rPr>
                            </w:pPr>
                            <w:r>
                              <w:rPr>
                                <w:rFonts w:hint="eastAsia" w:eastAsia="宋体"/>
                                <w:b/>
                                <w:bCs/>
                                <w:lang w:val="en-US" w:eastAsia="zh-CN"/>
                              </w:rPr>
                              <w:t>热源</w:t>
                            </w:r>
                            <w:r>
                              <w:rPr>
                                <w:rFonts w:hint="eastAsia"/>
                                <w:b/>
                                <w:bCs/>
                                <w:lang w:val="en-US" w:eastAsia="zh-CN"/>
                              </w:rPr>
                              <w:t>站</w:t>
                            </w:r>
                          </w:p>
                        </w:txbxContent>
                      </v:textbox>
                    </v:rect>
                  </w:pict>
                </mc:Fallback>
              </mc:AlternateContent>
            </w:r>
            <w:r>
              <w:rPr>
                <w:color w:val="auto"/>
                <w:sz w:val="24"/>
                <w:highlight w:val="green"/>
              </w:rPr>
              <mc:AlternateContent>
                <mc:Choice Requires="wps">
                  <w:drawing>
                    <wp:anchor distT="0" distB="0" distL="114300" distR="114300" simplePos="0" relativeHeight="251695104" behindDoc="0" locked="0" layoutInCell="1" allowOverlap="1">
                      <wp:simplePos x="0" y="0"/>
                      <wp:positionH relativeFrom="column">
                        <wp:posOffset>2694305</wp:posOffset>
                      </wp:positionH>
                      <wp:positionV relativeFrom="paragraph">
                        <wp:posOffset>1514475</wp:posOffset>
                      </wp:positionV>
                      <wp:extent cx="320675" cy="161925"/>
                      <wp:effectExtent l="0" t="11430" r="22225" b="17145"/>
                      <wp:wrapNone/>
                      <wp:docPr id="13" name="直接箭头连接符 13"/>
                      <wp:cNvGraphicFramePr/>
                      <a:graphic xmlns:a="http://schemas.openxmlformats.org/drawingml/2006/main">
                        <a:graphicData uri="http://schemas.microsoft.com/office/word/2010/wordprocessingShape">
                          <wps:wsp>
                            <wps:cNvCnPr/>
                            <wps:spPr>
                              <a:xfrm flipH="1">
                                <a:off x="4363720" y="3230880"/>
                                <a:ext cx="320675" cy="16192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12.15pt;margin-top:119.25pt;height:12.75pt;width:25.25pt;z-index:251695104;mso-width-relative:page;mso-height-relative:page;" filled="f" stroked="t" coordsize="21600,21600" o:gfxdata="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rUi4LZAAAACwEAAA8AAAAA&#10;AAAAAQAgAAAAIgAAAGRycy9kb3ducmV2LnhtbFBLAQIUABQAAAAIAIdO4kAuueJEEwIAAOQDAAAO&#10;AAAAAAAAAAEAIAAAACgBAABkcnMvZTJvRG9jLnhtbFBLBQYAAAAABgAGAFkBAACtBQAAAAA=&#10;">
                      <v:fill on="f" focussize="0,0"/>
                      <v:stroke weight="2pt" color="#000000 [3213]" joinstyle="round" endarrow="open"/>
                      <v:imagedata o:title=""/>
                      <o:lock v:ext="edit" aspectratio="f"/>
                    </v:shape>
                  </w:pict>
                </mc:Fallback>
              </mc:AlternateContent>
            </w:r>
            <w:r>
              <w:rPr>
                <w:color w:val="auto"/>
                <w:highlight w:val="green"/>
              </w:rPr>
              <mc:AlternateContent>
                <mc:Choice Requires="wps">
                  <w:drawing>
                    <wp:anchor distT="0" distB="0" distL="114300" distR="114300" simplePos="0" relativeHeight="251697152" behindDoc="0" locked="0" layoutInCell="1" allowOverlap="1">
                      <wp:simplePos x="0" y="0"/>
                      <wp:positionH relativeFrom="column">
                        <wp:posOffset>4246245</wp:posOffset>
                      </wp:positionH>
                      <wp:positionV relativeFrom="paragraph">
                        <wp:posOffset>446405</wp:posOffset>
                      </wp:positionV>
                      <wp:extent cx="635" cy="242570"/>
                      <wp:effectExtent l="50165" t="0" r="63500" b="5080"/>
                      <wp:wrapNone/>
                      <wp:docPr id="15" name="直接连接符 15"/>
                      <wp:cNvGraphicFramePr/>
                      <a:graphic xmlns:a="http://schemas.openxmlformats.org/drawingml/2006/main">
                        <a:graphicData uri="http://schemas.microsoft.com/office/word/2010/wordprocessingShape">
                          <wps:wsp>
                            <wps:cNvCnPr/>
                            <wps:spPr>
                              <a:xfrm flipV="1">
                                <a:off x="0" y="0"/>
                                <a:ext cx="635" cy="242570"/>
                              </a:xfrm>
                              <a:prstGeom prst="line">
                                <a:avLst/>
                              </a:prstGeom>
                              <a:ln w="12700"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y;margin-left:334.35pt;margin-top:35.15pt;height:19.1pt;width:0.05pt;z-index:251697152;mso-width-relative:page;mso-height-relative:page;" filled="f" stroked="t" coordsize="21600,21600" o:gfxdata="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CKn0eXaAAAACgEAAA8AAAAAAAAAAQAgAAAAIgAA&#10;AGRycy9kb3ducmV2LnhtbFBLAQIUABQAAAAIAIdO4kCzJghcBgIAAPMDAAAOAAAAAAAAAAEAIAAA&#10;ACkBAABkcnMvZTJvRG9jLnhtbFBLBQYAAAAABgAGAFkBAAChBQAAAAA=&#10;">
                      <v:fill on="f" focussize="0,0"/>
                      <v:stroke weight="1pt" color="#000000" joinstyle="round" endarrow="open"/>
                      <v:imagedata o:title=""/>
                      <o:lock v:ext="edit" aspectratio="f"/>
                    </v:line>
                  </w:pict>
                </mc:Fallback>
              </mc:AlternateContent>
            </w:r>
            <w:r>
              <w:rPr>
                <w:color w:val="auto"/>
                <w:highlight w:val="green"/>
              </w:rPr>
              <mc:AlternateContent>
                <mc:Choice Requires="wps">
                  <w:drawing>
                    <wp:anchor distT="0" distB="0" distL="114300" distR="114300" simplePos="0" relativeHeight="251696128" behindDoc="0" locked="0" layoutInCell="1" allowOverlap="1">
                      <wp:simplePos x="0" y="0"/>
                      <wp:positionH relativeFrom="column">
                        <wp:posOffset>4006850</wp:posOffset>
                      </wp:positionH>
                      <wp:positionV relativeFrom="paragraph">
                        <wp:posOffset>219075</wp:posOffset>
                      </wp:positionV>
                      <wp:extent cx="502285" cy="277495"/>
                      <wp:effectExtent l="0" t="0" r="0" b="0"/>
                      <wp:wrapNone/>
                      <wp:docPr id="14" name="矩形 14"/>
                      <wp:cNvGraphicFramePr/>
                      <a:graphic xmlns:a="http://schemas.openxmlformats.org/drawingml/2006/main">
                        <a:graphicData uri="http://schemas.microsoft.com/office/word/2010/wordprocessingShape">
                          <wps:wsp>
                            <wps:cNvSpPr/>
                            <wps:spPr>
                              <a:xfrm>
                                <a:off x="0" y="0"/>
                                <a:ext cx="502285" cy="277495"/>
                              </a:xfrm>
                              <a:prstGeom prst="rect">
                                <a:avLst/>
                              </a:prstGeom>
                              <a:noFill/>
                              <a:ln>
                                <a:noFill/>
                              </a:ln>
                            </wps:spPr>
                            <wps:txbx>
                              <w:txbxContent>
                                <w:p w14:paraId="3E81E1DD">
                                  <w:pPr>
                                    <w:jc w:val="center"/>
                                    <w:rPr>
                                      <w:rFonts w:eastAsia="宋体"/>
                                      <w:b/>
                                      <w:bCs/>
                                    </w:rPr>
                                  </w:pPr>
                                  <w:r>
                                    <w:rPr>
                                      <w:rFonts w:hint="eastAsia" w:eastAsia="宋体"/>
                                      <w:b/>
                                      <w:bCs/>
                                    </w:rPr>
                                    <w:t>北</w:t>
                                  </w:r>
                                </w:p>
                              </w:txbxContent>
                            </wps:txbx>
                            <wps:bodyPr upright="1"/>
                          </wps:wsp>
                        </a:graphicData>
                      </a:graphic>
                    </wp:anchor>
                  </w:drawing>
                </mc:Choice>
                <mc:Fallback>
                  <w:pict>
                    <v:rect id="_x0000_s1026" o:spid="_x0000_s1026" o:spt="1" style="position:absolute;left:0pt;margin-left:315.5pt;margin-top:17.25pt;height:21.85pt;width:39.55pt;z-index:251696128;mso-width-relative:page;mso-height-relative:page;" filled="f" stroked="f" coordsize="21600,21600" o:gfxdata="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Kwu5QjbAAAACQEAAA8A&#10;AAAAAAAAAQAgAAAAIgAAAGRycy9kb3ducmV2LnhtbFBLAQIUABQAAAAIAIdO4kAb6rZNogEAAEID&#10;AAAOAAAAAAAAAAEAIAAAACoBAABkcnMvZTJvRG9jLnhtbFBLBQYAAAAABgAGAFkBAAA+BQAAAAA=&#10;">
                      <v:fill on="f" focussize="0,0"/>
                      <v:stroke on="f"/>
                      <v:imagedata o:title=""/>
                      <o:lock v:ext="edit" aspectratio="f"/>
                      <v:textbox>
                        <w:txbxContent>
                          <w:p w14:paraId="3E81E1DD">
                            <w:pPr>
                              <w:jc w:val="center"/>
                              <w:rPr>
                                <w:rFonts w:eastAsia="宋体"/>
                                <w:b/>
                                <w:bCs/>
                              </w:rPr>
                            </w:pPr>
                            <w:r>
                              <w:rPr>
                                <w:rFonts w:hint="eastAsia" w:eastAsia="宋体"/>
                                <w:b/>
                                <w:bCs/>
                              </w:rPr>
                              <w:t>北</w:t>
                            </w:r>
                          </w:p>
                        </w:txbxContent>
                      </v:textbox>
                    </v:rect>
                  </w:pict>
                </mc:Fallback>
              </mc:AlternateContent>
            </w:r>
            <w:r>
              <w:drawing>
                <wp:inline distT="0" distB="0" distL="114300" distR="114300">
                  <wp:extent cx="4721225" cy="3257550"/>
                  <wp:effectExtent l="19050" t="19050" r="22225" b="1905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0"/>
                          <a:stretch>
                            <a:fillRect/>
                          </a:stretch>
                        </pic:blipFill>
                        <pic:spPr>
                          <a:xfrm>
                            <a:off x="0" y="0"/>
                            <a:ext cx="4721225" cy="3257550"/>
                          </a:xfrm>
                          <a:prstGeom prst="rect">
                            <a:avLst/>
                          </a:prstGeom>
                          <a:noFill/>
                          <a:ln w="19050" cmpd="sng">
                            <a:solidFill>
                              <a:schemeClr val="tx1"/>
                            </a:solidFill>
                            <a:prstDash val="solid"/>
                          </a:ln>
                        </pic:spPr>
                      </pic:pic>
                    </a:graphicData>
                  </a:graphic>
                </wp:inline>
              </w:drawing>
            </w:r>
          </w:p>
          <w:p w14:paraId="7B0BEDF8">
            <w:pPr>
              <w:pStyle w:val="21"/>
              <w:jc w:val="center"/>
              <w:rPr>
                <w:rFonts w:hint="default" w:eastAsia="宋体"/>
                <w:b/>
                <w:bCs/>
                <w:color w:val="auto"/>
                <w:sz w:val="24"/>
                <w:highlight w:val="none"/>
                <w:lang w:val="en-US" w:eastAsia="zh-CN"/>
              </w:rPr>
            </w:pPr>
            <w:r>
              <w:rPr>
                <w:rFonts w:hint="eastAsia"/>
                <w:b/>
                <w:bCs/>
                <w:color w:val="auto"/>
                <w:sz w:val="24"/>
                <w:highlight w:val="none"/>
                <w:lang w:val="en-US" w:eastAsia="zh-CN"/>
              </w:rPr>
              <w:t>图1-1   项目“三线一单”查询图</w:t>
            </w:r>
          </w:p>
          <w:p w14:paraId="04B4C8FE">
            <w:pPr>
              <w:spacing w:line="480" w:lineRule="exact"/>
              <w:ind w:firstLine="482" w:firstLineChars="200"/>
              <w:rPr>
                <w:b/>
                <w:bCs/>
                <w:color w:val="auto"/>
                <w:sz w:val="24"/>
                <w:highlight w:val="none"/>
              </w:rPr>
            </w:pPr>
            <w:r>
              <w:rPr>
                <w:b/>
                <w:bCs/>
                <w:color w:val="auto"/>
                <w:sz w:val="24"/>
                <w:highlight w:val="none"/>
              </w:rPr>
              <w:t>（2）环境管控单元涉及情况</w:t>
            </w:r>
          </w:p>
          <w:p w14:paraId="7912A7D5">
            <w:pPr>
              <w:spacing w:line="480" w:lineRule="exact"/>
              <w:jc w:val="center"/>
              <w:rPr>
                <w:b/>
                <w:bCs/>
                <w:color w:val="auto"/>
                <w:sz w:val="24"/>
                <w:highlight w:val="none"/>
              </w:rPr>
            </w:pPr>
            <w:r>
              <w:rPr>
                <w:b/>
                <w:bCs/>
                <w:color w:val="auto"/>
                <w:sz w:val="24"/>
                <w:highlight w:val="none"/>
              </w:rPr>
              <w:t>表</w:t>
            </w:r>
            <w:r>
              <w:rPr>
                <w:rFonts w:hint="eastAsia"/>
                <w:b/>
                <w:bCs/>
                <w:color w:val="auto"/>
                <w:sz w:val="24"/>
                <w:highlight w:val="none"/>
              </w:rPr>
              <w:t>1-</w:t>
            </w:r>
            <w:r>
              <w:rPr>
                <w:rFonts w:hint="eastAsia"/>
                <w:b/>
                <w:bCs/>
                <w:color w:val="auto"/>
                <w:sz w:val="24"/>
                <w:highlight w:val="none"/>
                <w:lang w:val="en-US" w:eastAsia="zh-CN"/>
              </w:rPr>
              <w:t>1</w:t>
            </w:r>
            <w:r>
              <w:rPr>
                <w:b/>
                <w:bCs/>
                <w:color w:val="auto"/>
                <w:sz w:val="24"/>
                <w:highlight w:val="none"/>
              </w:rPr>
              <w:t xml:space="preserve">   项目与环境管控单元涉及情况</w:t>
            </w:r>
          </w:p>
          <w:tbl>
            <w:tblPr>
              <w:tblStyle w:val="37"/>
              <w:tblW w:w="494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2457"/>
              <w:gridCol w:w="2458"/>
              <w:gridCol w:w="2458"/>
            </w:tblGrid>
            <w:tr w14:paraId="06BB15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2647" w:type="dxa"/>
                  <w:tcBorders>
                    <w:tl2br w:val="nil"/>
                    <w:tr2bl w:val="nil"/>
                  </w:tcBorders>
                  <w:noWrap w:val="0"/>
                  <w:vAlign w:val="center"/>
                </w:tcPr>
                <w:p w14:paraId="4107D63A">
                  <w:pPr>
                    <w:pStyle w:val="161"/>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cs="Times New Roman"/>
                      <w:b/>
                      <w:bCs/>
                      <w:color w:val="auto"/>
                      <w:sz w:val="21"/>
                      <w:szCs w:val="21"/>
                      <w:highlight w:val="none"/>
                      <w:lang w:eastAsia="zh-CN"/>
                    </w:rPr>
                  </w:pPr>
                  <w:r>
                    <w:rPr>
                      <w:rFonts w:ascii="Times New Roman" w:hAnsi="Times New Roman" w:cs="Times New Roman"/>
                      <w:b/>
                      <w:bCs/>
                      <w:color w:val="auto"/>
                      <w:sz w:val="21"/>
                      <w:szCs w:val="21"/>
                      <w:highlight w:val="none"/>
                      <w:lang w:eastAsia="zh-CN"/>
                    </w:rPr>
                    <w:t>环境管控单元分类</w:t>
                  </w:r>
                </w:p>
              </w:tc>
              <w:tc>
                <w:tcPr>
                  <w:tcW w:w="2648" w:type="dxa"/>
                  <w:tcBorders>
                    <w:tl2br w:val="nil"/>
                    <w:tr2bl w:val="nil"/>
                  </w:tcBorders>
                  <w:noWrap w:val="0"/>
                  <w:vAlign w:val="center"/>
                </w:tcPr>
                <w:p w14:paraId="3592DC8A">
                  <w:pPr>
                    <w:pStyle w:val="161"/>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cs="Times New Roman"/>
                      <w:b/>
                      <w:bCs/>
                      <w:color w:val="auto"/>
                      <w:sz w:val="21"/>
                      <w:szCs w:val="21"/>
                      <w:highlight w:val="none"/>
                      <w:lang w:eastAsia="zh-CN"/>
                    </w:rPr>
                  </w:pPr>
                  <w:r>
                    <w:rPr>
                      <w:rFonts w:ascii="Times New Roman" w:hAnsi="Times New Roman" w:cs="Times New Roman"/>
                      <w:b/>
                      <w:bCs/>
                      <w:color w:val="auto"/>
                      <w:sz w:val="21"/>
                      <w:szCs w:val="21"/>
                      <w:highlight w:val="none"/>
                      <w:lang w:eastAsia="zh-CN"/>
                    </w:rPr>
                    <w:t>是否涉及</w:t>
                  </w:r>
                </w:p>
              </w:tc>
              <w:tc>
                <w:tcPr>
                  <w:tcW w:w="2648" w:type="dxa"/>
                  <w:tcBorders>
                    <w:tl2br w:val="nil"/>
                    <w:tr2bl w:val="nil"/>
                  </w:tcBorders>
                  <w:noWrap w:val="0"/>
                  <w:vAlign w:val="center"/>
                </w:tcPr>
                <w:p w14:paraId="218423CD">
                  <w:pPr>
                    <w:pStyle w:val="161"/>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cs="Times New Roman"/>
                      <w:b/>
                      <w:bCs/>
                      <w:color w:val="auto"/>
                      <w:sz w:val="21"/>
                      <w:szCs w:val="21"/>
                      <w:highlight w:val="none"/>
                      <w:lang w:eastAsia="zh-CN"/>
                    </w:rPr>
                  </w:pPr>
                  <w:r>
                    <w:rPr>
                      <w:rFonts w:ascii="Times New Roman" w:hAnsi="Times New Roman" w:cs="Times New Roman"/>
                      <w:b/>
                      <w:bCs/>
                      <w:color w:val="auto"/>
                      <w:sz w:val="21"/>
                      <w:szCs w:val="21"/>
                      <w:highlight w:val="none"/>
                      <w:lang w:eastAsia="zh-CN"/>
                    </w:rPr>
                    <w:t>面积/长度</w:t>
                  </w:r>
                </w:p>
              </w:tc>
            </w:tr>
            <w:tr w14:paraId="74AF29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jc w:val="center"/>
              </w:trPr>
              <w:tc>
                <w:tcPr>
                  <w:tcW w:w="2647" w:type="dxa"/>
                  <w:tcBorders>
                    <w:tl2br w:val="nil"/>
                    <w:tr2bl w:val="nil"/>
                  </w:tcBorders>
                  <w:noWrap w:val="0"/>
                  <w:vAlign w:val="center"/>
                </w:tcPr>
                <w:p w14:paraId="4AAB239C">
                  <w:pPr>
                    <w:pStyle w:val="161"/>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优先保护单元</w:t>
                  </w:r>
                </w:p>
              </w:tc>
              <w:tc>
                <w:tcPr>
                  <w:tcW w:w="2648" w:type="dxa"/>
                  <w:tcBorders>
                    <w:tl2br w:val="nil"/>
                    <w:tr2bl w:val="nil"/>
                  </w:tcBorders>
                  <w:noWrap w:val="0"/>
                  <w:vAlign w:val="center"/>
                </w:tcPr>
                <w:p w14:paraId="24315A85">
                  <w:pPr>
                    <w:pStyle w:val="161"/>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是</w:t>
                  </w:r>
                </w:p>
              </w:tc>
              <w:tc>
                <w:tcPr>
                  <w:tcW w:w="2648" w:type="dxa"/>
                  <w:tcBorders>
                    <w:tl2br w:val="nil"/>
                    <w:tr2bl w:val="nil"/>
                  </w:tcBorders>
                  <w:noWrap w:val="0"/>
                  <w:vAlign w:val="center"/>
                </w:tcPr>
                <w:p w14:paraId="22ACFAA3">
                  <w:pPr>
                    <w:pStyle w:val="161"/>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161.33</w:t>
                  </w:r>
                  <w:r>
                    <w:rPr>
                      <w:rFonts w:ascii="Times New Roman" w:hAnsi="Times New Roman" w:cs="Times New Roman"/>
                      <w:color w:val="auto"/>
                      <w:sz w:val="21"/>
                      <w:szCs w:val="21"/>
                      <w:highlight w:val="none"/>
                      <w:lang w:eastAsia="zh-CN"/>
                    </w:rPr>
                    <w:t>平方米</w:t>
                  </w:r>
                </w:p>
              </w:tc>
            </w:tr>
            <w:tr w14:paraId="471C31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2647" w:type="dxa"/>
                  <w:tcBorders>
                    <w:tl2br w:val="nil"/>
                    <w:tr2bl w:val="nil"/>
                  </w:tcBorders>
                  <w:noWrap w:val="0"/>
                  <w:vAlign w:val="center"/>
                </w:tcPr>
                <w:p w14:paraId="4A5F5BBA">
                  <w:pPr>
                    <w:pStyle w:val="161"/>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重点管控单元</w:t>
                  </w:r>
                </w:p>
              </w:tc>
              <w:tc>
                <w:tcPr>
                  <w:tcW w:w="2648" w:type="dxa"/>
                  <w:tcBorders>
                    <w:tl2br w:val="nil"/>
                    <w:tr2bl w:val="nil"/>
                  </w:tcBorders>
                  <w:noWrap w:val="0"/>
                  <w:vAlign w:val="center"/>
                </w:tcPr>
                <w:p w14:paraId="1976B50A">
                  <w:pPr>
                    <w:pStyle w:val="161"/>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否</w:t>
                  </w:r>
                </w:p>
              </w:tc>
              <w:tc>
                <w:tcPr>
                  <w:tcW w:w="2648" w:type="dxa"/>
                  <w:tcBorders>
                    <w:tl2br w:val="nil"/>
                    <w:tr2bl w:val="nil"/>
                  </w:tcBorders>
                  <w:noWrap w:val="0"/>
                  <w:vAlign w:val="center"/>
                </w:tcPr>
                <w:p w14:paraId="4C0A1172">
                  <w:pPr>
                    <w:pStyle w:val="161"/>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0</w:t>
                  </w:r>
                  <w:r>
                    <w:rPr>
                      <w:rFonts w:ascii="Times New Roman" w:hAnsi="Times New Roman" w:cs="Times New Roman"/>
                      <w:color w:val="auto"/>
                      <w:sz w:val="21"/>
                      <w:szCs w:val="21"/>
                      <w:highlight w:val="none"/>
                      <w:lang w:eastAsia="zh-CN"/>
                    </w:rPr>
                    <w:t>平方米</w:t>
                  </w:r>
                </w:p>
              </w:tc>
            </w:tr>
            <w:tr w14:paraId="42F5A0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jc w:val="center"/>
              </w:trPr>
              <w:tc>
                <w:tcPr>
                  <w:tcW w:w="2647" w:type="dxa"/>
                  <w:tcBorders>
                    <w:tl2br w:val="nil"/>
                    <w:tr2bl w:val="nil"/>
                  </w:tcBorders>
                  <w:noWrap w:val="0"/>
                  <w:vAlign w:val="center"/>
                </w:tcPr>
                <w:p w14:paraId="0A25FF67">
                  <w:pPr>
                    <w:pStyle w:val="161"/>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一般管控单元</w:t>
                  </w:r>
                </w:p>
              </w:tc>
              <w:tc>
                <w:tcPr>
                  <w:tcW w:w="2648" w:type="dxa"/>
                  <w:tcBorders>
                    <w:tl2br w:val="nil"/>
                    <w:tr2bl w:val="nil"/>
                  </w:tcBorders>
                  <w:noWrap w:val="0"/>
                  <w:vAlign w:val="center"/>
                </w:tcPr>
                <w:p w14:paraId="50DBEB0A">
                  <w:pPr>
                    <w:pStyle w:val="161"/>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否</w:t>
                  </w:r>
                </w:p>
              </w:tc>
              <w:tc>
                <w:tcPr>
                  <w:tcW w:w="2648" w:type="dxa"/>
                  <w:tcBorders>
                    <w:tl2br w:val="nil"/>
                    <w:tr2bl w:val="nil"/>
                  </w:tcBorders>
                  <w:noWrap w:val="0"/>
                  <w:vAlign w:val="center"/>
                </w:tcPr>
                <w:p w14:paraId="14FBEBA9">
                  <w:pPr>
                    <w:pStyle w:val="161"/>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Times New Roman" w:hAnsi="Times New Roman" w:cs="Times New Roman"/>
                      <w:color w:val="auto"/>
                      <w:sz w:val="21"/>
                      <w:szCs w:val="21"/>
                      <w:highlight w:val="none"/>
                      <w:lang w:eastAsia="zh-CN"/>
                    </w:rPr>
                  </w:pPr>
                  <w:r>
                    <w:rPr>
                      <w:rFonts w:ascii="Times New Roman" w:hAnsi="Times New Roman" w:cs="Times New Roman"/>
                      <w:color w:val="auto"/>
                      <w:sz w:val="21"/>
                      <w:szCs w:val="21"/>
                      <w:highlight w:val="none"/>
                      <w:lang w:eastAsia="zh-CN"/>
                    </w:rPr>
                    <w:t>0平方米</w:t>
                  </w:r>
                </w:p>
              </w:tc>
            </w:tr>
          </w:tbl>
          <w:p w14:paraId="7F61200A">
            <w:pPr>
              <w:autoSpaceDE w:val="0"/>
              <w:autoSpaceDN w:val="0"/>
              <w:spacing w:line="480" w:lineRule="exact"/>
              <w:ind w:firstLine="530" w:firstLineChars="200"/>
              <w:rPr>
                <w:b/>
                <w:bCs/>
                <w:color w:val="auto"/>
                <w:sz w:val="24"/>
                <w:highlight w:val="none"/>
              </w:rPr>
            </w:pPr>
            <w:r>
              <w:rPr>
                <w:b/>
                <w:bCs/>
                <w:color w:val="auto"/>
                <w:spacing w:val="12"/>
                <w:sz w:val="24"/>
                <w:highlight w:val="none"/>
              </w:rPr>
              <w:t>（3）项目符合性说明</w:t>
            </w:r>
          </w:p>
          <w:p w14:paraId="19334FDB">
            <w:pPr>
              <w:spacing w:line="480" w:lineRule="exact"/>
              <w:jc w:val="center"/>
              <w:rPr>
                <w:b/>
                <w:color w:val="auto"/>
                <w:sz w:val="24"/>
                <w:highlight w:val="none"/>
              </w:rPr>
            </w:pPr>
            <w:r>
              <w:rPr>
                <w:b/>
                <w:color w:val="auto"/>
                <w:sz w:val="24"/>
                <w:highlight w:val="none"/>
              </w:rPr>
              <w:t>表</w:t>
            </w:r>
            <w:r>
              <w:rPr>
                <w:rFonts w:hint="eastAsia"/>
                <w:b/>
                <w:color w:val="auto"/>
                <w:sz w:val="24"/>
                <w:highlight w:val="none"/>
              </w:rPr>
              <w:t>1-</w:t>
            </w:r>
            <w:r>
              <w:rPr>
                <w:rFonts w:hint="eastAsia"/>
                <w:b/>
                <w:color w:val="auto"/>
                <w:sz w:val="24"/>
                <w:highlight w:val="none"/>
                <w:lang w:val="en-US" w:eastAsia="zh-CN"/>
              </w:rPr>
              <w:t>2</w:t>
            </w:r>
            <w:r>
              <w:rPr>
                <w:b/>
                <w:color w:val="auto"/>
                <w:sz w:val="24"/>
                <w:highlight w:val="none"/>
              </w:rPr>
              <w:t xml:space="preserve">   项目与环境管控单元管控要求符合性分析</w:t>
            </w:r>
          </w:p>
          <w:tbl>
            <w:tblPr>
              <w:tblStyle w:val="37"/>
              <w:tblW w:w="494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28" w:type="dxa"/>
                <w:left w:w="28" w:type="dxa"/>
                <w:bottom w:w="28" w:type="dxa"/>
                <w:right w:w="28" w:type="dxa"/>
              </w:tblCellMar>
            </w:tblPr>
            <w:tblGrid>
              <w:gridCol w:w="272"/>
              <w:gridCol w:w="504"/>
              <w:gridCol w:w="413"/>
              <w:gridCol w:w="878"/>
              <w:gridCol w:w="457"/>
              <w:gridCol w:w="529"/>
              <w:gridCol w:w="1977"/>
              <w:gridCol w:w="1807"/>
              <w:gridCol w:w="536"/>
            </w:tblGrid>
            <w:tr w14:paraId="4F1F80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272" w:type="dxa"/>
                  <w:tcBorders>
                    <w:tl2br w:val="nil"/>
                    <w:tr2bl w:val="nil"/>
                  </w:tcBorders>
                  <w:noWrap w:val="0"/>
                  <w:vAlign w:val="center"/>
                </w:tcPr>
                <w:p w14:paraId="330FF1C6">
                  <w:pPr>
                    <w:spacing w:line="240" w:lineRule="atLeast"/>
                    <w:jc w:val="center"/>
                    <w:rPr>
                      <w:b/>
                      <w:bCs/>
                      <w:color w:val="auto"/>
                      <w:sz w:val="21"/>
                      <w:szCs w:val="21"/>
                      <w:highlight w:val="none"/>
                    </w:rPr>
                  </w:pPr>
                  <w:r>
                    <w:rPr>
                      <w:b/>
                      <w:bCs/>
                      <w:color w:val="auto"/>
                      <w:sz w:val="21"/>
                      <w:szCs w:val="21"/>
                      <w:highlight w:val="none"/>
                    </w:rPr>
                    <w:t>序号</w:t>
                  </w:r>
                </w:p>
              </w:tc>
              <w:tc>
                <w:tcPr>
                  <w:tcW w:w="504" w:type="dxa"/>
                  <w:tcBorders>
                    <w:tl2br w:val="nil"/>
                    <w:tr2bl w:val="nil"/>
                  </w:tcBorders>
                  <w:noWrap w:val="0"/>
                  <w:vAlign w:val="center"/>
                </w:tcPr>
                <w:p w14:paraId="1A6F7A03">
                  <w:pPr>
                    <w:spacing w:line="240" w:lineRule="atLeast"/>
                    <w:jc w:val="center"/>
                    <w:rPr>
                      <w:b/>
                      <w:bCs/>
                      <w:color w:val="auto"/>
                      <w:sz w:val="21"/>
                      <w:szCs w:val="21"/>
                      <w:highlight w:val="none"/>
                    </w:rPr>
                  </w:pPr>
                  <w:r>
                    <w:rPr>
                      <w:b/>
                      <w:bCs/>
                      <w:color w:val="auto"/>
                      <w:sz w:val="21"/>
                      <w:szCs w:val="21"/>
                      <w:highlight w:val="none"/>
                    </w:rPr>
                    <w:t>市（区）</w:t>
                  </w:r>
                </w:p>
              </w:tc>
              <w:tc>
                <w:tcPr>
                  <w:tcW w:w="413" w:type="dxa"/>
                  <w:tcBorders>
                    <w:tl2br w:val="nil"/>
                    <w:tr2bl w:val="nil"/>
                  </w:tcBorders>
                  <w:noWrap w:val="0"/>
                  <w:vAlign w:val="center"/>
                </w:tcPr>
                <w:p w14:paraId="7346DF2F">
                  <w:pPr>
                    <w:spacing w:line="240" w:lineRule="atLeast"/>
                    <w:jc w:val="center"/>
                    <w:rPr>
                      <w:b/>
                      <w:bCs/>
                      <w:color w:val="auto"/>
                      <w:sz w:val="21"/>
                      <w:szCs w:val="21"/>
                      <w:highlight w:val="none"/>
                    </w:rPr>
                  </w:pPr>
                  <w:r>
                    <w:rPr>
                      <w:b/>
                      <w:bCs/>
                      <w:color w:val="auto"/>
                      <w:sz w:val="21"/>
                      <w:szCs w:val="21"/>
                      <w:highlight w:val="none"/>
                    </w:rPr>
                    <w:t>区县</w:t>
                  </w:r>
                </w:p>
              </w:tc>
              <w:tc>
                <w:tcPr>
                  <w:tcW w:w="878" w:type="dxa"/>
                  <w:tcBorders>
                    <w:tl2br w:val="nil"/>
                    <w:tr2bl w:val="nil"/>
                  </w:tcBorders>
                  <w:noWrap w:val="0"/>
                  <w:vAlign w:val="center"/>
                </w:tcPr>
                <w:p w14:paraId="706E39D2">
                  <w:pPr>
                    <w:spacing w:line="240" w:lineRule="atLeast"/>
                    <w:jc w:val="center"/>
                    <w:rPr>
                      <w:b/>
                      <w:bCs/>
                      <w:color w:val="auto"/>
                      <w:sz w:val="21"/>
                      <w:szCs w:val="21"/>
                      <w:highlight w:val="none"/>
                    </w:rPr>
                  </w:pPr>
                  <w:r>
                    <w:rPr>
                      <w:b/>
                      <w:bCs/>
                      <w:color w:val="auto"/>
                      <w:sz w:val="21"/>
                      <w:szCs w:val="21"/>
                      <w:highlight w:val="none"/>
                    </w:rPr>
                    <w:t>环境管控单元名称</w:t>
                  </w:r>
                </w:p>
              </w:tc>
              <w:tc>
                <w:tcPr>
                  <w:tcW w:w="457" w:type="dxa"/>
                  <w:tcBorders>
                    <w:tl2br w:val="nil"/>
                    <w:tr2bl w:val="nil"/>
                  </w:tcBorders>
                  <w:noWrap w:val="0"/>
                  <w:vAlign w:val="center"/>
                </w:tcPr>
                <w:p w14:paraId="18FC458F">
                  <w:pPr>
                    <w:spacing w:line="240" w:lineRule="atLeast"/>
                    <w:jc w:val="center"/>
                    <w:rPr>
                      <w:b/>
                      <w:bCs/>
                      <w:color w:val="auto"/>
                      <w:sz w:val="21"/>
                      <w:szCs w:val="21"/>
                      <w:highlight w:val="none"/>
                    </w:rPr>
                  </w:pPr>
                  <w:r>
                    <w:rPr>
                      <w:b/>
                      <w:bCs/>
                      <w:color w:val="auto"/>
                      <w:sz w:val="21"/>
                      <w:szCs w:val="21"/>
                      <w:highlight w:val="none"/>
                    </w:rPr>
                    <w:t>单元要素属性</w:t>
                  </w:r>
                </w:p>
              </w:tc>
              <w:tc>
                <w:tcPr>
                  <w:tcW w:w="529" w:type="dxa"/>
                  <w:tcBorders>
                    <w:tl2br w:val="nil"/>
                    <w:tr2bl w:val="nil"/>
                  </w:tcBorders>
                  <w:noWrap w:val="0"/>
                  <w:vAlign w:val="center"/>
                </w:tcPr>
                <w:p w14:paraId="4936E142">
                  <w:pPr>
                    <w:spacing w:line="240" w:lineRule="atLeast"/>
                    <w:jc w:val="center"/>
                    <w:rPr>
                      <w:b/>
                      <w:bCs/>
                      <w:color w:val="auto"/>
                      <w:sz w:val="21"/>
                      <w:szCs w:val="21"/>
                      <w:highlight w:val="none"/>
                    </w:rPr>
                  </w:pPr>
                  <w:r>
                    <w:rPr>
                      <w:b/>
                      <w:bCs/>
                      <w:color w:val="auto"/>
                      <w:sz w:val="21"/>
                      <w:szCs w:val="21"/>
                      <w:highlight w:val="none"/>
                    </w:rPr>
                    <w:t>管控要求分类</w:t>
                  </w:r>
                </w:p>
              </w:tc>
              <w:tc>
                <w:tcPr>
                  <w:tcW w:w="1977" w:type="dxa"/>
                  <w:tcBorders>
                    <w:tl2br w:val="nil"/>
                    <w:tr2bl w:val="nil"/>
                  </w:tcBorders>
                  <w:noWrap w:val="0"/>
                  <w:vAlign w:val="center"/>
                </w:tcPr>
                <w:p w14:paraId="266EEF07">
                  <w:pPr>
                    <w:spacing w:line="240" w:lineRule="atLeast"/>
                    <w:jc w:val="center"/>
                    <w:rPr>
                      <w:b/>
                      <w:bCs/>
                      <w:color w:val="auto"/>
                      <w:sz w:val="21"/>
                      <w:szCs w:val="21"/>
                      <w:highlight w:val="none"/>
                    </w:rPr>
                  </w:pPr>
                  <w:r>
                    <w:rPr>
                      <w:b/>
                      <w:bCs/>
                      <w:color w:val="auto"/>
                      <w:sz w:val="21"/>
                      <w:szCs w:val="21"/>
                      <w:highlight w:val="none"/>
                    </w:rPr>
                    <w:t>管控要求</w:t>
                  </w:r>
                </w:p>
              </w:tc>
              <w:tc>
                <w:tcPr>
                  <w:tcW w:w="1807" w:type="dxa"/>
                  <w:tcBorders>
                    <w:tl2br w:val="nil"/>
                    <w:tr2bl w:val="nil"/>
                  </w:tcBorders>
                  <w:noWrap w:val="0"/>
                  <w:vAlign w:val="center"/>
                </w:tcPr>
                <w:p w14:paraId="5CBAD6ED">
                  <w:pPr>
                    <w:spacing w:line="240" w:lineRule="atLeast"/>
                    <w:jc w:val="center"/>
                    <w:rPr>
                      <w:b/>
                      <w:bCs/>
                      <w:color w:val="auto"/>
                      <w:sz w:val="21"/>
                      <w:szCs w:val="21"/>
                      <w:highlight w:val="none"/>
                      <w:lang w:eastAsia="en-US"/>
                    </w:rPr>
                  </w:pPr>
                  <w:r>
                    <w:rPr>
                      <w:b/>
                      <w:bCs/>
                      <w:color w:val="auto"/>
                      <w:sz w:val="21"/>
                      <w:szCs w:val="21"/>
                      <w:highlight w:val="none"/>
                    </w:rPr>
                    <w:t>项目情况</w:t>
                  </w:r>
                </w:p>
              </w:tc>
              <w:tc>
                <w:tcPr>
                  <w:tcW w:w="536" w:type="dxa"/>
                  <w:tcBorders>
                    <w:tl2br w:val="nil"/>
                    <w:tr2bl w:val="nil"/>
                  </w:tcBorders>
                  <w:noWrap w:val="0"/>
                  <w:vAlign w:val="center"/>
                </w:tcPr>
                <w:p w14:paraId="6754207E">
                  <w:pPr>
                    <w:spacing w:line="240" w:lineRule="atLeast"/>
                    <w:jc w:val="center"/>
                    <w:rPr>
                      <w:b/>
                      <w:bCs/>
                      <w:color w:val="auto"/>
                      <w:sz w:val="21"/>
                      <w:szCs w:val="21"/>
                      <w:highlight w:val="none"/>
                      <w:lang w:eastAsia="en-US"/>
                    </w:rPr>
                  </w:pPr>
                  <w:r>
                    <w:rPr>
                      <w:b/>
                      <w:bCs/>
                      <w:color w:val="auto"/>
                      <w:sz w:val="21"/>
                      <w:szCs w:val="21"/>
                      <w:highlight w:val="none"/>
                      <w:lang w:eastAsia="en-US"/>
                    </w:rPr>
                    <w:t>相符性</w:t>
                  </w:r>
                </w:p>
              </w:tc>
            </w:tr>
            <w:tr w14:paraId="3501E1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28" w:type="dxa"/>
                  <w:left w:w="28" w:type="dxa"/>
                  <w:bottom w:w="28" w:type="dxa"/>
                  <w:right w:w="28" w:type="dxa"/>
                </w:tblCellMar>
              </w:tblPrEx>
              <w:trPr>
                <w:trHeight w:val="397" w:hRule="atLeast"/>
                <w:jc w:val="center"/>
              </w:trPr>
              <w:tc>
                <w:tcPr>
                  <w:tcW w:w="272" w:type="dxa"/>
                  <w:tcBorders>
                    <w:tl2br w:val="nil"/>
                    <w:tr2bl w:val="nil"/>
                  </w:tcBorders>
                  <w:noWrap w:val="0"/>
                  <w:vAlign w:val="center"/>
                </w:tcPr>
                <w:p w14:paraId="0FC429E3">
                  <w:pPr>
                    <w:spacing w:line="240" w:lineRule="atLeast"/>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504" w:type="dxa"/>
                  <w:tcBorders>
                    <w:tl2br w:val="nil"/>
                    <w:tr2bl w:val="nil"/>
                  </w:tcBorders>
                  <w:noWrap w:val="0"/>
                  <w:vAlign w:val="center"/>
                </w:tcPr>
                <w:p w14:paraId="6E0021D7">
                  <w:pPr>
                    <w:spacing w:line="240" w:lineRule="atLeast"/>
                    <w:rPr>
                      <w:rFonts w:hint="eastAsia"/>
                      <w:color w:val="auto"/>
                      <w:kern w:val="2"/>
                      <w:sz w:val="21"/>
                      <w:szCs w:val="21"/>
                      <w:highlight w:val="none"/>
                      <w:lang w:val="en-US" w:eastAsia="zh-CN" w:bidi="ar-SA"/>
                    </w:rPr>
                  </w:pPr>
                  <w:r>
                    <w:rPr>
                      <w:rFonts w:hint="eastAsia"/>
                      <w:color w:val="auto"/>
                      <w:sz w:val="21"/>
                      <w:szCs w:val="21"/>
                      <w:highlight w:val="none"/>
                    </w:rPr>
                    <w:t>宝鸡市</w:t>
                  </w:r>
                </w:p>
              </w:tc>
              <w:tc>
                <w:tcPr>
                  <w:tcW w:w="413" w:type="dxa"/>
                  <w:tcBorders>
                    <w:tl2br w:val="nil"/>
                    <w:tr2bl w:val="nil"/>
                  </w:tcBorders>
                  <w:noWrap w:val="0"/>
                  <w:vAlign w:val="center"/>
                </w:tcPr>
                <w:p w14:paraId="01EC9D18">
                  <w:pPr>
                    <w:spacing w:line="240" w:lineRule="atLeast"/>
                    <w:rPr>
                      <w:rFonts w:hint="eastAsia" w:eastAsia="宋体"/>
                      <w:color w:val="auto"/>
                      <w:kern w:val="2"/>
                      <w:sz w:val="21"/>
                      <w:szCs w:val="21"/>
                      <w:highlight w:val="none"/>
                      <w:lang w:val="en-US" w:eastAsia="zh-CN" w:bidi="ar-SA"/>
                    </w:rPr>
                  </w:pPr>
                  <w:r>
                    <w:rPr>
                      <w:rFonts w:hint="eastAsia"/>
                      <w:color w:val="auto"/>
                      <w:sz w:val="21"/>
                      <w:szCs w:val="21"/>
                      <w:highlight w:val="none"/>
                      <w:lang w:eastAsia="zh-CN"/>
                    </w:rPr>
                    <w:t>太白县</w:t>
                  </w:r>
                </w:p>
              </w:tc>
              <w:tc>
                <w:tcPr>
                  <w:tcW w:w="878" w:type="dxa"/>
                  <w:tcBorders>
                    <w:tl2br w:val="nil"/>
                    <w:tr2bl w:val="nil"/>
                  </w:tcBorders>
                  <w:noWrap w:val="0"/>
                  <w:vAlign w:val="center"/>
                </w:tcPr>
                <w:p w14:paraId="364F5635">
                  <w:pPr>
                    <w:spacing w:line="240" w:lineRule="atLeast"/>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陕西</w:t>
                  </w:r>
                </w:p>
                <w:p w14:paraId="59BE59E5">
                  <w:pPr>
                    <w:spacing w:line="240" w:lineRule="atLeast"/>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省宝</w:t>
                  </w:r>
                </w:p>
                <w:p w14:paraId="70103C12">
                  <w:pPr>
                    <w:spacing w:line="240" w:lineRule="atLeast"/>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鸡市</w:t>
                  </w:r>
                </w:p>
                <w:p w14:paraId="3126AAA3">
                  <w:pPr>
                    <w:spacing w:line="240" w:lineRule="atLeast"/>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太白</w:t>
                  </w:r>
                </w:p>
                <w:p w14:paraId="1956041E">
                  <w:pPr>
                    <w:spacing w:line="240" w:lineRule="atLeast"/>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县优</w:t>
                  </w:r>
                </w:p>
                <w:p w14:paraId="5A843076">
                  <w:pPr>
                    <w:spacing w:line="240" w:lineRule="atLeast"/>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先保</w:t>
                  </w:r>
                </w:p>
                <w:p w14:paraId="2FC28364">
                  <w:pPr>
                    <w:spacing w:line="240" w:lineRule="atLeast"/>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护单</w:t>
                  </w:r>
                </w:p>
                <w:p w14:paraId="5843F79C">
                  <w:pPr>
                    <w:spacing w:line="240" w:lineRule="atLeast"/>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元3</w:t>
                  </w:r>
                </w:p>
              </w:tc>
              <w:tc>
                <w:tcPr>
                  <w:tcW w:w="457" w:type="dxa"/>
                  <w:tcBorders>
                    <w:tl2br w:val="nil"/>
                    <w:tr2bl w:val="nil"/>
                  </w:tcBorders>
                  <w:noWrap w:val="0"/>
                  <w:vAlign w:val="center"/>
                </w:tcPr>
                <w:p w14:paraId="1EEE5EFB">
                  <w:pPr>
                    <w:spacing w:line="240" w:lineRule="atLeast"/>
                    <w:jc w:val="center"/>
                    <w:rPr>
                      <w:rFonts w:hint="eastAsia"/>
                      <w:color w:val="auto"/>
                      <w:sz w:val="21"/>
                      <w:szCs w:val="21"/>
                      <w:highlight w:val="none"/>
                    </w:rPr>
                  </w:pPr>
                  <w:r>
                    <w:rPr>
                      <w:rFonts w:hint="eastAsia"/>
                      <w:color w:val="auto"/>
                      <w:sz w:val="21"/>
                      <w:szCs w:val="21"/>
                      <w:highlight w:val="none"/>
                    </w:rPr>
                    <w:t>水环境优先保护区</w:t>
                  </w:r>
                </w:p>
              </w:tc>
              <w:tc>
                <w:tcPr>
                  <w:tcW w:w="529" w:type="dxa"/>
                  <w:tcBorders>
                    <w:tl2br w:val="nil"/>
                    <w:tr2bl w:val="nil"/>
                  </w:tcBorders>
                  <w:noWrap w:val="0"/>
                  <w:vAlign w:val="center"/>
                </w:tcPr>
                <w:p w14:paraId="327E46EB">
                  <w:pPr>
                    <w:spacing w:line="240" w:lineRule="atLeast"/>
                    <w:jc w:val="center"/>
                    <w:rPr>
                      <w:rFonts w:hint="eastAsia"/>
                      <w:color w:val="auto"/>
                      <w:sz w:val="21"/>
                      <w:szCs w:val="21"/>
                      <w:highlight w:val="none"/>
                    </w:rPr>
                  </w:pPr>
                  <w:r>
                    <w:rPr>
                      <w:rFonts w:hint="eastAsia"/>
                      <w:color w:val="auto"/>
                      <w:sz w:val="21"/>
                      <w:szCs w:val="21"/>
                      <w:highlight w:val="none"/>
                    </w:rPr>
                    <w:t>空间布局约束</w:t>
                  </w:r>
                </w:p>
              </w:tc>
              <w:tc>
                <w:tcPr>
                  <w:tcW w:w="1977" w:type="dxa"/>
                  <w:tcBorders>
                    <w:tl2br w:val="nil"/>
                    <w:tr2bl w:val="nil"/>
                  </w:tcBorders>
                  <w:noWrap w:val="0"/>
                  <w:vAlign w:val="center"/>
                </w:tcPr>
                <w:p w14:paraId="2F3540BD">
                  <w:pPr>
                    <w:pStyle w:val="30"/>
                    <w:ind w:left="0" w:leftChars="0" w:firstLine="0" w:firstLineChars="0"/>
                    <w:rPr>
                      <w:rFonts w:hint="eastAsia"/>
                      <w:color w:val="auto"/>
                      <w:highlight w:val="none"/>
                    </w:rPr>
                  </w:pPr>
                  <w:r>
                    <w:rPr>
                      <w:rFonts w:hint="eastAsia"/>
                      <w:color w:val="auto"/>
                      <w:highlight w:val="none"/>
                    </w:rPr>
                    <w:t>水环境优先保护区：1.强化江河源头和饮用水水源地保护。加强主要江河源头、重要水源涵养地的水环境保护，划定禁止开发范围。依法划定和保护饮用水水源保护区，加强水土流失和面源污染防治，严格管控入河排污口，严格河道采砂管理，维系江河湖库健康生命。</w:t>
                  </w:r>
                </w:p>
              </w:tc>
              <w:tc>
                <w:tcPr>
                  <w:tcW w:w="1807" w:type="dxa"/>
                  <w:tcBorders>
                    <w:tl2br w:val="nil"/>
                    <w:tr2bl w:val="nil"/>
                  </w:tcBorders>
                  <w:noWrap w:val="0"/>
                  <w:vAlign w:val="center"/>
                </w:tcPr>
                <w:p w14:paraId="39D6B067">
                  <w:pPr>
                    <w:numPr>
                      <w:ilvl w:val="0"/>
                      <w:numId w:val="0"/>
                    </w:numPr>
                    <w:spacing w:line="240" w:lineRule="atLeas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1.</w:t>
                  </w:r>
                  <w:r>
                    <w:rPr>
                      <w:rFonts w:hint="eastAsia" w:ascii="Times New Roman" w:hAnsi="Times New Roman" w:eastAsia="宋体" w:cs="Times New Roman"/>
                      <w:color w:val="auto"/>
                      <w:sz w:val="21"/>
                      <w:szCs w:val="21"/>
                      <w:highlight w:val="none"/>
                      <w:lang w:val="en-US" w:eastAsia="zh-CN"/>
                    </w:rPr>
                    <w:t>项目废水水质简单，经冷却水</w:t>
                  </w:r>
                  <w:r>
                    <w:rPr>
                      <w:rFonts w:hint="eastAsia" w:cs="Times New Roman"/>
                      <w:color w:val="auto"/>
                      <w:sz w:val="21"/>
                      <w:szCs w:val="21"/>
                      <w:highlight w:val="none"/>
                      <w:lang w:val="en-US" w:eastAsia="zh-CN"/>
                    </w:rPr>
                    <w:t>槽</w:t>
                  </w:r>
                  <w:r>
                    <w:rPr>
                      <w:rFonts w:hint="eastAsia" w:ascii="Times New Roman" w:hAnsi="Times New Roman" w:eastAsia="宋体" w:cs="Times New Roman"/>
                      <w:color w:val="auto"/>
                      <w:sz w:val="21"/>
                      <w:szCs w:val="21"/>
                      <w:highlight w:val="none"/>
                      <w:lang w:val="en-US" w:eastAsia="zh-CN"/>
                    </w:rPr>
                    <w:t>冷却后排入小区化粪池，经化粪池处理后排入市政污水管网，进入太白县污水处理厂处理后达标排放，项目不新增排污口。</w:t>
                  </w:r>
                </w:p>
                <w:p w14:paraId="197E038B">
                  <w:pPr>
                    <w:pStyle w:val="30"/>
                    <w:ind w:left="0" w:leftChars="0" w:firstLine="0" w:firstLineChars="0"/>
                    <w:rPr>
                      <w:rFonts w:hint="default"/>
                      <w:color w:val="auto"/>
                      <w:highlight w:val="none"/>
                      <w:lang w:val="en-US" w:eastAsia="zh-CN"/>
                    </w:rPr>
                  </w:pPr>
                </w:p>
              </w:tc>
              <w:tc>
                <w:tcPr>
                  <w:tcW w:w="536" w:type="dxa"/>
                  <w:tcBorders>
                    <w:tl2br w:val="nil"/>
                    <w:tr2bl w:val="nil"/>
                  </w:tcBorders>
                  <w:noWrap w:val="0"/>
                  <w:vAlign w:val="center"/>
                </w:tcPr>
                <w:p w14:paraId="341D11A2">
                  <w:pPr>
                    <w:spacing w:line="240" w:lineRule="atLeast"/>
                    <w:rPr>
                      <w:rFonts w:hint="eastAsia"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基本</w:t>
                  </w:r>
                  <w:r>
                    <w:rPr>
                      <w:rFonts w:hint="eastAsia" w:ascii="Times New Roman" w:hAnsi="Times New Roman" w:eastAsia="宋体" w:cs="Times New Roman"/>
                      <w:color w:val="auto"/>
                      <w:sz w:val="21"/>
                      <w:szCs w:val="21"/>
                      <w:highlight w:val="none"/>
                    </w:rPr>
                    <w:t>符合</w:t>
                  </w:r>
                </w:p>
              </w:tc>
            </w:tr>
          </w:tbl>
          <w:p w14:paraId="77637BD3">
            <w:pPr>
              <w:spacing w:line="360" w:lineRule="auto"/>
              <w:ind w:firstLine="480" w:firstLineChars="200"/>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Cs/>
                <w:color w:val="auto"/>
                <w:sz w:val="24"/>
                <w:szCs w:val="24"/>
                <w:highlight w:val="none"/>
                <w:lang w:val="en-US" w:eastAsia="zh-CN"/>
              </w:rPr>
              <w:t>综上，</w:t>
            </w:r>
            <w:r>
              <w:rPr>
                <w:rFonts w:hint="eastAsia" w:cs="Times New Roman"/>
                <w:bCs/>
                <w:color w:val="auto"/>
                <w:sz w:val="24"/>
                <w:szCs w:val="24"/>
                <w:highlight w:val="none"/>
                <w:lang w:val="en-US" w:eastAsia="zh-CN"/>
              </w:rPr>
              <w:t>按</w:t>
            </w:r>
            <w:r>
              <w:rPr>
                <w:rFonts w:hint="eastAsia" w:ascii="Times New Roman" w:hAnsi="Times New Roman" w:eastAsia="宋体" w:cs="Times New Roman"/>
                <w:bCs/>
                <w:color w:val="auto"/>
                <w:sz w:val="24"/>
                <w:szCs w:val="24"/>
                <w:highlight w:val="none"/>
                <w:lang w:val="en-US" w:eastAsia="zh-CN"/>
              </w:rPr>
              <w:t>陕西省“三线一单”数据应用系统（V1.0）</w:t>
            </w:r>
            <w:r>
              <w:rPr>
                <w:rFonts w:hint="eastAsia" w:cs="Times New Roman"/>
                <w:bCs/>
                <w:color w:val="auto"/>
                <w:sz w:val="24"/>
                <w:szCs w:val="24"/>
                <w:highlight w:val="none"/>
                <w:lang w:val="en-US" w:eastAsia="zh-CN"/>
              </w:rPr>
              <w:t>导出结果，</w:t>
            </w:r>
            <w:r>
              <w:rPr>
                <w:rFonts w:hint="eastAsia" w:ascii="Times New Roman" w:hAnsi="Times New Roman" w:eastAsia="宋体" w:cs="Times New Roman"/>
                <w:bCs/>
                <w:color w:val="auto"/>
                <w:sz w:val="24"/>
                <w:szCs w:val="24"/>
                <w:highlight w:val="none"/>
                <w:lang w:val="en-US" w:eastAsia="zh-CN"/>
              </w:rPr>
              <w:t>项目位于</w:t>
            </w:r>
            <w:r>
              <w:rPr>
                <w:rFonts w:hint="eastAsia" w:ascii="Times New Roman" w:hAnsi="Times New Roman" w:eastAsia="宋体" w:cs="Times New Roman"/>
                <w:bCs/>
                <w:color w:val="auto"/>
                <w:sz w:val="24"/>
                <w:szCs w:val="24"/>
                <w:highlight w:val="none"/>
                <w:lang w:eastAsia="zh-CN"/>
              </w:rPr>
              <w:t>秦岭重点保护区环境管控单元</w:t>
            </w:r>
            <w:r>
              <w:rPr>
                <w:rFonts w:hint="eastAsia" w:ascii="Times New Roman" w:hAnsi="Times New Roman" w:eastAsia="宋体" w:cs="Times New Roman"/>
                <w:bCs/>
                <w:color w:val="auto"/>
                <w:sz w:val="24"/>
                <w:szCs w:val="24"/>
                <w:highlight w:val="none"/>
                <w:lang w:val="en-US" w:eastAsia="zh-CN"/>
              </w:rPr>
              <w:t>，属于优先保护单元，优先保护单元以生态优先为原则，突出空间布局约束，依法禁止或限制大规模、高强度工业开发和城镇建设活动，开展生态功能受损区域生态保护修复活动，确保重要生态环境功能不降低。本项目属于</w:t>
            </w:r>
            <w:r>
              <w:rPr>
                <w:rFonts w:hint="eastAsia" w:cs="Times New Roman"/>
                <w:bCs/>
                <w:color w:val="auto"/>
                <w:sz w:val="24"/>
                <w:szCs w:val="24"/>
                <w:highlight w:val="none"/>
                <w:lang w:val="en-US" w:eastAsia="zh-CN"/>
              </w:rPr>
              <w:t>城市基础设施配套</w:t>
            </w:r>
            <w:r>
              <w:rPr>
                <w:rFonts w:hint="eastAsia" w:ascii="Times New Roman" w:hAnsi="Times New Roman" w:eastAsia="宋体" w:cs="Times New Roman"/>
                <w:bCs/>
                <w:color w:val="auto"/>
                <w:sz w:val="24"/>
                <w:szCs w:val="24"/>
                <w:highlight w:val="none"/>
                <w:lang w:val="en-US" w:eastAsia="zh-CN"/>
              </w:rPr>
              <w:t>集中供热，</w:t>
            </w:r>
            <w:r>
              <w:rPr>
                <w:rFonts w:hint="eastAsia" w:cs="Times New Roman"/>
                <w:bCs/>
                <w:color w:val="auto"/>
                <w:sz w:val="24"/>
                <w:szCs w:val="24"/>
                <w:highlight w:val="none"/>
                <w:lang w:val="en-US" w:eastAsia="zh-CN"/>
              </w:rPr>
              <w:t>属于</w:t>
            </w:r>
            <w:r>
              <w:rPr>
                <w:rFonts w:hint="eastAsia" w:ascii="Times New Roman" w:hAnsi="Times New Roman" w:eastAsia="宋体" w:cs="Times New Roman"/>
                <w:bCs/>
                <w:color w:val="auto"/>
                <w:sz w:val="24"/>
                <w:szCs w:val="24"/>
                <w:highlight w:val="none"/>
                <w:lang w:val="en-US" w:eastAsia="zh-CN"/>
              </w:rPr>
              <w:t>民生项目</w:t>
            </w:r>
            <w:r>
              <w:rPr>
                <w:rFonts w:hint="eastAsia" w:cs="Times New Roman"/>
                <w:bCs/>
                <w:color w:val="auto"/>
                <w:sz w:val="24"/>
                <w:szCs w:val="24"/>
                <w:highlight w:val="none"/>
                <w:lang w:val="en-US" w:eastAsia="zh-CN"/>
              </w:rPr>
              <w:t>，且项目不新增占地，利用已建成小区内空地进行建设，施工简单，基本不会对区域生态环境造成破坏，</w:t>
            </w:r>
            <w:r>
              <w:rPr>
                <w:rFonts w:hint="eastAsia" w:ascii="Times New Roman" w:hAnsi="Times New Roman" w:eastAsia="宋体" w:cs="Times New Roman"/>
                <w:bCs/>
                <w:color w:val="auto"/>
                <w:sz w:val="24"/>
                <w:szCs w:val="24"/>
                <w:highlight w:val="none"/>
                <w:lang w:val="en-US" w:eastAsia="zh-CN"/>
              </w:rPr>
              <w:t>项目运行后对</w:t>
            </w:r>
            <w:r>
              <w:rPr>
                <w:rFonts w:hint="eastAsia" w:cs="Times New Roman"/>
                <w:bCs/>
                <w:color w:val="auto"/>
                <w:sz w:val="24"/>
                <w:szCs w:val="24"/>
                <w:highlight w:val="none"/>
                <w:lang w:val="en-US" w:eastAsia="zh-CN"/>
              </w:rPr>
              <w:t>区域</w:t>
            </w:r>
            <w:r>
              <w:rPr>
                <w:rFonts w:hint="eastAsia" w:ascii="Times New Roman" w:hAnsi="Times New Roman" w:eastAsia="宋体" w:cs="Times New Roman"/>
                <w:bCs/>
                <w:color w:val="auto"/>
                <w:sz w:val="24"/>
                <w:szCs w:val="24"/>
                <w:highlight w:val="none"/>
                <w:lang w:val="en-US" w:eastAsia="zh-CN"/>
              </w:rPr>
              <w:t>环境影响不大，</w:t>
            </w:r>
            <w:r>
              <w:rPr>
                <w:rFonts w:hint="eastAsia" w:cs="Times New Roman"/>
                <w:bCs/>
                <w:color w:val="auto"/>
                <w:sz w:val="24"/>
                <w:szCs w:val="24"/>
                <w:highlight w:val="none"/>
                <w:lang w:val="en-US" w:eastAsia="zh-CN"/>
              </w:rPr>
              <w:t>因此</w:t>
            </w:r>
            <w:r>
              <w:rPr>
                <w:rFonts w:hint="eastAsia" w:ascii="Times New Roman" w:hAnsi="Times New Roman" w:eastAsia="宋体" w:cs="Times New Roman"/>
                <w:bCs/>
                <w:color w:val="auto"/>
                <w:sz w:val="24"/>
                <w:szCs w:val="24"/>
                <w:highlight w:val="none"/>
                <w:lang w:val="en-US" w:eastAsia="zh-CN"/>
              </w:rPr>
              <w:t>建设项目</w:t>
            </w:r>
            <w:r>
              <w:rPr>
                <w:rFonts w:hint="eastAsia" w:cs="Times New Roman"/>
                <w:bCs/>
                <w:color w:val="auto"/>
                <w:sz w:val="24"/>
                <w:szCs w:val="24"/>
                <w:highlight w:val="none"/>
                <w:lang w:val="en-US" w:eastAsia="zh-CN"/>
              </w:rPr>
              <w:t>基本</w:t>
            </w:r>
            <w:r>
              <w:rPr>
                <w:rFonts w:hint="eastAsia" w:ascii="Times New Roman" w:hAnsi="Times New Roman" w:eastAsia="宋体" w:cs="Times New Roman"/>
                <w:bCs/>
                <w:color w:val="auto"/>
                <w:sz w:val="24"/>
                <w:szCs w:val="24"/>
                <w:highlight w:val="none"/>
                <w:lang w:val="en-US" w:eastAsia="zh-CN"/>
              </w:rPr>
              <w:t>符合陕西省“三线一单”管控要求。</w:t>
            </w:r>
          </w:p>
          <w:p w14:paraId="68102294">
            <w:pPr>
              <w:numPr>
                <w:ilvl w:val="0"/>
                <w:numId w:val="0"/>
              </w:numPr>
              <w:adjustRightInd w:val="0"/>
              <w:spacing w:line="360" w:lineRule="auto"/>
              <w:ind w:leftChars="200"/>
              <w:rPr>
                <w:b/>
                <w:bCs w:val="0"/>
                <w:color w:val="auto"/>
                <w:sz w:val="24"/>
                <w:szCs w:val="24"/>
                <w:highlight w:val="none"/>
              </w:rPr>
            </w:pPr>
            <w:r>
              <w:rPr>
                <w:rFonts w:hint="eastAsia"/>
                <w:b/>
                <w:bCs w:val="0"/>
                <w:color w:val="auto"/>
                <w:sz w:val="24"/>
                <w:szCs w:val="24"/>
                <w:highlight w:val="none"/>
                <w:lang w:val="en-US" w:eastAsia="zh-CN"/>
              </w:rPr>
              <w:t>二、</w:t>
            </w:r>
            <w:r>
              <w:rPr>
                <w:b/>
                <w:bCs w:val="0"/>
                <w:color w:val="auto"/>
                <w:sz w:val="24"/>
                <w:szCs w:val="24"/>
                <w:highlight w:val="none"/>
              </w:rPr>
              <w:t>与生态环境保护法律法规政策相符性分析</w:t>
            </w:r>
          </w:p>
          <w:p w14:paraId="090A329A">
            <w:pPr>
              <w:adjustRightInd w:val="0"/>
              <w:spacing w:line="360" w:lineRule="auto"/>
              <w:ind w:firstLine="480" w:firstLineChars="200"/>
              <w:rPr>
                <w:bCs/>
                <w:color w:val="auto"/>
                <w:sz w:val="24"/>
                <w:szCs w:val="24"/>
                <w:highlight w:val="none"/>
              </w:rPr>
            </w:pPr>
            <w:r>
              <w:rPr>
                <w:bCs/>
                <w:color w:val="auto"/>
                <w:sz w:val="24"/>
                <w:szCs w:val="24"/>
                <w:highlight w:val="none"/>
              </w:rPr>
              <w:t>项目具体涉及的生态环境保护法律法规政策分析如下：</w:t>
            </w:r>
          </w:p>
          <w:p w14:paraId="134CCC92">
            <w:pPr>
              <w:ind w:firstLine="482" w:firstLineChars="200"/>
              <w:jc w:val="center"/>
              <w:rPr>
                <w:b/>
                <w:bCs w:val="0"/>
                <w:color w:val="auto"/>
                <w:sz w:val="24"/>
                <w:szCs w:val="24"/>
                <w:highlight w:val="none"/>
              </w:rPr>
            </w:pPr>
            <w:r>
              <w:rPr>
                <w:b/>
                <w:bCs w:val="0"/>
                <w:color w:val="auto"/>
                <w:sz w:val="24"/>
                <w:szCs w:val="24"/>
                <w:highlight w:val="none"/>
              </w:rPr>
              <w:t>表1-</w:t>
            </w:r>
            <w:r>
              <w:rPr>
                <w:rFonts w:hint="eastAsia"/>
                <w:b/>
                <w:bCs w:val="0"/>
                <w:color w:val="auto"/>
                <w:sz w:val="24"/>
                <w:szCs w:val="24"/>
                <w:highlight w:val="none"/>
                <w:lang w:val="en-US" w:eastAsia="zh-CN"/>
              </w:rPr>
              <w:t>3</w:t>
            </w:r>
            <w:r>
              <w:rPr>
                <w:b/>
                <w:bCs w:val="0"/>
                <w:color w:val="auto"/>
                <w:sz w:val="24"/>
                <w:szCs w:val="24"/>
                <w:highlight w:val="none"/>
              </w:rPr>
              <w:t xml:space="preserve"> </w:t>
            </w:r>
            <w:r>
              <w:rPr>
                <w:rFonts w:hint="eastAsia"/>
                <w:b/>
                <w:bCs w:val="0"/>
                <w:color w:val="auto"/>
                <w:sz w:val="24"/>
                <w:szCs w:val="24"/>
                <w:highlight w:val="none"/>
                <w:lang w:val="en-US" w:eastAsia="zh-CN"/>
              </w:rPr>
              <w:t xml:space="preserve">  </w:t>
            </w:r>
            <w:r>
              <w:rPr>
                <w:b/>
                <w:bCs w:val="0"/>
                <w:color w:val="auto"/>
                <w:sz w:val="24"/>
                <w:szCs w:val="24"/>
                <w:highlight w:val="none"/>
              </w:rPr>
              <w:t>项目与生态环境保护法律法规政策相符性分析表</w:t>
            </w:r>
          </w:p>
          <w:tbl>
            <w:tblPr>
              <w:tblStyle w:val="37"/>
              <w:tblW w:w="7489" w:type="dxa"/>
              <w:tblInd w:w="6"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3048"/>
              <w:gridCol w:w="2208"/>
              <w:gridCol w:w="865"/>
            </w:tblGrid>
            <w:tr w14:paraId="4BA052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tcBorders>
                    <w:tl2br w:val="nil"/>
                    <w:tr2bl w:val="nil"/>
                  </w:tcBorders>
                  <w:noWrap w:val="0"/>
                  <w:vAlign w:val="center"/>
                </w:tcPr>
                <w:p w14:paraId="63AA8929">
                  <w:pPr>
                    <w:adjustRightInd w:val="0"/>
                    <w:snapToGrid w:val="0"/>
                    <w:jc w:val="center"/>
                    <w:rPr>
                      <w:b/>
                      <w:bCs/>
                      <w:color w:val="auto"/>
                      <w:sz w:val="21"/>
                      <w:szCs w:val="21"/>
                      <w:highlight w:val="none"/>
                    </w:rPr>
                  </w:pPr>
                  <w:r>
                    <w:rPr>
                      <w:b/>
                      <w:bCs/>
                      <w:color w:val="auto"/>
                      <w:sz w:val="21"/>
                      <w:szCs w:val="21"/>
                      <w:highlight w:val="none"/>
                    </w:rPr>
                    <w:t>名称</w:t>
                  </w:r>
                </w:p>
              </w:tc>
              <w:tc>
                <w:tcPr>
                  <w:tcW w:w="3048" w:type="dxa"/>
                  <w:tcBorders>
                    <w:tl2br w:val="nil"/>
                    <w:tr2bl w:val="nil"/>
                  </w:tcBorders>
                  <w:noWrap w:val="0"/>
                  <w:vAlign w:val="center"/>
                </w:tcPr>
                <w:p w14:paraId="6D535960">
                  <w:pPr>
                    <w:adjustRightInd w:val="0"/>
                    <w:snapToGrid w:val="0"/>
                    <w:jc w:val="center"/>
                    <w:rPr>
                      <w:b/>
                      <w:bCs/>
                      <w:color w:val="auto"/>
                      <w:sz w:val="21"/>
                      <w:szCs w:val="21"/>
                      <w:highlight w:val="none"/>
                    </w:rPr>
                  </w:pPr>
                  <w:r>
                    <w:rPr>
                      <w:rFonts w:hint="eastAsia" w:hAnsi="宋体"/>
                      <w:b/>
                      <w:bCs/>
                      <w:snapToGrid w:val="0"/>
                      <w:color w:val="auto"/>
                      <w:sz w:val="21"/>
                      <w:szCs w:val="21"/>
                      <w:highlight w:val="none"/>
                    </w:rPr>
                    <w:t>政策</w:t>
                  </w:r>
                  <w:r>
                    <w:rPr>
                      <w:rFonts w:hAnsi="宋体"/>
                      <w:b/>
                      <w:bCs/>
                      <w:snapToGrid w:val="0"/>
                      <w:color w:val="auto"/>
                      <w:sz w:val="21"/>
                      <w:szCs w:val="21"/>
                      <w:highlight w:val="none"/>
                    </w:rPr>
                    <w:t>要求</w:t>
                  </w:r>
                </w:p>
              </w:tc>
              <w:tc>
                <w:tcPr>
                  <w:tcW w:w="2208" w:type="dxa"/>
                  <w:tcBorders>
                    <w:tl2br w:val="nil"/>
                    <w:tr2bl w:val="nil"/>
                  </w:tcBorders>
                  <w:noWrap w:val="0"/>
                  <w:vAlign w:val="center"/>
                </w:tcPr>
                <w:p w14:paraId="5563B12C">
                  <w:pPr>
                    <w:adjustRightInd w:val="0"/>
                    <w:snapToGrid w:val="0"/>
                    <w:jc w:val="center"/>
                    <w:rPr>
                      <w:b/>
                      <w:bCs/>
                      <w:color w:val="auto"/>
                      <w:sz w:val="21"/>
                      <w:szCs w:val="21"/>
                      <w:highlight w:val="none"/>
                    </w:rPr>
                  </w:pPr>
                  <w:r>
                    <w:rPr>
                      <w:b/>
                      <w:bCs/>
                      <w:color w:val="auto"/>
                      <w:sz w:val="21"/>
                      <w:szCs w:val="21"/>
                      <w:highlight w:val="none"/>
                    </w:rPr>
                    <w:t>与本项目相符性</w:t>
                  </w:r>
                </w:p>
              </w:tc>
              <w:tc>
                <w:tcPr>
                  <w:tcW w:w="865" w:type="dxa"/>
                  <w:tcBorders>
                    <w:tl2br w:val="nil"/>
                    <w:tr2bl w:val="nil"/>
                  </w:tcBorders>
                  <w:noWrap w:val="0"/>
                  <w:vAlign w:val="center"/>
                </w:tcPr>
                <w:p w14:paraId="1DBF4705">
                  <w:pPr>
                    <w:adjustRightInd w:val="0"/>
                    <w:snapToGrid w:val="0"/>
                    <w:jc w:val="center"/>
                    <w:rPr>
                      <w:b/>
                      <w:bCs/>
                      <w:color w:val="auto"/>
                      <w:sz w:val="21"/>
                      <w:szCs w:val="21"/>
                      <w:highlight w:val="none"/>
                    </w:rPr>
                  </w:pPr>
                  <w:r>
                    <w:rPr>
                      <w:b/>
                      <w:bCs/>
                      <w:color w:val="auto"/>
                      <w:sz w:val="21"/>
                      <w:szCs w:val="21"/>
                      <w:highlight w:val="none"/>
                    </w:rPr>
                    <w:t>判定结论</w:t>
                  </w:r>
                </w:p>
              </w:tc>
            </w:tr>
            <w:tr w14:paraId="39A395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vMerge w:val="restart"/>
                  <w:tcBorders>
                    <w:tl2br w:val="nil"/>
                    <w:tr2bl w:val="nil"/>
                  </w:tcBorders>
                  <w:noWrap w:val="0"/>
                  <w:vAlign w:val="center"/>
                </w:tcPr>
                <w:p w14:paraId="6700138B">
                  <w:pPr>
                    <w:adjustRightInd w:val="0"/>
                    <w:snapToGrid w:val="0"/>
                    <w:jc w:val="center"/>
                    <w:rPr>
                      <w:color w:val="auto"/>
                      <w:sz w:val="21"/>
                      <w:szCs w:val="21"/>
                      <w:highlight w:val="none"/>
                    </w:rPr>
                  </w:pPr>
                  <w:r>
                    <w:rPr>
                      <w:rFonts w:hint="eastAsia"/>
                      <w:color w:val="auto"/>
                      <w:sz w:val="21"/>
                      <w:szCs w:val="21"/>
                      <w:highlight w:val="none"/>
                    </w:rPr>
                    <w:t>《陕西省秦岭生态环境保护条例》</w:t>
                  </w:r>
                </w:p>
              </w:tc>
              <w:tc>
                <w:tcPr>
                  <w:tcW w:w="3048" w:type="dxa"/>
                  <w:tcBorders>
                    <w:tl2br w:val="nil"/>
                    <w:tr2bl w:val="nil"/>
                  </w:tcBorders>
                  <w:noWrap w:val="0"/>
                  <w:vAlign w:val="center"/>
                </w:tcPr>
                <w:p w14:paraId="33115649">
                  <w:pPr>
                    <w:adjustRightInd w:val="0"/>
                    <w:snapToGrid w:val="0"/>
                    <w:jc w:val="both"/>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第十六条</w:t>
                  </w:r>
                  <w:r>
                    <w:rPr>
                      <w:rFonts w:hint="eastAsia" w:ascii="Times New Roman" w:hAnsi="Times New Roman" w:eastAsia="宋体" w:cs="Times New Roman"/>
                      <w:color w:val="auto"/>
                      <w:sz w:val="21"/>
                      <w:szCs w:val="21"/>
                      <w:highlight w:val="none"/>
                      <w:lang w:val="en-US" w:eastAsia="zh-CN"/>
                    </w:rPr>
                    <w:t xml:space="preserve">   </w:t>
                  </w:r>
                  <w:r>
                    <w:rPr>
                      <w:rFonts w:hint="eastAsia" w:ascii="Times New Roman" w:hAnsi="Times New Roman" w:eastAsia="宋体" w:cs="Times New Roman"/>
                      <w:color w:val="auto"/>
                      <w:sz w:val="21"/>
                      <w:szCs w:val="21"/>
                      <w:highlight w:val="none"/>
                    </w:rPr>
                    <w:t>秦岭范围下列区域，除核心保护区、国土空间规划确定的城镇开发边界范围外，应当划为重点保护区：</w:t>
                  </w:r>
                </w:p>
                <w:p w14:paraId="3E8F3892">
                  <w:pPr>
                    <w:adjustRightInd w:val="0"/>
                    <w:snapToGrid w:val="0"/>
                    <w:jc w:val="both"/>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（一）海拔1500米至2000米之间的区域；</w:t>
                  </w:r>
                </w:p>
                <w:p w14:paraId="7D110104">
                  <w:pPr>
                    <w:adjustRightInd w:val="0"/>
                    <w:snapToGrid w:val="0"/>
                    <w:jc w:val="both"/>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第十七条</w:t>
                  </w:r>
                  <w:r>
                    <w:rPr>
                      <w:rFonts w:hint="eastAsia" w:ascii="Times New Roman" w:hAnsi="Times New Roman" w:eastAsia="宋体" w:cs="Times New Roman"/>
                      <w:color w:val="auto"/>
                      <w:sz w:val="21"/>
                      <w:szCs w:val="21"/>
                      <w:highlight w:val="none"/>
                      <w:lang w:val="en-US" w:eastAsia="zh-CN"/>
                    </w:rPr>
                    <w:t xml:space="preserve">   </w:t>
                  </w:r>
                  <w:r>
                    <w:rPr>
                      <w:rFonts w:hint="eastAsia" w:ascii="Times New Roman" w:hAnsi="Times New Roman" w:eastAsia="宋体" w:cs="Times New Roman"/>
                      <w:color w:val="auto"/>
                      <w:sz w:val="21"/>
                      <w:szCs w:val="21"/>
                      <w:highlight w:val="none"/>
                    </w:rPr>
                    <w:t>秦岭范围内除核心保护区、重点保护区以外的区域，为一般保护区。</w:t>
                  </w:r>
                </w:p>
              </w:tc>
              <w:tc>
                <w:tcPr>
                  <w:tcW w:w="2208" w:type="dxa"/>
                  <w:tcBorders>
                    <w:tl2br w:val="nil"/>
                    <w:tr2bl w:val="nil"/>
                  </w:tcBorders>
                  <w:noWrap w:val="0"/>
                  <w:vAlign w:val="center"/>
                </w:tcPr>
                <w:p w14:paraId="783239AD">
                  <w:pPr>
                    <w:adjustRightInd w:val="0"/>
                    <w:snapToGrid w:val="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项目位置海拔15</w:t>
                  </w:r>
                  <w:r>
                    <w:rPr>
                      <w:rFonts w:hint="eastAsia" w:cs="Times New Roman"/>
                      <w:color w:val="auto"/>
                      <w:sz w:val="21"/>
                      <w:szCs w:val="21"/>
                      <w:highlight w:val="none"/>
                      <w:lang w:val="en-US" w:eastAsia="zh-CN"/>
                    </w:rPr>
                    <w:t>36.2</w:t>
                  </w:r>
                  <w:r>
                    <w:rPr>
                      <w:rFonts w:hint="eastAsia" w:ascii="Times New Roman" w:hAnsi="Times New Roman" w:eastAsia="宋体" w:cs="Times New Roman"/>
                      <w:color w:val="auto"/>
                      <w:sz w:val="21"/>
                      <w:szCs w:val="21"/>
                      <w:highlight w:val="none"/>
                      <w:lang w:val="en-US" w:eastAsia="zh-CN"/>
                    </w:rPr>
                    <w:t>m，但项目位于《太白县国土空间总体规划（2021—2035年）》确定的城镇开发边界范围内，因此属于一般保护区。</w:t>
                  </w:r>
                </w:p>
              </w:tc>
              <w:tc>
                <w:tcPr>
                  <w:tcW w:w="865" w:type="dxa"/>
                  <w:tcBorders>
                    <w:tl2br w:val="nil"/>
                    <w:tr2bl w:val="nil"/>
                  </w:tcBorders>
                  <w:noWrap w:val="0"/>
                  <w:vAlign w:val="center"/>
                </w:tcPr>
                <w:p w14:paraId="47DE80A6">
                  <w:pPr>
                    <w:adjustRightInd w:val="0"/>
                    <w:snapToGrid w:val="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6FBB9C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vMerge w:val="continue"/>
                  <w:tcBorders>
                    <w:tl2br w:val="nil"/>
                    <w:tr2bl w:val="nil"/>
                  </w:tcBorders>
                  <w:noWrap w:val="0"/>
                  <w:vAlign w:val="center"/>
                </w:tcPr>
                <w:p w14:paraId="42D73CAB">
                  <w:pPr>
                    <w:adjustRightInd w:val="0"/>
                    <w:snapToGrid w:val="0"/>
                    <w:jc w:val="center"/>
                    <w:rPr>
                      <w:rFonts w:hint="eastAsia"/>
                      <w:color w:val="auto"/>
                      <w:sz w:val="21"/>
                      <w:szCs w:val="21"/>
                      <w:highlight w:val="none"/>
                    </w:rPr>
                  </w:pPr>
                </w:p>
              </w:tc>
              <w:tc>
                <w:tcPr>
                  <w:tcW w:w="3048" w:type="dxa"/>
                  <w:tcBorders>
                    <w:tl2br w:val="nil"/>
                    <w:tr2bl w:val="nil"/>
                  </w:tcBorders>
                  <w:noWrap w:val="0"/>
                  <w:vAlign w:val="center"/>
                </w:tcPr>
                <w:p w14:paraId="5F3B9F2E">
                  <w:pPr>
                    <w:adjustRightInd w:val="0"/>
                    <w:snapToGrid w:val="0"/>
                    <w:jc w:val="both"/>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第五十七条</w:t>
                  </w:r>
                  <w:r>
                    <w:rPr>
                      <w:rFonts w:hint="eastAsia" w:ascii="Times New Roman" w:hAnsi="Times New Roman" w:eastAsia="宋体" w:cs="Times New Roman"/>
                      <w:color w:val="auto"/>
                      <w:sz w:val="21"/>
                      <w:szCs w:val="21"/>
                      <w:highlight w:val="none"/>
                      <w:lang w:val="en-US" w:eastAsia="zh-CN"/>
                    </w:rPr>
                    <w:t xml:space="preserve">   </w:t>
                  </w:r>
                  <w:r>
                    <w:rPr>
                      <w:rFonts w:hint="eastAsia" w:ascii="Times New Roman" w:hAnsi="Times New Roman" w:eastAsia="宋体" w:cs="Times New Roman"/>
                      <w:color w:val="auto"/>
                      <w:sz w:val="21"/>
                      <w:szCs w:val="21"/>
                      <w:highlight w:val="none"/>
                    </w:rPr>
                    <w:t>秦岭范围内的城镇应当建设、完善生活污水处理、生活垃圾无害化处理、供排水等公共设施。乡（镇）人民政府在人口相对集中的村庄，应当组织推广使用沼气、太阳能等清洁能源，统一规划建设生活垃圾处理、污水排放等设施。</w:t>
                  </w:r>
                </w:p>
              </w:tc>
              <w:tc>
                <w:tcPr>
                  <w:tcW w:w="2208" w:type="dxa"/>
                  <w:tcBorders>
                    <w:tl2br w:val="nil"/>
                    <w:tr2bl w:val="nil"/>
                  </w:tcBorders>
                  <w:noWrap w:val="0"/>
                  <w:vAlign w:val="center"/>
                </w:tcPr>
                <w:p w14:paraId="201CB3E0">
                  <w:pPr>
                    <w:adjustRightInd w:val="0"/>
                    <w:snapToGrid w:val="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项目为集中供热工程，属于公共设施，项目供热燃料为天然气，属于清洁能源。</w:t>
                  </w:r>
                </w:p>
              </w:tc>
              <w:tc>
                <w:tcPr>
                  <w:tcW w:w="865" w:type="dxa"/>
                  <w:tcBorders>
                    <w:tl2br w:val="nil"/>
                    <w:tr2bl w:val="nil"/>
                  </w:tcBorders>
                  <w:noWrap w:val="0"/>
                  <w:vAlign w:val="center"/>
                </w:tcPr>
                <w:p w14:paraId="68F2F287">
                  <w:pPr>
                    <w:adjustRightInd w:val="0"/>
                    <w:snapToGrid w:val="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7CDB52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tcBorders>
                    <w:tl2br w:val="nil"/>
                    <w:tr2bl w:val="nil"/>
                  </w:tcBorders>
                  <w:noWrap w:val="0"/>
                  <w:vAlign w:val="center"/>
                </w:tcPr>
                <w:p w14:paraId="4491499E">
                  <w:pPr>
                    <w:adjustRightInd w:val="0"/>
                    <w:snapToGrid w:val="0"/>
                    <w:jc w:val="center"/>
                    <w:rPr>
                      <w:rFonts w:hint="eastAsia"/>
                      <w:color w:val="auto"/>
                      <w:sz w:val="21"/>
                      <w:szCs w:val="21"/>
                      <w:highlight w:val="none"/>
                    </w:rPr>
                  </w:pPr>
                  <w:r>
                    <w:rPr>
                      <w:rFonts w:hint="eastAsia"/>
                      <w:color w:val="auto"/>
                      <w:sz w:val="21"/>
                      <w:szCs w:val="21"/>
                      <w:highlight w:val="none"/>
                    </w:rPr>
                    <w:t>《陕西省秦岭重点保护区一般保护区产业准入清单》</w:t>
                  </w:r>
                </w:p>
              </w:tc>
              <w:tc>
                <w:tcPr>
                  <w:tcW w:w="3048" w:type="dxa"/>
                  <w:tcBorders>
                    <w:tl2br w:val="nil"/>
                    <w:tr2bl w:val="nil"/>
                  </w:tcBorders>
                  <w:noWrap w:val="0"/>
                  <w:vAlign w:val="center"/>
                </w:tcPr>
                <w:p w14:paraId="52271CE6">
                  <w:pPr>
                    <w:adjustRightInd w:val="0"/>
                    <w:snapToGrid w:val="0"/>
                    <w:jc w:val="both"/>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1.一般保护区涉及产业、项目，不在</w:t>
                  </w:r>
                  <w:r>
                    <w:rPr>
                      <w:rFonts w:hint="eastAsia"/>
                      <w:color w:val="auto"/>
                      <w:sz w:val="21"/>
                      <w:szCs w:val="21"/>
                      <w:highlight w:val="none"/>
                    </w:rPr>
                    <w:t>《</w:t>
                  </w:r>
                  <w:r>
                    <w:rPr>
                      <w:rFonts w:hint="eastAsia" w:ascii="Times New Roman" w:hAnsi="Times New Roman" w:eastAsia="宋体" w:cs="Times New Roman"/>
                      <w:color w:val="auto"/>
                      <w:sz w:val="21"/>
                      <w:szCs w:val="21"/>
                      <w:highlight w:val="none"/>
                    </w:rPr>
                    <w:t>产业准入清单</w:t>
                  </w:r>
                  <w:r>
                    <w:rPr>
                      <w:rFonts w:hint="eastAsia"/>
                      <w:color w:val="auto"/>
                      <w:sz w:val="21"/>
                      <w:szCs w:val="21"/>
                      <w:highlight w:val="none"/>
                    </w:rPr>
                    <w:t>》</w:t>
                  </w:r>
                  <w:r>
                    <w:rPr>
                      <w:rFonts w:hint="eastAsia" w:ascii="Times New Roman" w:hAnsi="Times New Roman" w:eastAsia="宋体" w:cs="Times New Roman"/>
                      <w:color w:val="auto"/>
                      <w:sz w:val="21"/>
                      <w:szCs w:val="21"/>
                      <w:highlight w:val="none"/>
                    </w:rPr>
                    <w:t>中的，按</w:t>
                  </w:r>
                  <w:r>
                    <w:rPr>
                      <w:rFonts w:hint="eastAsia"/>
                      <w:color w:val="auto"/>
                      <w:sz w:val="21"/>
                      <w:szCs w:val="21"/>
                      <w:highlight w:val="none"/>
                    </w:rPr>
                    <w:t>《</w:t>
                  </w:r>
                  <w:r>
                    <w:rPr>
                      <w:rFonts w:hint="eastAsia" w:ascii="Times New Roman" w:hAnsi="Times New Roman" w:eastAsia="宋体" w:cs="Times New Roman"/>
                      <w:color w:val="auto"/>
                      <w:sz w:val="21"/>
                      <w:szCs w:val="21"/>
                      <w:highlight w:val="none"/>
                    </w:rPr>
                    <w:t>市场准入负面清单</w:t>
                  </w:r>
                  <w:r>
                    <w:rPr>
                      <w:rFonts w:hint="eastAsia"/>
                      <w:color w:val="auto"/>
                      <w:sz w:val="21"/>
                      <w:szCs w:val="21"/>
                      <w:highlight w:val="none"/>
                    </w:rPr>
                    <w:t>》《</w:t>
                  </w:r>
                  <w:r>
                    <w:rPr>
                      <w:rFonts w:hint="eastAsia" w:ascii="Times New Roman" w:hAnsi="Times New Roman" w:eastAsia="宋体" w:cs="Times New Roman"/>
                      <w:color w:val="auto"/>
                      <w:sz w:val="21"/>
                      <w:szCs w:val="21"/>
                      <w:highlight w:val="none"/>
                    </w:rPr>
                    <w:t>产业结构调整目录</w:t>
                  </w:r>
                  <w:r>
                    <w:rPr>
                      <w:rFonts w:hint="eastAsia"/>
                      <w:color w:val="auto"/>
                      <w:sz w:val="21"/>
                      <w:szCs w:val="21"/>
                      <w:highlight w:val="none"/>
                    </w:rPr>
                    <w:t>》</w:t>
                  </w:r>
                  <w:r>
                    <w:rPr>
                      <w:rFonts w:hint="eastAsia" w:ascii="Times New Roman" w:hAnsi="Times New Roman" w:eastAsia="宋体" w:cs="Times New Roman"/>
                      <w:color w:val="auto"/>
                      <w:sz w:val="21"/>
                      <w:szCs w:val="21"/>
                      <w:highlight w:val="none"/>
                    </w:rPr>
                    <w:t>和主体功能区产业准入负面清单、生态环境准入清单等规定执行。</w:t>
                  </w:r>
                </w:p>
              </w:tc>
              <w:tc>
                <w:tcPr>
                  <w:tcW w:w="2208" w:type="dxa"/>
                  <w:tcBorders>
                    <w:tl2br w:val="nil"/>
                    <w:tr2bl w:val="nil"/>
                  </w:tcBorders>
                  <w:noWrap w:val="0"/>
                  <w:vAlign w:val="center"/>
                </w:tcPr>
                <w:p w14:paraId="5654574B">
                  <w:pPr>
                    <w:adjustRightInd w:val="0"/>
                    <w:snapToGrid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项目不在一般保护区</w:t>
                  </w:r>
                  <w:r>
                    <w:rPr>
                      <w:rFonts w:hint="eastAsia" w:ascii="Times New Roman" w:hAnsi="Times New Roman" w:eastAsia="宋体" w:cs="Times New Roman"/>
                      <w:color w:val="auto"/>
                      <w:sz w:val="21"/>
                      <w:szCs w:val="21"/>
                      <w:highlight w:val="none"/>
                    </w:rPr>
                    <w:t>《产业准入清单》中</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根据</w:t>
                  </w:r>
                  <w:r>
                    <w:rPr>
                      <w:rFonts w:hint="eastAsia" w:ascii="Times New Roman" w:hAnsi="Times New Roman" w:eastAsia="宋体" w:cs="Times New Roman"/>
                      <w:color w:val="auto"/>
                      <w:sz w:val="21"/>
                      <w:szCs w:val="21"/>
                      <w:highlight w:val="none"/>
                    </w:rPr>
                    <w:t>《市场准入负面清单</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2025</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项目为燃气供热，不属于</w:t>
                  </w:r>
                  <w:r>
                    <w:rPr>
                      <w:rFonts w:hint="eastAsia" w:ascii="Times New Roman" w:hAnsi="Times New Roman" w:eastAsia="宋体" w:cs="Times New Roman"/>
                      <w:color w:val="auto"/>
                      <w:sz w:val="21"/>
                      <w:szCs w:val="21"/>
                      <w:highlight w:val="none"/>
                    </w:rPr>
                    <w:t>《市场准入负面清单》</w:t>
                  </w:r>
                  <w:r>
                    <w:rPr>
                      <w:rFonts w:hint="eastAsia" w:ascii="Times New Roman" w:hAnsi="Times New Roman" w:eastAsia="宋体" w:cs="Times New Roman"/>
                      <w:color w:val="auto"/>
                      <w:sz w:val="21"/>
                      <w:szCs w:val="21"/>
                      <w:highlight w:val="none"/>
                      <w:lang w:val="en-US" w:eastAsia="zh-CN"/>
                    </w:rPr>
                    <w:t>中禁止和许可类项目；查询</w:t>
                  </w:r>
                  <w:r>
                    <w:rPr>
                      <w:rFonts w:hint="eastAsia" w:ascii="Times New Roman" w:hAnsi="Times New Roman" w:eastAsia="宋体" w:cs="Times New Roman"/>
                      <w:color w:val="auto"/>
                      <w:sz w:val="21"/>
                      <w:szCs w:val="21"/>
                      <w:highlight w:val="none"/>
                    </w:rPr>
                    <w:t>《产业结构调整</w:t>
                  </w:r>
                  <w:r>
                    <w:rPr>
                      <w:rFonts w:hint="eastAsia" w:ascii="Times New Roman" w:hAnsi="Times New Roman" w:eastAsia="宋体" w:cs="Times New Roman"/>
                      <w:color w:val="auto"/>
                      <w:sz w:val="21"/>
                      <w:szCs w:val="21"/>
                      <w:highlight w:val="none"/>
                      <w:lang w:val="en-US" w:eastAsia="zh-CN"/>
                    </w:rPr>
                    <w:t>指导</w:t>
                  </w:r>
                  <w:r>
                    <w:rPr>
                      <w:rFonts w:hint="eastAsia" w:ascii="Times New Roman" w:hAnsi="Times New Roman" w:eastAsia="宋体" w:cs="Times New Roman"/>
                      <w:color w:val="auto"/>
                      <w:sz w:val="21"/>
                      <w:szCs w:val="21"/>
                      <w:highlight w:val="none"/>
                    </w:rPr>
                    <w:t>目录</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2024年本</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项目为燃气集中供热，属于鼓励类；项目不在</w:t>
                  </w:r>
                  <w:r>
                    <w:rPr>
                      <w:rFonts w:hint="eastAsia" w:ascii="Times New Roman" w:hAnsi="Times New Roman" w:eastAsia="宋体" w:cs="Times New Roman"/>
                      <w:color w:val="auto"/>
                      <w:sz w:val="21"/>
                      <w:szCs w:val="21"/>
                      <w:highlight w:val="none"/>
                    </w:rPr>
                    <w:t>主体功能区产业准入负面清单</w:t>
                  </w:r>
                  <w:r>
                    <w:rPr>
                      <w:rFonts w:hint="eastAsia" w:ascii="Times New Roman" w:hAnsi="Times New Roman" w:eastAsia="宋体" w:cs="Times New Roman"/>
                      <w:color w:val="auto"/>
                      <w:sz w:val="21"/>
                      <w:szCs w:val="21"/>
                      <w:highlight w:val="none"/>
                      <w:lang w:val="en-US" w:eastAsia="zh-CN"/>
                    </w:rPr>
                    <w:t>内</w:t>
                  </w:r>
                </w:p>
              </w:tc>
              <w:tc>
                <w:tcPr>
                  <w:tcW w:w="865" w:type="dxa"/>
                  <w:tcBorders>
                    <w:tl2br w:val="nil"/>
                    <w:tr2bl w:val="nil"/>
                  </w:tcBorders>
                  <w:noWrap w:val="0"/>
                  <w:vAlign w:val="center"/>
                </w:tcPr>
                <w:p w14:paraId="3929E3BF">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4B1A4F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tcBorders>
                    <w:tl2br w:val="nil"/>
                    <w:tr2bl w:val="nil"/>
                  </w:tcBorders>
                  <w:noWrap w:val="0"/>
                  <w:vAlign w:val="center"/>
                </w:tcPr>
                <w:p w14:paraId="7236C78B">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《陕西省大气污染防治条例（2019年修正）》</w:t>
                  </w:r>
                </w:p>
              </w:tc>
              <w:tc>
                <w:tcPr>
                  <w:tcW w:w="3048" w:type="dxa"/>
                  <w:tcBorders>
                    <w:tl2br w:val="nil"/>
                    <w:tr2bl w:val="nil"/>
                  </w:tcBorders>
                  <w:noWrap w:val="0"/>
                  <w:vAlign w:val="center"/>
                </w:tcPr>
                <w:p w14:paraId="604E0E59">
                  <w:pPr>
                    <w:adjustRightInd w:val="0"/>
                    <w:snapToGrid w:val="0"/>
                    <w:jc w:val="both"/>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设区的市、县（市、区）人民政府应当统筹规划城市建设，在城镇规划区全面发展集中供热，优先使用清洁燃料。</w:t>
                  </w:r>
                </w:p>
              </w:tc>
              <w:tc>
                <w:tcPr>
                  <w:tcW w:w="2208" w:type="dxa"/>
                  <w:tcBorders>
                    <w:tl2br w:val="nil"/>
                    <w:tr2bl w:val="nil"/>
                  </w:tcBorders>
                  <w:noWrap w:val="0"/>
                  <w:vAlign w:val="center"/>
                </w:tcPr>
                <w:p w14:paraId="264909D3">
                  <w:pPr>
                    <w:adjustRightInd w:val="0"/>
                    <w:snapToGrid w:val="0"/>
                    <w:jc w:val="both"/>
                    <w:rPr>
                      <w:color w:val="auto"/>
                      <w:sz w:val="21"/>
                      <w:szCs w:val="21"/>
                      <w:highlight w:val="none"/>
                    </w:rPr>
                  </w:pPr>
                  <w:r>
                    <w:rPr>
                      <w:color w:val="auto"/>
                      <w:sz w:val="21"/>
                      <w:szCs w:val="21"/>
                      <w:highlight w:val="none"/>
                    </w:rPr>
                    <w:t>本项目</w:t>
                  </w:r>
                  <w:r>
                    <w:rPr>
                      <w:rFonts w:hint="eastAsia"/>
                      <w:color w:val="auto"/>
                      <w:sz w:val="21"/>
                      <w:szCs w:val="21"/>
                      <w:highlight w:val="none"/>
                    </w:rPr>
                    <w:t>属于</w:t>
                  </w:r>
                  <w:r>
                    <w:rPr>
                      <w:rFonts w:hint="eastAsia"/>
                      <w:color w:val="auto"/>
                      <w:sz w:val="21"/>
                      <w:szCs w:val="21"/>
                      <w:highlight w:val="none"/>
                      <w:lang w:val="en-US" w:eastAsia="zh-CN"/>
                    </w:rPr>
                    <w:t>集中供热工程</w:t>
                  </w:r>
                  <w:r>
                    <w:rPr>
                      <w:rFonts w:hint="eastAsia"/>
                      <w:color w:val="auto"/>
                      <w:sz w:val="21"/>
                      <w:szCs w:val="21"/>
                      <w:highlight w:val="none"/>
                    </w:rPr>
                    <w:t>，</w:t>
                  </w:r>
                  <w:r>
                    <w:rPr>
                      <w:rFonts w:hint="eastAsia"/>
                      <w:color w:val="auto"/>
                      <w:sz w:val="21"/>
                      <w:szCs w:val="21"/>
                      <w:highlight w:val="none"/>
                      <w:lang w:val="en-US" w:eastAsia="zh-CN"/>
                    </w:rPr>
                    <w:t>项目</w:t>
                  </w:r>
                  <w:r>
                    <w:rPr>
                      <w:color w:val="auto"/>
                      <w:sz w:val="21"/>
                      <w:szCs w:val="21"/>
                      <w:highlight w:val="none"/>
                    </w:rPr>
                    <w:t>锅炉燃料使用天然气，</w:t>
                  </w:r>
                  <w:r>
                    <w:rPr>
                      <w:rFonts w:hint="eastAsia"/>
                      <w:color w:val="auto"/>
                      <w:sz w:val="21"/>
                      <w:szCs w:val="21"/>
                      <w:highlight w:val="none"/>
                      <w:lang w:val="en-US" w:eastAsia="zh-CN"/>
                    </w:rPr>
                    <w:t>属于清洁能源</w:t>
                  </w:r>
                  <w:r>
                    <w:rPr>
                      <w:color w:val="auto"/>
                      <w:sz w:val="21"/>
                      <w:szCs w:val="21"/>
                      <w:highlight w:val="none"/>
                    </w:rPr>
                    <w:t>。</w:t>
                  </w:r>
                </w:p>
              </w:tc>
              <w:tc>
                <w:tcPr>
                  <w:tcW w:w="865" w:type="dxa"/>
                  <w:tcBorders>
                    <w:tl2br w:val="nil"/>
                    <w:tr2bl w:val="nil"/>
                  </w:tcBorders>
                  <w:noWrap w:val="0"/>
                  <w:vAlign w:val="center"/>
                </w:tcPr>
                <w:p w14:paraId="202EA744">
                  <w:pPr>
                    <w:adjustRightInd w:val="0"/>
                    <w:snapToGrid w:val="0"/>
                    <w:jc w:val="center"/>
                    <w:rPr>
                      <w:color w:val="auto"/>
                      <w:sz w:val="21"/>
                      <w:szCs w:val="21"/>
                      <w:highlight w:val="none"/>
                    </w:rPr>
                  </w:pPr>
                  <w:r>
                    <w:rPr>
                      <w:color w:val="auto"/>
                      <w:sz w:val="21"/>
                      <w:szCs w:val="21"/>
                      <w:highlight w:val="none"/>
                    </w:rPr>
                    <w:t>符合</w:t>
                  </w:r>
                </w:p>
              </w:tc>
            </w:tr>
            <w:tr w14:paraId="4B211B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tcBorders>
                    <w:tl2br w:val="nil"/>
                    <w:tr2bl w:val="nil"/>
                  </w:tcBorders>
                  <w:noWrap w:val="0"/>
                  <w:vAlign w:val="center"/>
                </w:tcPr>
                <w:p w14:paraId="64D68257">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《宝鸡市大气污染防治条例》</w:t>
                  </w:r>
                </w:p>
              </w:tc>
              <w:tc>
                <w:tcPr>
                  <w:tcW w:w="3048" w:type="dxa"/>
                  <w:tcBorders>
                    <w:tl2br w:val="nil"/>
                    <w:tr2bl w:val="nil"/>
                  </w:tcBorders>
                  <w:noWrap w:val="0"/>
                  <w:vAlign w:val="center"/>
                </w:tcPr>
                <w:p w14:paraId="0E26352C">
                  <w:pPr>
                    <w:adjustRightInd w:val="0"/>
                    <w:snapToGrid w:val="0"/>
                    <w:jc w:val="both"/>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城市建设应当统筹规划，在燃煤供热地区，推进热电联产和集中供热。在集中供热管网覆盖地区，禁止新建、扩建分散燃煤供热锅炉；已建成的不能达标排放的燃煤供热锅炉，应当在城市人民政府规定的期限内拆除。</w:t>
                  </w:r>
                </w:p>
              </w:tc>
              <w:tc>
                <w:tcPr>
                  <w:tcW w:w="2208" w:type="dxa"/>
                  <w:tcBorders>
                    <w:tl2br w:val="nil"/>
                    <w:tr2bl w:val="nil"/>
                  </w:tcBorders>
                  <w:noWrap w:val="0"/>
                  <w:vAlign w:val="center"/>
                </w:tcPr>
                <w:p w14:paraId="46EAC864">
                  <w:pPr>
                    <w:jc w:val="left"/>
                    <w:rPr>
                      <w:color w:val="auto"/>
                      <w:sz w:val="21"/>
                      <w:szCs w:val="21"/>
                      <w:highlight w:val="none"/>
                    </w:rPr>
                  </w:pPr>
                  <w:r>
                    <w:rPr>
                      <w:rFonts w:hint="eastAsia"/>
                      <w:color w:val="auto"/>
                      <w:sz w:val="21"/>
                      <w:szCs w:val="21"/>
                      <w:highlight w:val="none"/>
                    </w:rPr>
                    <w:t>本项目</w:t>
                  </w:r>
                  <w:r>
                    <w:rPr>
                      <w:rFonts w:hint="eastAsia"/>
                      <w:color w:val="auto"/>
                      <w:sz w:val="21"/>
                      <w:szCs w:val="21"/>
                      <w:highlight w:val="none"/>
                      <w:lang w:val="en-US" w:eastAsia="zh-CN"/>
                    </w:rPr>
                    <w:t>供热采用</w:t>
                  </w:r>
                  <w:r>
                    <w:rPr>
                      <w:rFonts w:hint="eastAsia"/>
                      <w:color w:val="auto"/>
                      <w:sz w:val="21"/>
                      <w:szCs w:val="21"/>
                      <w:highlight w:val="none"/>
                    </w:rPr>
                    <w:t>燃气锅炉，</w:t>
                  </w:r>
                  <w:r>
                    <w:rPr>
                      <w:color w:val="auto"/>
                      <w:sz w:val="21"/>
                      <w:szCs w:val="21"/>
                      <w:highlight w:val="none"/>
                    </w:rPr>
                    <w:t>锅炉燃料使用天然气，</w:t>
                  </w:r>
                  <w:r>
                    <w:rPr>
                      <w:rFonts w:hint="eastAsia"/>
                      <w:color w:val="auto"/>
                      <w:sz w:val="21"/>
                      <w:szCs w:val="21"/>
                      <w:highlight w:val="none"/>
                      <w:lang w:eastAsia="zh-CN"/>
                    </w:rPr>
                    <w:t>锅炉自带</w:t>
                  </w:r>
                  <w:r>
                    <w:rPr>
                      <w:rFonts w:hint="eastAsia"/>
                      <w:color w:val="auto"/>
                      <w:sz w:val="21"/>
                      <w:szCs w:val="21"/>
                      <w:highlight w:val="none"/>
                      <w:lang w:val="en-US" w:eastAsia="zh-CN"/>
                    </w:rPr>
                    <w:t>低氮燃烧系统</w:t>
                  </w:r>
                  <w:r>
                    <w:rPr>
                      <w:color w:val="auto"/>
                      <w:sz w:val="21"/>
                      <w:szCs w:val="21"/>
                      <w:highlight w:val="none"/>
                    </w:rPr>
                    <w:t>，污染物</w:t>
                  </w:r>
                  <w:r>
                    <w:rPr>
                      <w:rFonts w:hint="eastAsia"/>
                      <w:color w:val="auto"/>
                      <w:sz w:val="21"/>
                      <w:szCs w:val="21"/>
                      <w:highlight w:val="none"/>
                      <w:lang w:eastAsia="zh-CN"/>
                    </w:rPr>
                    <w:t>可以</w:t>
                  </w:r>
                  <w:r>
                    <w:rPr>
                      <w:color w:val="auto"/>
                      <w:sz w:val="21"/>
                      <w:szCs w:val="21"/>
                      <w:highlight w:val="none"/>
                    </w:rPr>
                    <w:t>达标排放。</w:t>
                  </w:r>
                </w:p>
              </w:tc>
              <w:tc>
                <w:tcPr>
                  <w:tcW w:w="865" w:type="dxa"/>
                  <w:tcBorders>
                    <w:tl2br w:val="nil"/>
                    <w:tr2bl w:val="nil"/>
                  </w:tcBorders>
                  <w:noWrap w:val="0"/>
                  <w:vAlign w:val="center"/>
                </w:tcPr>
                <w:p w14:paraId="71C2C38B">
                  <w:pPr>
                    <w:ind w:firstLine="33" w:firstLineChars="16"/>
                    <w:jc w:val="center"/>
                    <w:rPr>
                      <w:color w:val="auto"/>
                      <w:sz w:val="21"/>
                      <w:szCs w:val="21"/>
                      <w:highlight w:val="none"/>
                    </w:rPr>
                  </w:pPr>
                  <w:r>
                    <w:rPr>
                      <w:color w:val="auto"/>
                      <w:sz w:val="21"/>
                      <w:szCs w:val="21"/>
                      <w:highlight w:val="none"/>
                    </w:rPr>
                    <w:t>符合</w:t>
                  </w:r>
                </w:p>
              </w:tc>
            </w:tr>
            <w:tr w14:paraId="3A1A00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vMerge w:val="restart"/>
                  <w:tcBorders>
                    <w:tl2br w:val="nil"/>
                    <w:tr2bl w:val="nil"/>
                  </w:tcBorders>
                  <w:noWrap w:val="0"/>
                  <w:vAlign w:val="center"/>
                </w:tcPr>
                <w:p w14:paraId="3E04A299">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《宝鸡市大气污染治理专项行动方案（2023—2027年）》</w:t>
                  </w:r>
                </w:p>
              </w:tc>
              <w:tc>
                <w:tcPr>
                  <w:tcW w:w="3048" w:type="dxa"/>
                  <w:tcBorders>
                    <w:tl2br w:val="nil"/>
                    <w:tr2bl w:val="nil"/>
                  </w:tcBorders>
                  <w:noWrap w:val="0"/>
                  <w:vAlign w:val="center"/>
                </w:tcPr>
                <w:p w14:paraId="1544133D">
                  <w:pPr>
                    <w:adjustRightInd w:val="0"/>
                    <w:snapToGrid w:val="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城市供热结构调整。不再新建燃煤集中供热站。构建跨区域热电联产电厂、工业余热集中供热体系。2025年10月底前，建成大唐宝鸡二电厂向市区供热管网项目，热电联产集中供热全面替代市区燃煤供热。淘汰管网覆盖范围内的供热燃煤锅炉，原有燃煤、燃气供热锅炉用于调峰备用。加大上游气源供应选择，2023年10月底前，落实县（区）季总供热煤改气锅炉气源供给；挖掘现役热电机组潜力，优化供热运行模式，加快构建形成一体化清洁能源供应保障格局。大力推动产业园区集中供热或清洁能源取暖。</w:t>
                  </w:r>
                </w:p>
              </w:tc>
              <w:tc>
                <w:tcPr>
                  <w:tcW w:w="2208" w:type="dxa"/>
                  <w:tcBorders>
                    <w:tl2br w:val="nil"/>
                    <w:tr2bl w:val="nil"/>
                  </w:tcBorders>
                  <w:noWrap w:val="0"/>
                  <w:vAlign w:val="center"/>
                </w:tcPr>
                <w:p w14:paraId="6814AC8F">
                  <w:pPr>
                    <w:ind w:firstLine="33" w:firstLineChars="16"/>
                    <w:jc w:val="left"/>
                    <w:rPr>
                      <w:rFonts w:hint="eastAsia"/>
                      <w:color w:val="auto"/>
                      <w:sz w:val="21"/>
                      <w:szCs w:val="21"/>
                      <w:highlight w:val="none"/>
                    </w:rPr>
                  </w:pPr>
                  <w:r>
                    <w:rPr>
                      <w:color w:val="auto"/>
                      <w:sz w:val="21"/>
                      <w:szCs w:val="21"/>
                      <w:highlight w:val="none"/>
                    </w:rPr>
                    <w:t>本项目</w:t>
                  </w:r>
                  <w:r>
                    <w:rPr>
                      <w:rFonts w:hint="eastAsia"/>
                      <w:color w:val="auto"/>
                      <w:sz w:val="21"/>
                      <w:szCs w:val="21"/>
                      <w:highlight w:val="none"/>
                    </w:rPr>
                    <w:t>属于</w:t>
                  </w:r>
                  <w:r>
                    <w:rPr>
                      <w:rFonts w:hint="eastAsia"/>
                      <w:color w:val="auto"/>
                      <w:sz w:val="21"/>
                      <w:szCs w:val="21"/>
                      <w:highlight w:val="none"/>
                      <w:lang w:val="en-US" w:eastAsia="zh-CN"/>
                    </w:rPr>
                    <w:t>集中</w:t>
                  </w:r>
                  <w:r>
                    <w:rPr>
                      <w:rFonts w:hint="eastAsia"/>
                      <w:color w:val="auto"/>
                      <w:sz w:val="21"/>
                      <w:szCs w:val="21"/>
                      <w:highlight w:val="none"/>
                    </w:rPr>
                    <w:t>供暖项目，</w:t>
                  </w:r>
                  <w:r>
                    <w:rPr>
                      <w:color w:val="auto"/>
                      <w:sz w:val="21"/>
                      <w:szCs w:val="21"/>
                      <w:highlight w:val="none"/>
                    </w:rPr>
                    <w:t>锅炉燃料使用天然气，</w:t>
                  </w:r>
                  <w:r>
                    <w:rPr>
                      <w:rFonts w:hint="eastAsia"/>
                      <w:color w:val="auto"/>
                      <w:sz w:val="21"/>
                      <w:szCs w:val="21"/>
                      <w:highlight w:val="none"/>
                      <w:lang w:val="en-US" w:eastAsia="zh-CN"/>
                    </w:rPr>
                    <w:t>属于清洁能源供热</w:t>
                  </w:r>
                  <w:r>
                    <w:rPr>
                      <w:color w:val="auto"/>
                      <w:sz w:val="21"/>
                      <w:szCs w:val="21"/>
                      <w:highlight w:val="none"/>
                    </w:rPr>
                    <w:t>。</w:t>
                  </w:r>
                </w:p>
              </w:tc>
              <w:tc>
                <w:tcPr>
                  <w:tcW w:w="865" w:type="dxa"/>
                  <w:tcBorders>
                    <w:tl2br w:val="nil"/>
                    <w:tr2bl w:val="nil"/>
                  </w:tcBorders>
                  <w:noWrap w:val="0"/>
                  <w:vAlign w:val="center"/>
                </w:tcPr>
                <w:p w14:paraId="5C86C14F">
                  <w:pPr>
                    <w:ind w:firstLine="33" w:firstLineChars="16"/>
                    <w:jc w:val="center"/>
                    <w:rPr>
                      <w:color w:val="auto"/>
                      <w:sz w:val="21"/>
                      <w:szCs w:val="21"/>
                      <w:highlight w:val="none"/>
                    </w:rPr>
                  </w:pPr>
                  <w:r>
                    <w:rPr>
                      <w:color w:val="auto"/>
                      <w:sz w:val="21"/>
                      <w:szCs w:val="21"/>
                      <w:highlight w:val="none"/>
                    </w:rPr>
                    <w:t>符合</w:t>
                  </w:r>
                </w:p>
              </w:tc>
            </w:tr>
            <w:tr w14:paraId="56C82A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vMerge w:val="continue"/>
                  <w:tcBorders>
                    <w:tl2br w:val="nil"/>
                    <w:tr2bl w:val="nil"/>
                  </w:tcBorders>
                  <w:noWrap w:val="0"/>
                  <w:vAlign w:val="center"/>
                </w:tcPr>
                <w:p w14:paraId="31BDA143">
                  <w:pPr>
                    <w:adjustRightInd w:val="0"/>
                    <w:snapToGrid w:val="0"/>
                    <w:jc w:val="center"/>
                    <w:rPr>
                      <w:rFonts w:hint="eastAsia" w:ascii="Times New Roman" w:hAnsi="Times New Roman" w:eastAsia="宋体" w:cs="Times New Roman"/>
                      <w:color w:val="auto"/>
                      <w:sz w:val="21"/>
                      <w:szCs w:val="21"/>
                      <w:highlight w:val="none"/>
                    </w:rPr>
                  </w:pPr>
                </w:p>
              </w:tc>
              <w:tc>
                <w:tcPr>
                  <w:tcW w:w="3048" w:type="dxa"/>
                  <w:tcBorders>
                    <w:tl2br w:val="nil"/>
                    <w:tr2bl w:val="nil"/>
                  </w:tcBorders>
                  <w:noWrap w:val="0"/>
                  <w:vAlign w:val="center"/>
                </w:tcPr>
                <w:p w14:paraId="6DEC561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auto"/>
                    <w:rPr>
                      <w:rFonts w:hint="eastAsia"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严把燃煤锅炉准入关口，各县（区）建成区禁止新建燃煤锅炉。开展锅炉大气污染治理情况排查抽测，对不能稳定达标排放的实施综合整治。推动燃气锅炉实施低氮燃烧深度改造，鼓励企业将氮氧化物浓度控制在30毫克/立方米以下。</w:t>
                  </w:r>
                </w:p>
              </w:tc>
              <w:tc>
                <w:tcPr>
                  <w:tcW w:w="2208" w:type="dxa"/>
                  <w:tcBorders>
                    <w:tl2br w:val="nil"/>
                    <w:tr2bl w:val="nil"/>
                  </w:tcBorders>
                  <w:noWrap w:val="0"/>
                  <w:vAlign w:val="center"/>
                </w:tcPr>
                <w:p w14:paraId="0CEB7117">
                  <w:pPr>
                    <w:jc w:val="lef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项目锅炉配套</w:t>
                  </w:r>
                  <w:r>
                    <w:rPr>
                      <w:rFonts w:hint="eastAsia" w:cs="Times New Roman"/>
                      <w:color w:val="auto"/>
                      <w:sz w:val="21"/>
                      <w:szCs w:val="21"/>
                      <w:highlight w:val="none"/>
                      <w:lang w:val="en-US" w:eastAsia="zh-CN"/>
                    </w:rPr>
                    <w:t>低氮燃烧系统</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根据建设单位提供的设计资料，</w:t>
                  </w:r>
                  <w:r>
                    <w:rPr>
                      <w:rFonts w:hint="eastAsia" w:ascii="Times New Roman" w:hAnsi="Times New Roman" w:eastAsia="宋体" w:cs="Times New Roman"/>
                      <w:color w:val="auto"/>
                      <w:sz w:val="21"/>
                      <w:szCs w:val="21"/>
                      <w:highlight w:val="none"/>
                      <w:lang w:val="en-US" w:eastAsia="zh-CN"/>
                    </w:rPr>
                    <w:t>项目拟建燃气锅炉氮氧化物的排放浓度低于30毫克/立方米</w:t>
                  </w:r>
                  <w:r>
                    <w:rPr>
                      <w:rFonts w:hint="eastAsia" w:cs="Times New Roman"/>
                      <w:color w:val="auto"/>
                      <w:sz w:val="21"/>
                      <w:szCs w:val="21"/>
                      <w:highlight w:val="none"/>
                      <w:lang w:val="en-US" w:eastAsia="zh-CN"/>
                    </w:rPr>
                    <w:t>。</w:t>
                  </w:r>
                </w:p>
              </w:tc>
              <w:tc>
                <w:tcPr>
                  <w:tcW w:w="865" w:type="dxa"/>
                  <w:tcBorders>
                    <w:tl2br w:val="nil"/>
                    <w:tr2bl w:val="nil"/>
                  </w:tcBorders>
                  <w:noWrap w:val="0"/>
                  <w:vAlign w:val="center"/>
                </w:tcPr>
                <w:p w14:paraId="024833AC">
                  <w:pPr>
                    <w:ind w:firstLine="33" w:firstLineChars="16"/>
                    <w:jc w:val="center"/>
                    <w:rPr>
                      <w:color w:val="auto"/>
                      <w:sz w:val="21"/>
                      <w:szCs w:val="21"/>
                      <w:highlight w:val="none"/>
                    </w:rPr>
                  </w:pPr>
                  <w:r>
                    <w:rPr>
                      <w:color w:val="auto"/>
                      <w:sz w:val="21"/>
                      <w:szCs w:val="21"/>
                      <w:highlight w:val="none"/>
                    </w:rPr>
                    <w:t>符合</w:t>
                  </w:r>
                </w:p>
              </w:tc>
            </w:tr>
            <w:tr w14:paraId="70FE76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tcBorders>
                    <w:tl2br w:val="nil"/>
                    <w:tr2bl w:val="nil"/>
                  </w:tcBorders>
                  <w:noWrap w:val="0"/>
                  <w:vAlign w:val="center"/>
                </w:tcPr>
                <w:p w14:paraId="41C1ED13">
                  <w:pPr>
                    <w:adjustRightInd w:val="0"/>
                    <w:snapToGrid w:val="0"/>
                    <w:jc w:val="center"/>
                    <w:rPr>
                      <w:rFonts w:hint="eastAsia"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eastAsia" w:cs="Times New Roman"/>
                      <w:color w:val="auto"/>
                      <w:sz w:val="21"/>
                      <w:szCs w:val="21"/>
                      <w:highlight w:val="none"/>
                      <w:lang w:val="en-US" w:eastAsia="zh-CN"/>
                    </w:rPr>
                    <w:t>太白县</w:t>
                  </w:r>
                  <w:r>
                    <w:rPr>
                      <w:rFonts w:hint="default" w:ascii="Times New Roman" w:hAnsi="Times New Roman" w:eastAsia="宋体" w:cs="Times New Roman"/>
                      <w:color w:val="auto"/>
                      <w:sz w:val="21"/>
                      <w:szCs w:val="21"/>
                      <w:highlight w:val="none"/>
                    </w:rPr>
                    <w:t>大气污染治理专项行动方案（2023</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2027年）》</w:t>
                  </w:r>
                </w:p>
              </w:tc>
              <w:tc>
                <w:tcPr>
                  <w:tcW w:w="3048" w:type="dxa"/>
                  <w:tcBorders>
                    <w:tl2br w:val="nil"/>
                    <w:tr2bl w:val="nil"/>
                  </w:tcBorders>
                  <w:noWrap w:val="0"/>
                  <w:vAlign w:val="center"/>
                </w:tcPr>
                <w:p w14:paraId="61B22E86">
                  <w:pPr>
                    <w:spacing w:line="240" w:lineRule="auto"/>
                    <w:jc w:val="lef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9.工业企业深度治理行动。严把燃煤锅炉准入关口，县城建成区禁止新建燃煤锅炉。开展锅炉大气污染治理情况排查抽测，对不能稳定达标排放的实施综合整治。推动燃气锅炉实施低氮燃烧深度改造，鼓励企业将氮氧化物浓度控制在30毫克/立方米</w:t>
                  </w:r>
                  <w:r>
                    <w:rPr>
                      <w:rFonts w:hint="default" w:ascii="Times New Roman" w:hAnsi="Times New Roman" w:eastAsia="宋体" w:cs="Times New Roman"/>
                      <w:color w:val="auto"/>
                      <w:highlight w:val="none"/>
                      <w:lang w:val="en-US" w:eastAsia="zh-CN"/>
                    </w:rPr>
                    <w:t>以下</w:t>
                  </w:r>
                  <w:r>
                    <w:rPr>
                      <w:rFonts w:hint="eastAsia" w:ascii="Times New Roman" w:hAnsi="Times New Roman" w:eastAsia="宋体" w:cs="Times New Roman"/>
                      <w:color w:val="auto"/>
                      <w:kern w:val="2"/>
                      <w:sz w:val="21"/>
                      <w:szCs w:val="21"/>
                      <w:highlight w:val="none"/>
                      <w:lang w:val="en-US" w:eastAsia="zh-CN" w:bidi="ar-SA"/>
                    </w:rPr>
                    <w:t>。</w:t>
                  </w:r>
                </w:p>
              </w:tc>
              <w:tc>
                <w:tcPr>
                  <w:tcW w:w="2208" w:type="dxa"/>
                  <w:tcBorders>
                    <w:tl2br w:val="nil"/>
                    <w:tr2bl w:val="nil"/>
                  </w:tcBorders>
                  <w:noWrap w:val="0"/>
                  <w:vAlign w:val="center"/>
                </w:tcPr>
                <w:p w14:paraId="1EA2C06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both"/>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sz w:val="21"/>
                      <w:szCs w:val="21"/>
                      <w:highlight w:val="none"/>
                      <w:lang w:val="en-US" w:eastAsia="zh-CN"/>
                    </w:rPr>
                    <w:t>项目锅炉配套</w:t>
                  </w:r>
                  <w:r>
                    <w:rPr>
                      <w:rFonts w:hint="eastAsia" w:cs="Times New Roman"/>
                      <w:color w:val="auto"/>
                      <w:sz w:val="21"/>
                      <w:szCs w:val="21"/>
                      <w:highlight w:val="none"/>
                      <w:lang w:val="en-US" w:eastAsia="zh-CN"/>
                    </w:rPr>
                    <w:t>低氮燃烧系统</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根据建设单位提供的设计资料，</w:t>
                  </w:r>
                  <w:r>
                    <w:rPr>
                      <w:rFonts w:hint="eastAsia" w:ascii="Times New Roman" w:hAnsi="Times New Roman" w:eastAsia="宋体" w:cs="Times New Roman"/>
                      <w:color w:val="auto"/>
                      <w:sz w:val="21"/>
                      <w:szCs w:val="21"/>
                      <w:highlight w:val="none"/>
                      <w:lang w:val="en-US" w:eastAsia="zh-CN"/>
                    </w:rPr>
                    <w:t>项目拟建燃气锅炉氮氧化物的排放浓度低于30毫克/立方米</w:t>
                  </w:r>
                  <w:r>
                    <w:rPr>
                      <w:rFonts w:hint="eastAsia" w:cs="Times New Roman"/>
                      <w:color w:val="auto"/>
                      <w:sz w:val="21"/>
                      <w:szCs w:val="21"/>
                      <w:highlight w:val="none"/>
                      <w:lang w:val="en-US" w:eastAsia="zh-CN"/>
                    </w:rPr>
                    <w:t>。</w:t>
                  </w:r>
                </w:p>
              </w:tc>
              <w:tc>
                <w:tcPr>
                  <w:tcW w:w="865" w:type="dxa"/>
                  <w:tcBorders>
                    <w:tl2br w:val="nil"/>
                    <w:tr2bl w:val="nil"/>
                  </w:tcBorders>
                  <w:noWrap w:val="0"/>
                  <w:vAlign w:val="center"/>
                </w:tcPr>
                <w:p w14:paraId="0DE173B2">
                  <w:pPr>
                    <w:ind w:firstLine="33" w:firstLineChars="16"/>
                    <w:jc w:val="center"/>
                    <w:rPr>
                      <w:color w:val="auto"/>
                      <w:sz w:val="21"/>
                      <w:szCs w:val="21"/>
                      <w:highlight w:val="none"/>
                    </w:rPr>
                  </w:pPr>
                  <w:r>
                    <w:rPr>
                      <w:color w:val="auto"/>
                      <w:sz w:val="21"/>
                      <w:szCs w:val="21"/>
                      <w:highlight w:val="none"/>
                    </w:rPr>
                    <w:t>符合</w:t>
                  </w:r>
                </w:p>
              </w:tc>
            </w:tr>
            <w:tr w14:paraId="618B07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tcBorders>
                    <w:tl2br w:val="nil"/>
                    <w:tr2bl w:val="nil"/>
                  </w:tcBorders>
                  <w:noWrap w:val="0"/>
                  <w:vAlign w:val="center"/>
                </w:tcPr>
                <w:p w14:paraId="2EBEBFA4">
                  <w:pPr>
                    <w:spacing w:line="240" w:lineRule="auto"/>
                    <w:jc w:val="left"/>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《宝鸡市</w:t>
                  </w:r>
                  <w:r>
                    <w:rPr>
                      <w:rFonts w:hint="default" w:ascii="Times New Roman" w:hAnsi="Times New Roman" w:eastAsia="宋体" w:cs="Times New Roman"/>
                      <w:color w:val="auto"/>
                      <w:sz w:val="21"/>
                      <w:szCs w:val="21"/>
                      <w:highlight w:val="none"/>
                    </w:rPr>
                    <w:t>锅炉大气污染专项整治行动方案</w:t>
                  </w:r>
                  <w:r>
                    <w:rPr>
                      <w:rFonts w:hint="default" w:ascii="Times New Roman" w:hAnsi="Times New Roman" w:eastAsia="宋体" w:cs="Times New Roman"/>
                      <w:color w:val="auto"/>
                      <w:sz w:val="21"/>
                      <w:szCs w:val="21"/>
                      <w:highlight w:val="none"/>
                      <w:lang w:val="en-US" w:eastAsia="zh-CN"/>
                    </w:rPr>
                    <w:t>》</w:t>
                  </w:r>
                </w:p>
              </w:tc>
              <w:tc>
                <w:tcPr>
                  <w:tcW w:w="3048" w:type="dxa"/>
                  <w:tcBorders>
                    <w:tl2br w:val="nil"/>
                    <w:tr2bl w:val="nil"/>
                  </w:tcBorders>
                  <w:noWrap w:val="0"/>
                  <w:vAlign w:val="center"/>
                </w:tcPr>
                <w:p w14:paraId="69A10E8E">
                  <w:pPr>
                    <w:pStyle w:val="161"/>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leftChars="0" w:right="0" w:rightChars="0" w:firstLine="0" w:firstLineChars="0"/>
                    <w:jc w:val="both"/>
                    <w:textAlignment w:val="auto"/>
                    <w:rPr>
                      <w:rFonts w:hint="eastAsia" w:ascii="Times New Roman" w:hAnsi="Times New Roman" w:cs="Times New Roman"/>
                      <w:color w:val="auto"/>
                      <w:kern w:val="0"/>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深入推进燃气锅炉低氮改造，鼓励5蒸吨/小时以下燃气锅炉使用单位实施低氮燃烧深度改造，改造后氮氧化物浓度控制在30毫克/立方米以下。</w:t>
                  </w:r>
                </w:p>
              </w:tc>
              <w:tc>
                <w:tcPr>
                  <w:tcW w:w="2208" w:type="dxa"/>
                  <w:tcBorders>
                    <w:tl2br w:val="nil"/>
                    <w:tr2bl w:val="nil"/>
                  </w:tcBorders>
                  <w:noWrap w:val="0"/>
                  <w:vAlign w:val="center"/>
                </w:tcPr>
                <w:p w14:paraId="19BAABFD">
                  <w:pPr>
                    <w:jc w:val="lef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项目锅炉配套</w:t>
                  </w:r>
                  <w:r>
                    <w:rPr>
                      <w:rFonts w:hint="eastAsia" w:cs="Times New Roman"/>
                      <w:color w:val="auto"/>
                      <w:sz w:val="21"/>
                      <w:szCs w:val="21"/>
                      <w:highlight w:val="none"/>
                      <w:lang w:val="en-US" w:eastAsia="zh-CN"/>
                    </w:rPr>
                    <w:t>低氮燃烧系统</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根据建设单位提供的设计资料，</w:t>
                  </w:r>
                  <w:r>
                    <w:rPr>
                      <w:rFonts w:hint="eastAsia" w:ascii="Times New Roman" w:hAnsi="Times New Roman" w:eastAsia="宋体" w:cs="Times New Roman"/>
                      <w:color w:val="auto"/>
                      <w:sz w:val="21"/>
                      <w:szCs w:val="21"/>
                      <w:highlight w:val="none"/>
                      <w:lang w:val="en-US" w:eastAsia="zh-CN"/>
                    </w:rPr>
                    <w:t>项目拟建燃气锅炉氮氧化物的排放浓度低于30毫克/立方米</w:t>
                  </w:r>
                  <w:r>
                    <w:rPr>
                      <w:rFonts w:hint="eastAsia" w:cs="Times New Roman"/>
                      <w:color w:val="auto"/>
                      <w:sz w:val="21"/>
                      <w:szCs w:val="21"/>
                      <w:highlight w:val="none"/>
                      <w:lang w:val="en-US" w:eastAsia="zh-CN"/>
                    </w:rPr>
                    <w:t>。</w:t>
                  </w:r>
                </w:p>
              </w:tc>
              <w:tc>
                <w:tcPr>
                  <w:tcW w:w="865" w:type="dxa"/>
                  <w:tcBorders>
                    <w:tl2br w:val="nil"/>
                    <w:tr2bl w:val="nil"/>
                  </w:tcBorders>
                  <w:noWrap w:val="0"/>
                  <w:vAlign w:val="center"/>
                </w:tcPr>
                <w:p w14:paraId="484F1C78">
                  <w:pPr>
                    <w:ind w:firstLine="33" w:firstLineChars="16"/>
                    <w:jc w:val="center"/>
                    <w:rPr>
                      <w:color w:val="auto"/>
                      <w:sz w:val="21"/>
                      <w:szCs w:val="21"/>
                      <w:highlight w:val="none"/>
                    </w:rPr>
                  </w:pPr>
                  <w:r>
                    <w:rPr>
                      <w:color w:val="auto"/>
                      <w:sz w:val="21"/>
                      <w:szCs w:val="21"/>
                      <w:highlight w:val="none"/>
                    </w:rPr>
                    <w:t>符合</w:t>
                  </w:r>
                </w:p>
              </w:tc>
            </w:tr>
            <w:tr w14:paraId="1EB5F2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tcBorders>
                    <w:tl2br w:val="nil"/>
                    <w:tr2bl w:val="nil"/>
                  </w:tcBorders>
                  <w:noWrap w:val="0"/>
                  <w:vAlign w:val="center"/>
                </w:tcPr>
                <w:p w14:paraId="4B07F04B">
                  <w:pPr>
                    <w:spacing w:line="240" w:lineRule="auto"/>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《锅炉绿色低碳高质量发展行动方案》</w:t>
                  </w:r>
                </w:p>
              </w:tc>
              <w:tc>
                <w:tcPr>
                  <w:tcW w:w="3048" w:type="dxa"/>
                  <w:tcBorders>
                    <w:tl2br w:val="nil"/>
                    <w:tr2bl w:val="nil"/>
                  </w:tcBorders>
                  <w:noWrap w:val="0"/>
                  <w:vAlign w:val="center"/>
                </w:tcPr>
                <w:p w14:paraId="756B0E02">
                  <w:pPr>
                    <w:pStyle w:val="161"/>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leftChars="0" w:right="0" w:rightChars="0" w:firstLine="0" w:firstLineChars="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推动燃气锅炉全面采用低氮燃烧技术，严格限制排烟温度，适时禁止非冷凝式燃气锅炉进入市场，优先使用低噪声工艺和设备。</w:t>
                  </w:r>
                </w:p>
              </w:tc>
              <w:tc>
                <w:tcPr>
                  <w:tcW w:w="2208" w:type="dxa"/>
                  <w:tcBorders>
                    <w:tl2br w:val="nil"/>
                    <w:tr2bl w:val="nil"/>
                  </w:tcBorders>
                  <w:noWrap w:val="0"/>
                  <w:vAlign w:val="center"/>
                </w:tcPr>
                <w:p w14:paraId="34CAEF4D">
                  <w:pPr>
                    <w:ind w:firstLine="33" w:firstLineChars="16"/>
                    <w:jc w:val="left"/>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项目锅炉配套</w:t>
                  </w:r>
                  <w:r>
                    <w:rPr>
                      <w:rFonts w:hint="eastAsia" w:cs="Times New Roman"/>
                      <w:color w:val="auto"/>
                      <w:sz w:val="21"/>
                      <w:szCs w:val="21"/>
                      <w:highlight w:val="none"/>
                      <w:lang w:val="en-US" w:eastAsia="zh-CN"/>
                    </w:rPr>
                    <w:t>低氮燃烧系统</w:t>
                  </w:r>
                  <w:r>
                    <w:rPr>
                      <w:rFonts w:hint="eastAsia" w:ascii="Times New Roman" w:hAnsi="Times New Roman" w:eastAsia="宋体" w:cs="Times New Roman"/>
                      <w:color w:val="auto"/>
                      <w:sz w:val="21"/>
                      <w:szCs w:val="21"/>
                      <w:highlight w:val="none"/>
                      <w:lang w:val="en-US" w:eastAsia="zh-CN"/>
                    </w:rPr>
                    <w:t>，项目锅炉为冷凝式锅炉，属于低噪声设备</w:t>
                  </w:r>
                  <w:r>
                    <w:rPr>
                      <w:rFonts w:hint="eastAsia" w:cs="Times New Roman"/>
                      <w:color w:val="auto"/>
                      <w:sz w:val="21"/>
                      <w:szCs w:val="21"/>
                      <w:highlight w:val="none"/>
                      <w:lang w:val="en-US" w:eastAsia="zh-CN"/>
                    </w:rPr>
                    <w:t>。</w:t>
                  </w:r>
                </w:p>
              </w:tc>
              <w:tc>
                <w:tcPr>
                  <w:tcW w:w="865" w:type="dxa"/>
                  <w:tcBorders>
                    <w:tl2br w:val="nil"/>
                    <w:tr2bl w:val="nil"/>
                  </w:tcBorders>
                  <w:noWrap w:val="0"/>
                  <w:vAlign w:val="center"/>
                </w:tcPr>
                <w:p w14:paraId="249A4FC5">
                  <w:pPr>
                    <w:ind w:firstLine="33" w:firstLineChars="16"/>
                    <w:jc w:val="center"/>
                    <w:rPr>
                      <w:color w:val="auto"/>
                      <w:sz w:val="21"/>
                      <w:szCs w:val="21"/>
                      <w:highlight w:val="none"/>
                    </w:rPr>
                  </w:pPr>
                  <w:r>
                    <w:rPr>
                      <w:color w:val="auto"/>
                      <w:sz w:val="21"/>
                      <w:szCs w:val="21"/>
                      <w:highlight w:val="none"/>
                    </w:rPr>
                    <w:t>符合</w:t>
                  </w:r>
                </w:p>
              </w:tc>
            </w:tr>
          </w:tbl>
          <w:p w14:paraId="3404DE98">
            <w:pPr>
              <w:spacing w:line="360" w:lineRule="auto"/>
              <w:ind w:firstLine="482" w:firstLineChars="200"/>
              <w:rPr>
                <w:b/>
                <w:bCs w:val="0"/>
                <w:color w:val="auto"/>
                <w:sz w:val="24"/>
                <w:szCs w:val="24"/>
                <w:highlight w:val="none"/>
              </w:rPr>
            </w:pPr>
            <w:r>
              <w:rPr>
                <w:rFonts w:hint="eastAsia"/>
                <w:b/>
                <w:bCs w:val="0"/>
                <w:color w:val="auto"/>
                <w:sz w:val="24"/>
                <w:szCs w:val="24"/>
                <w:highlight w:val="none"/>
                <w:lang w:val="en-US" w:eastAsia="zh-CN"/>
              </w:rPr>
              <w:t>三、</w:t>
            </w:r>
            <w:r>
              <w:rPr>
                <w:b/>
                <w:bCs w:val="0"/>
                <w:color w:val="auto"/>
                <w:sz w:val="24"/>
                <w:szCs w:val="24"/>
                <w:highlight w:val="none"/>
              </w:rPr>
              <w:t>项目与生态环境保护规划相符性分析</w:t>
            </w:r>
          </w:p>
          <w:p w14:paraId="223040CD">
            <w:pPr>
              <w:autoSpaceDE w:val="0"/>
              <w:autoSpaceDN w:val="0"/>
              <w:adjustRightInd w:val="0"/>
              <w:snapToGrid w:val="0"/>
              <w:spacing w:line="360" w:lineRule="auto"/>
              <w:ind w:firstLine="480" w:firstLineChars="200"/>
              <w:jc w:val="left"/>
              <w:rPr>
                <w:bCs/>
                <w:color w:val="auto"/>
                <w:sz w:val="24"/>
                <w:szCs w:val="24"/>
                <w:highlight w:val="none"/>
              </w:rPr>
            </w:pPr>
            <w:r>
              <w:rPr>
                <w:bCs/>
                <w:color w:val="auto"/>
                <w:sz w:val="24"/>
                <w:szCs w:val="24"/>
                <w:highlight w:val="none"/>
              </w:rPr>
              <w:t>检索</w:t>
            </w:r>
            <w:r>
              <w:rPr>
                <w:rFonts w:hint="eastAsia"/>
                <w:color w:val="auto"/>
                <w:sz w:val="24"/>
                <w:szCs w:val="24"/>
                <w:highlight w:val="none"/>
              </w:rPr>
              <w:t>《陕西省“十四五”生态环境保护规划》及《宝鸡市十四五生态环境保护规划》</w:t>
            </w:r>
            <w:r>
              <w:rPr>
                <w:bCs/>
                <w:color w:val="auto"/>
                <w:sz w:val="24"/>
                <w:szCs w:val="24"/>
                <w:highlight w:val="none"/>
              </w:rPr>
              <w:t>，具体分析如下：</w:t>
            </w:r>
          </w:p>
          <w:p w14:paraId="7A56A5C0">
            <w:pPr>
              <w:ind w:firstLine="482" w:firstLineChars="200"/>
              <w:jc w:val="center"/>
              <w:rPr>
                <w:rFonts w:hint="eastAsia"/>
                <w:b/>
                <w:bCs w:val="0"/>
                <w:color w:val="auto"/>
                <w:sz w:val="24"/>
                <w:szCs w:val="24"/>
                <w:highlight w:val="none"/>
              </w:rPr>
            </w:pPr>
            <w:r>
              <w:rPr>
                <w:b/>
                <w:bCs w:val="0"/>
                <w:color w:val="auto"/>
                <w:sz w:val="24"/>
                <w:szCs w:val="24"/>
                <w:highlight w:val="none"/>
              </w:rPr>
              <w:t>表1-</w:t>
            </w:r>
            <w:r>
              <w:rPr>
                <w:rFonts w:hint="eastAsia"/>
                <w:b/>
                <w:bCs w:val="0"/>
                <w:color w:val="auto"/>
                <w:sz w:val="24"/>
                <w:szCs w:val="24"/>
                <w:highlight w:val="none"/>
                <w:lang w:val="en-US" w:eastAsia="zh-CN"/>
              </w:rPr>
              <w:t xml:space="preserve">4   </w:t>
            </w:r>
            <w:r>
              <w:rPr>
                <w:b/>
                <w:bCs w:val="0"/>
                <w:color w:val="auto"/>
                <w:sz w:val="24"/>
                <w:szCs w:val="24"/>
                <w:highlight w:val="none"/>
              </w:rPr>
              <w:t>项目与</w:t>
            </w:r>
            <w:r>
              <w:rPr>
                <w:rFonts w:hint="eastAsia"/>
                <w:b/>
                <w:bCs w:val="0"/>
                <w:color w:val="auto"/>
                <w:sz w:val="24"/>
                <w:szCs w:val="24"/>
                <w:highlight w:val="none"/>
              </w:rPr>
              <w:t>生态环境保护规划</w:t>
            </w:r>
            <w:r>
              <w:rPr>
                <w:b/>
                <w:bCs w:val="0"/>
                <w:color w:val="auto"/>
                <w:sz w:val="24"/>
                <w:szCs w:val="24"/>
                <w:highlight w:val="none"/>
              </w:rPr>
              <w:t>相符性分析表</w:t>
            </w:r>
          </w:p>
          <w:tbl>
            <w:tblPr>
              <w:tblStyle w:val="37"/>
              <w:tblW w:w="7489" w:type="dxa"/>
              <w:tblInd w:w="6"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748"/>
              <w:gridCol w:w="2521"/>
              <w:gridCol w:w="852"/>
            </w:tblGrid>
            <w:tr w14:paraId="606509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tcBorders>
                    <w:tl2br w:val="nil"/>
                    <w:tr2bl w:val="nil"/>
                  </w:tcBorders>
                  <w:noWrap w:val="0"/>
                  <w:vAlign w:val="center"/>
                </w:tcPr>
                <w:p w14:paraId="077832ED">
                  <w:pPr>
                    <w:adjustRightInd w:val="0"/>
                    <w:snapToGrid w:val="0"/>
                    <w:jc w:val="center"/>
                    <w:rPr>
                      <w:b/>
                      <w:bCs/>
                      <w:color w:val="auto"/>
                      <w:sz w:val="21"/>
                      <w:szCs w:val="21"/>
                      <w:highlight w:val="none"/>
                    </w:rPr>
                  </w:pPr>
                  <w:r>
                    <w:rPr>
                      <w:b/>
                      <w:bCs/>
                      <w:color w:val="auto"/>
                      <w:sz w:val="21"/>
                      <w:szCs w:val="21"/>
                      <w:highlight w:val="none"/>
                    </w:rPr>
                    <w:t>名称</w:t>
                  </w:r>
                </w:p>
              </w:tc>
              <w:tc>
                <w:tcPr>
                  <w:tcW w:w="2748" w:type="dxa"/>
                  <w:tcBorders>
                    <w:tl2br w:val="nil"/>
                    <w:tr2bl w:val="nil"/>
                  </w:tcBorders>
                  <w:noWrap w:val="0"/>
                  <w:vAlign w:val="center"/>
                </w:tcPr>
                <w:p w14:paraId="6D985125">
                  <w:pPr>
                    <w:adjustRightInd w:val="0"/>
                    <w:snapToGrid w:val="0"/>
                    <w:jc w:val="center"/>
                    <w:rPr>
                      <w:b/>
                      <w:bCs/>
                      <w:color w:val="auto"/>
                      <w:sz w:val="21"/>
                      <w:szCs w:val="21"/>
                      <w:highlight w:val="none"/>
                    </w:rPr>
                  </w:pPr>
                  <w:r>
                    <w:rPr>
                      <w:b/>
                      <w:bCs/>
                      <w:color w:val="auto"/>
                      <w:sz w:val="21"/>
                      <w:szCs w:val="21"/>
                      <w:highlight w:val="none"/>
                    </w:rPr>
                    <w:t>规划内容</w:t>
                  </w:r>
                </w:p>
              </w:tc>
              <w:tc>
                <w:tcPr>
                  <w:tcW w:w="2521" w:type="dxa"/>
                  <w:tcBorders>
                    <w:tl2br w:val="nil"/>
                    <w:tr2bl w:val="nil"/>
                  </w:tcBorders>
                  <w:noWrap w:val="0"/>
                  <w:vAlign w:val="center"/>
                </w:tcPr>
                <w:p w14:paraId="230FA39D">
                  <w:pPr>
                    <w:adjustRightInd w:val="0"/>
                    <w:snapToGrid w:val="0"/>
                    <w:jc w:val="center"/>
                    <w:rPr>
                      <w:b/>
                      <w:bCs/>
                      <w:color w:val="auto"/>
                      <w:sz w:val="21"/>
                      <w:szCs w:val="21"/>
                      <w:highlight w:val="none"/>
                    </w:rPr>
                  </w:pPr>
                  <w:r>
                    <w:rPr>
                      <w:b/>
                      <w:bCs/>
                      <w:color w:val="auto"/>
                      <w:sz w:val="21"/>
                      <w:szCs w:val="21"/>
                      <w:highlight w:val="none"/>
                    </w:rPr>
                    <w:t>与本项目相符性</w:t>
                  </w:r>
                </w:p>
              </w:tc>
              <w:tc>
                <w:tcPr>
                  <w:tcW w:w="852" w:type="dxa"/>
                  <w:tcBorders>
                    <w:tl2br w:val="nil"/>
                    <w:tr2bl w:val="nil"/>
                  </w:tcBorders>
                  <w:noWrap w:val="0"/>
                  <w:vAlign w:val="center"/>
                </w:tcPr>
                <w:p w14:paraId="58B42B3F">
                  <w:pPr>
                    <w:adjustRightInd w:val="0"/>
                    <w:snapToGrid w:val="0"/>
                    <w:jc w:val="center"/>
                    <w:rPr>
                      <w:b/>
                      <w:bCs/>
                      <w:color w:val="auto"/>
                      <w:sz w:val="21"/>
                      <w:szCs w:val="21"/>
                      <w:highlight w:val="none"/>
                    </w:rPr>
                  </w:pPr>
                  <w:r>
                    <w:rPr>
                      <w:b/>
                      <w:bCs/>
                      <w:color w:val="auto"/>
                      <w:sz w:val="21"/>
                      <w:szCs w:val="21"/>
                      <w:highlight w:val="none"/>
                    </w:rPr>
                    <w:t>判定结论</w:t>
                  </w:r>
                </w:p>
              </w:tc>
            </w:tr>
            <w:tr w14:paraId="01DEFB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tcBorders>
                    <w:tl2br w:val="nil"/>
                    <w:tr2bl w:val="nil"/>
                  </w:tcBorders>
                  <w:noWrap w:val="0"/>
                  <w:vAlign w:val="center"/>
                </w:tcPr>
                <w:p w14:paraId="1154370A">
                  <w:pPr>
                    <w:adjustRightInd w:val="0"/>
                    <w:snapToGrid w:val="0"/>
                    <w:jc w:val="center"/>
                    <w:rPr>
                      <w:color w:val="auto"/>
                      <w:sz w:val="21"/>
                      <w:szCs w:val="21"/>
                      <w:highlight w:val="none"/>
                    </w:rPr>
                  </w:pPr>
                  <w:r>
                    <w:rPr>
                      <w:rFonts w:hint="eastAsia"/>
                      <w:color w:val="auto"/>
                      <w:sz w:val="21"/>
                      <w:szCs w:val="21"/>
                      <w:highlight w:val="none"/>
                    </w:rPr>
                    <w:t>《陕西省“十四五”生态环境保护规划》</w:t>
                  </w:r>
                </w:p>
              </w:tc>
              <w:tc>
                <w:tcPr>
                  <w:tcW w:w="2748" w:type="dxa"/>
                  <w:tcBorders>
                    <w:tl2br w:val="nil"/>
                    <w:tr2bl w:val="nil"/>
                  </w:tcBorders>
                  <w:noWrap w:val="0"/>
                  <w:vAlign w:val="center"/>
                </w:tcPr>
                <w:p w14:paraId="046B96BB">
                  <w:pPr>
                    <w:adjustRightInd w:val="0"/>
                    <w:snapToGrid w:val="0"/>
                    <w:jc w:val="center"/>
                    <w:rPr>
                      <w:color w:val="auto"/>
                      <w:sz w:val="21"/>
                      <w:szCs w:val="21"/>
                      <w:highlight w:val="none"/>
                    </w:rPr>
                  </w:pPr>
                  <w:r>
                    <w:rPr>
                      <w:rFonts w:hint="eastAsia"/>
                      <w:color w:val="auto"/>
                      <w:sz w:val="21"/>
                      <w:szCs w:val="21"/>
                      <w:highlight w:val="none"/>
                    </w:rPr>
                    <w:t>强化工业炉窑和</w:t>
                  </w:r>
                  <w:r>
                    <w:rPr>
                      <w:rFonts w:hint="eastAsia"/>
                      <w:color w:val="auto"/>
                      <w:sz w:val="21"/>
                      <w:szCs w:val="21"/>
                      <w:highlight w:val="none"/>
                      <w:lang w:eastAsia="zh-CN"/>
                    </w:rPr>
                    <w:t>锅炉全面</w:t>
                  </w:r>
                  <w:r>
                    <w:rPr>
                      <w:rFonts w:hint="eastAsia"/>
                      <w:color w:val="auto"/>
                      <w:sz w:val="21"/>
                      <w:szCs w:val="21"/>
                      <w:highlight w:val="none"/>
                    </w:rPr>
                    <w:t>管控</w:t>
                  </w:r>
                  <w:r>
                    <w:rPr>
                      <w:rFonts w:hint="eastAsia"/>
                      <w:color w:val="auto"/>
                      <w:sz w:val="21"/>
                      <w:szCs w:val="21"/>
                      <w:highlight w:val="none"/>
                      <w:lang w:eastAsia="zh-CN"/>
                    </w:rPr>
                    <w:t>。</w:t>
                  </w:r>
                  <w:r>
                    <w:rPr>
                      <w:rFonts w:hint="eastAsia"/>
                      <w:color w:val="auto"/>
                      <w:sz w:val="21"/>
                      <w:szCs w:val="21"/>
                      <w:highlight w:val="none"/>
                    </w:rPr>
                    <w:t>加快</w:t>
                  </w:r>
                  <w:r>
                    <w:rPr>
                      <w:rFonts w:hint="eastAsia"/>
                      <w:color w:val="auto"/>
                      <w:sz w:val="21"/>
                      <w:szCs w:val="21"/>
                      <w:highlight w:val="none"/>
                      <w:lang w:eastAsia="zh-CN"/>
                    </w:rPr>
                    <w:t>淘汰</w:t>
                  </w:r>
                  <w:r>
                    <w:rPr>
                      <w:rFonts w:hint="eastAsia"/>
                      <w:color w:val="auto"/>
                      <w:sz w:val="21"/>
                      <w:szCs w:val="21"/>
                      <w:highlight w:val="none"/>
                    </w:rPr>
                    <w:t>以燃煤工业炉，加大不</w:t>
                  </w:r>
                  <w:r>
                    <w:rPr>
                      <w:rFonts w:hint="eastAsia"/>
                      <w:color w:val="auto"/>
                      <w:sz w:val="21"/>
                      <w:szCs w:val="21"/>
                      <w:highlight w:val="none"/>
                      <w:lang w:eastAsia="zh-CN"/>
                    </w:rPr>
                    <w:t>达</w:t>
                  </w:r>
                  <w:r>
                    <w:rPr>
                      <w:rFonts w:hint="eastAsia"/>
                      <w:color w:val="auto"/>
                      <w:sz w:val="21"/>
                      <w:szCs w:val="21"/>
                      <w:highlight w:val="none"/>
                    </w:rPr>
                    <w:t>标工业</w:t>
                  </w:r>
                  <w:r>
                    <w:rPr>
                      <w:rFonts w:hint="eastAsia"/>
                      <w:color w:val="auto"/>
                      <w:sz w:val="21"/>
                      <w:szCs w:val="21"/>
                      <w:highlight w:val="none"/>
                      <w:lang w:eastAsia="zh-CN"/>
                    </w:rPr>
                    <w:t>锅炉</w:t>
                  </w:r>
                  <w:r>
                    <w:rPr>
                      <w:rFonts w:hint="eastAsia"/>
                      <w:color w:val="auto"/>
                      <w:sz w:val="21"/>
                      <w:szCs w:val="21"/>
                      <w:highlight w:val="none"/>
                    </w:rPr>
                    <w:t>、煤</w:t>
                  </w:r>
                  <w:r>
                    <w:rPr>
                      <w:rFonts w:hint="eastAsia"/>
                      <w:color w:val="auto"/>
                      <w:sz w:val="21"/>
                      <w:szCs w:val="21"/>
                      <w:highlight w:val="none"/>
                      <w:lang w:eastAsia="zh-CN"/>
                    </w:rPr>
                    <w:t>气</w:t>
                  </w:r>
                  <w:r>
                    <w:rPr>
                      <w:rFonts w:hint="eastAsia"/>
                      <w:color w:val="auto"/>
                      <w:sz w:val="21"/>
                      <w:szCs w:val="21"/>
                      <w:highlight w:val="none"/>
                    </w:rPr>
                    <w:t>发生</w:t>
                  </w:r>
                  <w:r>
                    <w:rPr>
                      <w:rFonts w:hint="eastAsia"/>
                      <w:color w:val="auto"/>
                      <w:sz w:val="21"/>
                      <w:szCs w:val="21"/>
                      <w:highlight w:val="none"/>
                      <w:lang w:eastAsia="zh-CN"/>
                    </w:rPr>
                    <w:t>炉淘汰</w:t>
                  </w:r>
                  <w:r>
                    <w:rPr>
                      <w:rFonts w:hint="eastAsia"/>
                      <w:color w:val="auto"/>
                      <w:sz w:val="21"/>
                      <w:szCs w:val="21"/>
                      <w:highlight w:val="none"/>
                    </w:rPr>
                    <w:t>力</w:t>
                  </w:r>
                  <w:r>
                    <w:rPr>
                      <w:rFonts w:hint="eastAsia"/>
                      <w:color w:val="auto"/>
                      <w:sz w:val="21"/>
                      <w:szCs w:val="21"/>
                      <w:highlight w:val="none"/>
                      <w:lang w:eastAsia="zh-CN"/>
                    </w:rPr>
                    <w:t>度</w:t>
                  </w:r>
                  <w:r>
                    <w:rPr>
                      <w:rFonts w:hint="eastAsia"/>
                      <w:color w:val="auto"/>
                      <w:sz w:val="21"/>
                      <w:szCs w:val="21"/>
                      <w:highlight w:val="none"/>
                    </w:rPr>
                    <w:t>。巩固</w:t>
                  </w:r>
                  <w:r>
                    <w:rPr>
                      <w:rFonts w:hint="eastAsia"/>
                      <w:color w:val="auto"/>
                      <w:sz w:val="21"/>
                      <w:szCs w:val="21"/>
                      <w:highlight w:val="none"/>
                      <w:lang w:eastAsia="zh-CN"/>
                    </w:rPr>
                    <w:t>锅炉拆改成效</w:t>
                  </w:r>
                  <w:r>
                    <w:rPr>
                      <w:rFonts w:hint="eastAsia"/>
                      <w:color w:val="auto"/>
                      <w:sz w:val="21"/>
                      <w:szCs w:val="21"/>
                      <w:highlight w:val="none"/>
                    </w:rPr>
                    <w:t>、扎实推进燃煤</w:t>
                  </w:r>
                  <w:r>
                    <w:rPr>
                      <w:rFonts w:hint="eastAsia"/>
                      <w:color w:val="auto"/>
                      <w:sz w:val="21"/>
                      <w:szCs w:val="21"/>
                      <w:highlight w:val="none"/>
                      <w:lang w:eastAsia="zh-CN"/>
                    </w:rPr>
                    <w:t>锅炉淘汰</w:t>
                  </w:r>
                  <w:r>
                    <w:rPr>
                      <w:rFonts w:hint="eastAsia"/>
                      <w:color w:val="auto"/>
                      <w:sz w:val="21"/>
                      <w:szCs w:val="21"/>
                      <w:highlight w:val="none"/>
                    </w:rPr>
                    <w:t>。关中地区巩</w:t>
                  </w:r>
                  <w:r>
                    <w:rPr>
                      <w:rFonts w:hint="eastAsia"/>
                      <w:color w:val="auto"/>
                      <w:sz w:val="21"/>
                      <w:szCs w:val="21"/>
                      <w:highlight w:val="none"/>
                      <w:lang w:eastAsia="zh-CN"/>
                    </w:rPr>
                    <w:t>固</w:t>
                  </w:r>
                  <w:r>
                    <w:rPr>
                      <w:rFonts w:hint="eastAsia"/>
                      <w:color w:val="auto"/>
                      <w:sz w:val="21"/>
                      <w:szCs w:val="21"/>
                      <w:highlight w:val="none"/>
                    </w:rPr>
                    <w:t>燃煤锅炉</w:t>
                  </w:r>
                  <w:r>
                    <w:rPr>
                      <w:rFonts w:hint="eastAsia"/>
                      <w:color w:val="auto"/>
                      <w:sz w:val="21"/>
                      <w:szCs w:val="21"/>
                      <w:highlight w:val="none"/>
                      <w:lang w:eastAsia="zh-CN"/>
                    </w:rPr>
                    <w:t>拆改</w:t>
                  </w:r>
                  <w:r>
                    <w:rPr>
                      <w:rFonts w:hint="eastAsia"/>
                      <w:color w:val="auto"/>
                      <w:sz w:val="21"/>
                      <w:szCs w:val="21"/>
                      <w:highlight w:val="none"/>
                    </w:rPr>
                    <w:t>成效、燃</w:t>
                  </w:r>
                  <w:r>
                    <w:rPr>
                      <w:rFonts w:hint="eastAsia"/>
                      <w:color w:val="auto"/>
                      <w:sz w:val="21"/>
                      <w:szCs w:val="21"/>
                      <w:highlight w:val="none"/>
                      <w:lang w:eastAsia="zh-CN"/>
                    </w:rPr>
                    <w:t>气</w:t>
                  </w:r>
                  <w:r>
                    <w:rPr>
                      <w:rFonts w:hint="eastAsia"/>
                      <w:color w:val="auto"/>
                      <w:sz w:val="21"/>
                      <w:szCs w:val="21"/>
                      <w:highlight w:val="none"/>
                    </w:rPr>
                    <w:t>锅炉低</w:t>
                  </w:r>
                  <w:r>
                    <w:rPr>
                      <w:rFonts w:hint="eastAsia"/>
                      <w:color w:val="auto"/>
                      <w:sz w:val="21"/>
                      <w:szCs w:val="21"/>
                      <w:highlight w:val="none"/>
                      <w:lang w:val="en-US" w:eastAsia="zh-CN"/>
                    </w:rPr>
                    <w:t>氮</w:t>
                  </w:r>
                  <w:r>
                    <w:rPr>
                      <w:rFonts w:hint="eastAsia"/>
                      <w:color w:val="auto"/>
                      <w:sz w:val="21"/>
                      <w:szCs w:val="21"/>
                      <w:highlight w:val="none"/>
                      <w:lang w:eastAsia="zh-CN"/>
                    </w:rPr>
                    <w:t>改造</w:t>
                  </w:r>
                  <w:r>
                    <w:rPr>
                      <w:rFonts w:hint="eastAsia"/>
                      <w:color w:val="auto"/>
                      <w:sz w:val="21"/>
                      <w:szCs w:val="21"/>
                      <w:highlight w:val="none"/>
                    </w:rPr>
                    <w:t>成果。</w:t>
                  </w:r>
                  <w:r>
                    <w:rPr>
                      <w:rFonts w:hint="eastAsia"/>
                      <w:color w:val="auto"/>
                      <w:sz w:val="21"/>
                      <w:szCs w:val="21"/>
                      <w:highlight w:val="none"/>
                      <w:lang w:eastAsia="zh-CN"/>
                    </w:rPr>
                    <w:t>陕</w:t>
                  </w:r>
                  <w:r>
                    <w:rPr>
                      <w:rFonts w:hint="eastAsia"/>
                      <w:color w:val="auto"/>
                      <w:sz w:val="21"/>
                      <w:szCs w:val="21"/>
                      <w:highlight w:val="none"/>
                    </w:rPr>
                    <w:t>南、</w:t>
                  </w:r>
                  <w:r>
                    <w:rPr>
                      <w:rFonts w:hint="eastAsia"/>
                      <w:color w:val="auto"/>
                      <w:sz w:val="21"/>
                      <w:szCs w:val="21"/>
                      <w:highlight w:val="none"/>
                      <w:lang w:eastAsia="zh-CN"/>
                    </w:rPr>
                    <w:t>陕北</w:t>
                  </w:r>
                  <w:r>
                    <w:rPr>
                      <w:rFonts w:hint="eastAsia"/>
                      <w:color w:val="auto"/>
                      <w:sz w:val="21"/>
                      <w:szCs w:val="21"/>
                      <w:highlight w:val="none"/>
                    </w:rPr>
                    <w:t>地区</w:t>
                  </w:r>
                  <w:r>
                    <w:rPr>
                      <w:rFonts w:hint="eastAsia"/>
                      <w:color w:val="auto"/>
                      <w:sz w:val="21"/>
                      <w:szCs w:val="21"/>
                      <w:highlight w:val="none"/>
                      <w:lang w:eastAsia="zh-CN"/>
                    </w:rPr>
                    <w:t>持续</w:t>
                  </w:r>
                  <w:r>
                    <w:rPr>
                      <w:rFonts w:hint="eastAsia"/>
                      <w:color w:val="auto"/>
                      <w:sz w:val="21"/>
                      <w:szCs w:val="21"/>
                      <w:highlight w:val="none"/>
                    </w:rPr>
                    <w:t>推进燃气锅炉低</w:t>
                  </w:r>
                  <w:r>
                    <w:rPr>
                      <w:rFonts w:hint="eastAsia"/>
                      <w:color w:val="auto"/>
                      <w:sz w:val="21"/>
                      <w:szCs w:val="21"/>
                      <w:highlight w:val="none"/>
                      <w:lang w:eastAsia="zh-CN"/>
                    </w:rPr>
                    <w:t>氮</w:t>
                  </w:r>
                  <w:r>
                    <w:rPr>
                      <w:rFonts w:hint="eastAsia"/>
                      <w:color w:val="auto"/>
                      <w:sz w:val="21"/>
                      <w:szCs w:val="21"/>
                      <w:highlight w:val="none"/>
                    </w:rPr>
                    <w:t>改造</w:t>
                  </w:r>
                </w:p>
              </w:tc>
              <w:tc>
                <w:tcPr>
                  <w:tcW w:w="2521" w:type="dxa"/>
                  <w:tcBorders>
                    <w:tl2br w:val="nil"/>
                    <w:tr2bl w:val="nil"/>
                  </w:tcBorders>
                  <w:noWrap w:val="0"/>
                  <w:vAlign w:val="center"/>
                </w:tcPr>
                <w:p w14:paraId="2192286A">
                  <w:pPr>
                    <w:adjustRightInd w:val="0"/>
                    <w:snapToGrid w:val="0"/>
                    <w:jc w:val="center"/>
                    <w:rPr>
                      <w:color w:val="auto"/>
                      <w:sz w:val="21"/>
                      <w:szCs w:val="21"/>
                      <w:highlight w:val="none"/>
                    </w:rPr>
                  </w:pPr>
                  <w:r>
                    <w:rPr>
                      <w:color w:val="auto"/>
                      <w:sz w:val="21"/>
                      <w:szCs w:val="21"/>
                      <w:highlight w:val="none"/>
                    </w:rPr>
                    <w:t>本项目</w:t>
                  </w:r>
                  <w:r>
                    <w:rPr>
                      <w:rFonts w:hint="eastAsia"/>
                      <w:color w:val="auto"/>
                      <w:sz w:val="21"/>
                      <w:szCs w:val="21"/>
                      <w:highlight w:val="none"/>
                    </w:rPr>
                    <w:t>属于</w:t>
                  </w:r>
                  <w:r>
                    <w:rPr>
                      <w:rFonts w:hint="eastAsia"/>
                      <w:color w:val="auto"/>
                      <w:sz w:val="21"/>
                      <w:szCs w:val="21"/>
                      <w:highlight w:val="none"/>
                      <w:lang w:val="en-US" w:eastAsia="zh-CN"/>
                    </w:rPr>
                    <w:t>集中</w:t>
                  </w:r>
                  <w:r>
                    <w:rPr>
                      <w:rFonts w:hint="eastAsia"/>
                      <w:color w:val="auto"/>
                      <w:sz w:val="21"/>
                      <w:szCs w:val="21"/>
                      <w:highlight w:val="none"/>
                    </w:rPr>
                    <w:t>供暖项目，</w:t>
                  </w:r>
                  <w:r>
                    <w:rPr>
                      <w:rFonts w:hint="eastAsia"/>
                      <w:color w:val="auto"/>
                      <w:sz w:val="21"/>
                      <w:szCs w:val="21"/>
                      <w:highlight w:val="none"/>
                      <w:lang w:eastAsia="zh-CN"/>
                    </w:rPr>
                    <w:t>项目燃气</w:t>
                  </w:r>
                  <w:r>
                    <w:rPr>
                      <w:color w:val="auto"/>
                      <w:sz w:val="21"/>
                      <w:szCs w:val="21"/>
                      <w:highlight w:val="none"/>
                    </w:rPr>
                    <w:t>锅炉</w:t>
                  </w:r>
                  <w:r>
                    <w:rPr>
                      <w:rFonts w:hint="eastAsia"/>
                      <w:color w:val="auto"/>
                      <w:sz w:val="21"/>
                      <w:szCs w:val="21"/>
                      <w:highlight w:val="none"/>
                      <w:lang w:eastAsia="zh-CN"/>
                    </w:rPr>
                    <w:t>自带</w:t>
                  </w:r>
                  <w:r>
                    <w:rPr>
                      <w:rFonts w:hint="eastAsia"/>
                      <w:color w:val="auto"/>
                      <w:sz w:val="21"/>
                      <w:szCs w:val="21"/>
                      <w:highlight w:val="none"/>
                      <w:lang w:val="en-US" w:eastAsia="zh-CN"/>
                    </w:rPr>
                    <w:t>低氮燃烧系统</w:t>
                  </w:r>
                  <w:r>
                    <w:rPr>
                      <w:color w:val="auto"/>
                      <w:sz w:val="21"/>
                      <w:szCs w:val="21"/>
                      <w:highlight w:val="none"/>
                    </w:rPr>
                    <w:t>。</w:t>
                  </w:r>
                </w:p>
              </w:tc>
              <w:tc>
                <w:tcPr>
                  <w:tcW w:w="852" w:type="dxa"/>
                  <w:tcBorders>
                    <w:tl2br w:val="nil"/>
                    <w:tr2bl w:val="nil"/>
                  </w:tcBorders>
                  <w:noWrap w:val="0"/>
                  <w:vAlign w:val="center"/>
                </w:tcPr>
                <w:p w14:paraId="45D6631E">
                  <w:pPr>
                    <w:adjustRightInd w:val="0"/>
                    <w:snapToGrid w:val="0"/>
                    <w:jc w:val="center"/>
                    <w:rPr>
                      <w:color w:val="auto"/>
                      <w:sz w:val="21"/>
                      <w:szCs w:val="21"/>
                      <w:highlight w:val="none"/>
                    </w:rPr>
                  </w:pPr>
                  <w:r>
                    <w:rPr>
                      <w:color w:val="auto"/>
                      <w:sz w:val="21"/>
                      <w:szCs w:val="21"/>
                      <w:highlight w:val="none"/>
                    </w:rPr>
                    <w:t>符合</w:t>
                  </w:r>
                </w:p>
              </w:tc>
            </w:tr>
            <w:tr w14:paraId="5E30F4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tcBorders>
                    <w:tl2br w:val="nil"/>
                    <w:tr2bl w:val="nil"/>
                  </w:tcBorders>
                  <w:noWrap w:val="0"/>
                  <w:vAlign w:val="center"/>
                </w:tcPr>
                <w:p w14:paraId="579B45D3">
                  <w:pPr>
                    <w:adjustRightInd w:val="0"/>
                    <w:snapToGrid w:val="0"/>
                    <w:jc w:val="center"/>
                    <w:rPr>
                      <w:rFonts w:hint="eastAsia"/>
                      <w:color w:val="auto"/>
                      <w:sz w:val="21"/>
                      <w:szCs w:val="21"/>
                      <w:highlight w:val="none"/>
                    </w:rPr>
                  </w:pPr>
                  <w:r>
                    <w:rPr>
                      <w:rFonts w:hint="eastAsia"/>
                      <w:color w:val="auto"/>
                      <w:sz w:val="21"/>
                      <w:szCs w:val="21"/>
                      <w:highlight w:val="none"/>
                    </w:rPr>
                    <w:t>《宝鸡市十四五生态环境保护规划》</w:t>
                  </w:r>
                </w:p>
              </w:tc>
              <w:tc>
                <w:tcPr>
                  <w:tcW w:w="2748" w:type="dxa"/>
                  <w:tcBorders>
                    <w:tl2br w:val="nil"/>
                    <w:tr2bl w:val="nil"/>
                  </w:tcBorders>
                  <w:noWrap w:val="0"/>
                  <w:vAlign w:val="center"/>
                </w:tcPr>
                <w:p w14:paraId="7AE28971">
                  <w:pPr>
                    <w:adjustRightInd w:val="0"/>
                    <w:snapToGrid w:val="0"/>
                    <w:jc w:val="center"/>
                    <w:rPr>
                      <w:color w:val="auto"/>
                      <w:sz w:val="21"/>
                      <w:szCs w:val="21"/>
                      <w:highlight w:val="none"/>
                    </w:rPr>
                  </w:pPr>
                  <w:r>
                    <w:rPr>
                      <w:rFonts w:hint="eastAsia"/>
                      <w:color w:val="auto"/>
                      <w:sz w:val="21"/>
                      <w:szCs w:val="21"/>
                      <w:highlight w:val="none"/>
                    </w:rPr>
                    <w:t>实行锅炉和工业炉窑全面管控。加大落后产能和不达标工业炉窑淘汰力度，加大煤气发生炉淘汰力度。持续巩固燃煤锅炉拆改成效，严格控制新建燃煤锅炉，全面淘汰分散燃煤设施，新建生产经营性锅炉全部使用天然气或其他清洁能源。深入推行燃气锅炉低氮改造，加快学校、医院、政府机构等部门天然气锅炉低氮燃烧改造。</w:t>
                  </w:r>
                </w:p>
              </w:tc>
              <w:tc>
                <w:tcPr>
                  <w:tcW w:w="2521" w:type="dxa"/>
                  <w:tcBorders>
                    <w:tl2br w:val="nil"/>
                    <w:tr2bl w:val="nil"/>
                  </w:tcBorders>
                  <w:noWrap w:val="0"/>
                  <w:vAlign w:val="center"/>
                </w:tcPr>
                <w:p w14:paraId="337A92B9">
                  <w:pPr>
                    <w:adjustRightInd w:val="0"/>
                    <w:snapToGrid w:val="0"/>
                    <w:jc w:val="center"/>
                    <w:rPr>
                      <w:color w:val="auto"/>
                      <w:sz w:val="21"/>
                      <w:szCs w:val="21"/>
                      <w:highlight w:val="none"/>
                    </w:rPr>
                  </w:pPr>
                  <w:r>
                    <w:rPr>
                      <w:color w:val="auto"/>
                      <w:sz w:val="21"/>
                      <w:szCs w:val="21"/>
                      <w:highlight w:val="none"/>
                    </w:rPr>
                    <w:t>本项目</w:t>
                  </w:r>
                  <w:r>
                    <w:rPr>
                      <w:rFonts w:hint="eastAsia"/>
                      <w:color w:val="auto"/>
                      <w:sz w:val="21"/>
                      <w:szCs w:val="21"/>
                      <w:highlight w:val="none"/>
                    </w:rPr>
                    <w:t>属于</w:t>
                  </w:r>
                  <w:r>
                    <w:rPr>
                      <w:rFonts w:hint="eastAsia"/>
                      <w:color w:val="auto"/>
                      <w:sz w:val="21"/>
                      <w:szCs w:val="21"/>
                      <w:highlight w:val="none"/>
                      <w:lang w:val="en-US" w:eastAsia="zh-CN"/>
                    </w:rPr>
                    <w:t>集中</w:t>
                  </w:r>
                  <w:r>
                    <w:rPr>
                      <w:rFonts w:hint="eastAsia"/>
                      <w:color w:val="auto"/>
                      <w:sz w:val="21"/>
                      <w:szCs w:val="21"/>
                      <w:highlight w:val="none"/>
                    </w:rPr>
                    <w:t>供暖项目，</w:t>
                  </w:r>
                  <w:r>
                    <w:rPr>
                      <w:rFonts w:hint="eastAsia"/>
                      <w:color w:val="auto"/>
                      <w:sz w:val="21"/>
                      <w:szCs w:val="21"/>
                      <w:highlight w:val="none"/>
                      <w:lang w:eastAsia="zh-CN"/>
                    </w:rPr>
                    <w:t>项目锅炉为天然气锅炉，项目燃气</w:t>
                  </w:r>
                  <w:r>
                    <w:rPr>
                      <w:color w:val="auto"/>
                      <w:sz w:val="21"/>
                      <w:szCs w:val="21"/>
                      <w:highlight w:val="none"/>
                    </w:rPr>
                    <w:t>锅炉</w:t>
                  </w:r>
                  <w:r>
                    <w:rPr>
                      <w:rFonts w:hint="eastAsia"/>
                      <w:color w:val="auto"/>
                      <w:sz w:val="21"/>
                      <w:szCs w:val="21"/>
                      <w:highlight w:val="none"/>
                      <w:lang w:eastAsia="zh-CN"/>
                    </w:rPr>
                    <w:t>自带</w:t>
                  </w:r>
                  <w:r>
                    <w:rPr>
                      <w:rFonts w:hint="eastAsia"/>
                      <w:color w:val="auto"/>
                      <w:sz w:val="21"/>
                      <w:szCs w:val="21"/>
                      <w:highlight w:val="none"/>
                      <w:lang w:val="en-US" w:eastAsia="zh-CN"/>
                    </w:rPr>
                    <w:t>低氮燃烧系统</w:t>
                  </w:r>
                  <w:r>
                    <w:rPr>
                      <w:color w:val="auto"/>
                      <w:sz w:val="21"/>
                      <w:szCs w:val="21"/>
                      <w:highlight w:val="none"/>
                    </w:rPr>
                    <w:t>。</w:t>
                  </w:r>
                </w:p>
              </w:tc>
              <w:tc>
                <w:tcPr>
                  <w:tcW w:w="852" w:type="dxa"/>
                  <w:tcBorders>
                    <w:tl2br w:val="nil"/>
                    <w:tr2bl w:val="nil"/>
                  </w:tcBorders>
                  <w:noWrap w:val="0"/>
                  <w:vAlign w:val="center"/>
                </w:tcPr>
                <w:p w14:paraId="22291C00">
                  <w:pPr>
                    <w:adjustRightInd w:val="0"/>
                    <w:snapToGrid w:val="0"/>
                    <w:jc w:val="center"/>
                    <w:rPr>
                      <w:rFonts w:hint="eastAsia" w:eastAsia="宋体"/>
                      <w:color w:val="auto"/>
                      <w:sz w:val="21"/>
                      <w:szCs w:val="21"/>
                      <w:highlight w:val="none"/>
                      <w:lang w:eastAsia="zh-CN"/>
                    </w:rPr>
                  </w:pPr>
                  <w:r>
                    <w:rPr>
                      <w:rFonts w:hint="eastAsia"/>
                      <w:color w:val="auto"/>
                      <w:sz w:val="21"/>
                      <w:szCs w:val="21"/>
                      <w:highlight w:val="none"/>
                      <w:lang w:eastAsia="zh-CN"/>
                    </w:rPr>
                    <w:t>符合</w:t>
                  </w:r>
                </w:p>
              </w:tc>
            </w:tr>
          </w:tbl>
          <w:p w14:paraId="475FC35A">
            <w:pPr>
              <w:keepNext w:val="0"/>
              <w:keepLines w:val="0"/>
              <w:suppressLineNumbers w:val="0"/>
              <w:bidi w:val="0"/>
              <w:spacing w:before="0" w:beforeAutospacing="0" w:after="0" w:afterAutospacing="0" w:line="360" w:lineRule="auto"/>
              <w:ind w:left="0" w:right="0" w:firstLine="482" w:firstLineChars="200"/>
              <w:jc w:val="both"/>
              <w:rPr>
                <w:rFonts w:hint="default"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四、其他规划符合性分析</w:t>
            </w:r>
          </w:p>
          <w:p w14:paraId="5B39EE5E">
            <w:pPr>
              <w:ind w:firstLine="482" w:firstLineChars="200"/>
              <w:jc w:val="center"/>
              <w:rPr>
                <w:rFonts w:hint="eastAsia"/>
                <w:b/>
                <w:bCs w:val="0"/>
                <w:color w:val="auto"/>
                <w:sz w:val="24"/>
                <w:szCs w:val="24"/>
                <w:highlight w:val="none"/>
              </w:rPr>
            </w:pPr>
            <w:r>
              <w:rPr>
                <w:b/>
                <w:bCs w:val="0"/>
                <w:color w:val="auto"/>
                <w:sz w:val="24"/>
                <w:szCs w:val="24"/>
                <w:highlight w:val="none"/>
              </w:rPr>
              <w:t>表1-</w:t>
            </w:r>
            <w:r>
              <w:rPr>
                <w:rFonts w:hint="eastAsia"/>
                <w:b/>
                <w:bCs w:val="0"/>
                <w:color w:val="auto"/>
                <w:sz w:val="24"/>
                <w:szCs w:val="24"/>
                <w:highlight w:val="none"/>
                <w:lang w:val="en-US" w:eastAsia="zh-CN"/>
              </w:rPr>
              <w:t xml:space="preserve">5   </w:t>
            </w:r>
            <w:r>
              <w:rPr>
                <w:b/>
                <w:bCs w:val="0"/>
                <w:color w:val="auto"/>
                <w:sz w:val="24"/>
                <w:szCs w:val="24"/>
                <w:highlight w:val="none"/>
              </w:rPr>
              <w:t>项目与</w:t>
            </w:r>
            <w:r>
              <w:rPr>
                <w:rFonts w:hint="eastAsia"/>
                <w:b/>
                <w:bCs w:val="0"/>
                <w:color w:val="auto"/>
                <w:sz w:val="24"/>
                <w:szCs w:val="24"/>
                <w:highlight w:val="none"/>
                <w:lang w:val="en-US" w:eastAsia="zh-CN"/>
              </w:rPr>
              <w:t>其他</w:t>
            </w:r>
            <w:r>
              <w:rPr>
                <w:rFonts w:hint="eastAsia"/>
                <w:b/>
                <w:bCs w:val="0"/>
                <w:color w:val="auto"/>
                <w:sz w:val="24"/>
                <w:szCs w:val="24"/>
                <w:highlight w:val="none"/>
              </w:rPr>
              <w:t>规划</w:t>
            </w:r>
            <w:r>
              <w:rPr>
                <w:b/>
                <w:bCs w:val="0"/>
                <w:color w:val="auto"/>
                <w:sz w:val="24"/>
                <w:szCs w:val="24"/>
                <w:highlight w:val="none"/>
              </w:rPr>
              <w:t>相符性分析表</w:t>
            </w:r>
          </w:p>
          <w:tbl>
            <w:tblPr>
              <w:tblStyle w:val="37"/>
              <w:tblW w:w="7489" w:type="dxa"/>
              <w:tblInd w:w="6"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748"/>
              <w:gridCol w:w="2521"/>
              <w:gridCol w:w="852"/>
            </w:tblGrid>
            <w:tr w14:paraId="6548CC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tcBorders>
                    <w:tl2br w:val="nil"/>
                    <w:tr2bl w:val="nil"/>
                  </w:tcBorders>
                  <w:noWrap w:val="0"/>
                  <w:vAlign w:val="center"/>
                </w:tcPr>
                <w:p w14:paraId="11620126">
                  <w:pPr>
                    <w:adjustRightInd w:val="0"/>
                    <w:snapToGrid w:val="0"/>
                    <w:jc w:val="center"/>
                    <w:rPr>
                      <w:b/>
                      <w:bCs/>
                      <w:color w:val="auto"/>
                      <w:sz w:val="21"/>
                      <w:szCs w:val="21"/>
                      <w:highlight w:val="none"/>
                    </w:rPr>
                  </w:pPr>
                  <w:r>
                    <w:rPr>
                      <w:b/>
                      <w:bCs/>
                      <w:color w:val="auto"/>
                      <w:sz w:val="21"/>
                      <w:szCs w:val="21"/>
                      <w:highlight w:val="none"/>
                    </w:rPr>
                    <w:t>名称</w:t>
                  </w:r>
                </w:p>
              </w:tc>
              <w:tc>
                <w:tcPr>
                  <w:tcW w:w="2748" w:type="dxa"/>
                  <w:tcBorders>
                    <w:tl2br w:val="nil"/>
                    <w:tr2bl w:val="nil"/>
                  </w:tcBorders>
                  <w:noWrap w:val="0"/>
                  <w:vAlign w:val="center"/>
                </w:tcPr>
                <w:p w14:paraId="5F774226">
                  <w:pPr>
                    <w:adjustRightInd w:val="0"/>
                    <w:snapToGrid w:val="0"/>
                    <w:jc w:val="center"/>
                    <w:rPr>
                      <w:b/>
                      <w:bCs/>
                      <w:color w:val="auto"/>
                      <w:sz w:val="21"/>
                      <w:szCs w:val="21"/>
                      <w:highlight w:val="none"/>
                    </w:rPr>
                  </w:pPr>
                  <w:r>
                    <w:rPr>
                      <w:b/>
                      <w:bCs/>
                      <w:color w:val="auto"/>
                      <w:sz w:val="21"/>
                      <w:szCs w:val="21"/>
                      <w:highlight w:val="none"/>
                    </w:rPr>
                    <w:t>规划内容</w:t>
                  </w:r>
                </w:p>
              </w:tc>
              <w:tc>
                <w:tcPr>
                  <w:tcW w:w="2521" w:type="dxa"/>
                  <w:tcBorders>
                    <w:tl2br w:val="nil"/>
                    <w:tr2bl w:val="nil"/>
                  </w:tcBorders>
                  <w:noWrap w:val="0"/>
                  <w:vAlign w:val="center"/>
                </w:tcPr>
                <w:p w14:paraId="0C66F018">
                  <w:pPr>
                    <w:adjustRightInd w:val="0"/>
                    <w:snapToGrid w:val="0"/>
                    <w:jc w:val="center"/>
                    <w:rPr>
                      <w:b/>
                      <w:bCs/>
                      <w:color w:val="auto"/>
                      <w:sz w:val="21"/>
                      <w:szCs w:val="21"/>
                      <w:highlight w:val="none"/>
                    </w:rPr>
                  </w:pPr>
                  <w:r>
                    <w:rPr>
                      <w:b/>
                      <w:bCs/>
                      <w:color w:val="auto"/>
                      <w:sz w:val="21"/>
                      <w:szCs w:val="21"/>
                      <w:highlight w:val="none"/>
                    </w:rPr>
                    <w:t>与本项目相符性</w:t>
                  </w:r>
                </w:p>
              </w:tc>
              <w:tc>
                <w:tcPr>
                  <w:tcW w:w="852" w:type="dxa"/>
                  <w:tcBorders>
                    <w:tl2br w:val="nil"/>
                    <w:tr2bl w:val="nil"/>
                  </w:tcBorders>
                  <w:noWrap w:val="0"/>
                  <w:vAlign w:val="center"/>
                </w:tcPr>
                <w:p w14:paraId="096BB16F">
                  <w:pPr>
                    <w:adjustRightInd w:val="0"/>
                    <w:snapToGrid w:val="0"/>
                    <w:jc w:val="center"/>
                    <w:rPr>
                      <w:b/>
                      <w:bCs/>
                      <w:color w:val="auto"/>
                      <w:sz w:val="21"/>
                      <w:szCs w:val="21"/>
                      <w:highlight w:val="none"/>
                    </w:rPr>
                  </w:pPr>
                  <w:r>
                    <w:rPr>
                      <w:b/>
                      <w:bCs/>
                      <w:color w:val="auto"/>
                      <w:sz w:val="21"/>
                      <w:szCs w:val="21"/>
                      <w:highlight w:val="none"/>
                    </w:rPr>
                    <w:t>判定结论</w:t>
                  </w:r>
                </w:p>
              </w:tc>
            </w:tr>
            <w:tr w14:paraId="00DDA5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1368" w:type="dxa"/>
                  <w:vMerge w:val="restart"/>
                  <w:tcBorders>
                    <w:tl2br w:val="nil"/>
                    <w:tr2bl w:val="nil"/>
                  </w:tcBorders>
                  <w:noWrap w:val="0"/>
                  <w:vAlign w:val="center"/>
                </w:tcPr>
                <w:p w14:paraId="2C645B8A">
                  <w:pPr>
                    <w:adjustRightInd w:val="0"/>
                    <w:snapToGrid w:val="0"/>
                    <w:jc w:val="center"/>
                    <w:rPr>
                      <w:rFonts w:hint="eastAsia"/>
                      <w:color w:val="auto"/>
                      <w:sz w:val="21"/>
                      <w:szCs w:val="21"/>
                      <w:highlight w:val="none"/>
                    </w:rPr>
                  </w:pPr>
                  <w:r>
                    <w:rPr>
                      <w:rFonts w:hint="eastAsia"/>
                      <w:color w:val="auto"/>
                      <w:sz w:val="21"/>
                      <w:szCs w:val="21"/>
                      <w:highlight w:val="none"/>
                    </w:rPr>
                    <w:t>《太白县国土空间总体规划》(2021-2035年)</w:t>
                  </w:r>
                </w:p>
              </w:tc>
              <w:tc>
                <w:tcPr>
                  <w:tcW w:w="2748" w:type="dxa"/>
                  <w:tcBorders>
                    <w:tl2br w:val="nil"/>
                    <w:tr2bl w:val="nil"/>
                  </w:tcBorders>
                  <w:noWrap w:val="0"/>
                  <w:vAlign w:val="center"/>
                </w:tcPr>
                <w:p w14:paraId="15E4F4AD">
                  <w:pPr>
                    <w:adjustRightInd w:val="0"/>
                    <w:snapToGrid w:val="0"/>
                    <w:jc w:val="center"/>
                    <w:rPr>
                      <w:rFonts w:hint="eastAsia"/>
                      <w:color w:val="auto"/>
                      <w:sz w:val="21"/>
                      <w:szCs w:val="21"/>
                      <w:highlight w:val="none"/>
                    </w:rPr>
                  </w:pPr>
                  <w:r>
                    <w:rPr>
                      <w:rFonts w:hint="eastAsia"/>
                      <w:color w:val="auto"/>
                      <w:sz w:val="21"/>
                      <w:szCs w:val="21"/>
                      <w:highlight w:val="none"/>
                    </w:rPr>
                    <w:t>7.2 健全市政基础设施体建</w:t>
                  </w:r>
                </w:p>
                <w:p w14:paraId="5A9E536E">
                  <w:pPr>
                    <w:adjustRightInd w:val="0"/>
                    <w:snapToGrid w:val="0"/>
                    <w:jc w:val="both"/>
                    <w:rPr>
                      <w:rFonts w:hint="eastAsia" w:eastAsia="宋体"/>
                      <w:color w:val="auto"/>
                      <w:sz w:val="21"/>
                      <w:szCs w:val="21"/>
                      <w:highlight w:val="none"/>
                      <w:lang w:eastAsia="zh-CN"/>
                    </w:rPr>
                  </w:pPr>
                  <w:r>
                    <w:rPr>
                      <w:rFonts w:hint="eastAsia"/>
                      <w:color w:val="auto"/>
                      <w:sz w:val="21"/>
                      <w:szCs w:val="21"/>
                      <w:highlight w:val="none"/>
                    </w:rPr>
                    <w:t>推广新型能源供应保障</w:t>
                  </w:r>
                  <w:r>
                    <w:rPr>
                      <w:rFonts w:hint="eastAsia"/>
                      <w:color w:val="auto"/>
                      <w:sz w:val="21"/>
                      <w:szCs w:val="21"/>
                      <w:highlight w:val="none"/>
                      <w:lang w:eastAsia="zh-CN"/>
                    </w:rPr>
                    <w:t>：</w:t>
                  </w:r>
                </w:p>
                <w:p w14:paraId="3CE2CFCA">
                  <w:pPr>
                    <w:adjustRightInd w:val="0"/>
                    <w:snapToGrid w:val="0"/>
                    <w:jc w:val="both"/>
                    <w:rPr>
                      <w:rFonts w:hint="eastAsia"/>
                      <w:color w:val="auto"/>
                      <w:sz w:val="21"/>
                      <w:szCs w:val="21"/>
                      <w:highlight w:val="none"/>
                    </w:rPr>
                  </w:pPr>
                  <w:r>
                    <w:rPr>
                      <w:rFonts w:hint="eastAsia"/>
                      <w:color w:val="auto"/>
                      <w:sz w:val="21"/>
                      <w:szCs w:val="21"/>
                      <w:highlight w:val="none"/>
                    </w:rPr>
                    <w:t>完善燃气供应及保障</w:t>
                  </w:r>
                  <w:r>
                    <w:rPr>
                      <w:rFonts w:hint="eastAsia"/>
                      <w:color w:val="auto"/>
                      <w:sz w:val="21"/>
                      <w:szCs w:val="21"/>
                      <w:highlight w:val="none"/>
                      <w:lang w:eastAsia="zh-CN"/>
                    </w:rPr>
                    <w:t>；</w:t>
                  </w:r>
                  <w:r>
                    <w:rPr>
                      <w:rFonts w:hint="eastAsia"/>
                      <w:color w:val="auto"/>
                      <w:sz w:val="21"/>
                      <w:szCs w:val="21"/>
                      <w:highlight w:val="none"/>
                    </w:rPr>
                    <w:t>加快清洁能源供热普及进程。</w:t>
                  </w:r>
                </w:p>
              </w:tc>
              <w:tc>
                <w:tcPr>
                  <w:tcW w:w="2521" w:type="dxa"/>
                  <w:tcBorders>
                    <w:tl2br w:val="nil"/>
                    <w:tr2bl w:val="nil"/>
                  </w:tcBorders>
                  <w:noWrap w:val="0"/>
                  <w:vAlign w:val="center"/>
                </w:tcPr>
                <w:p w14:paraId="6FE76EAB">
                  <w:pPr>
                    <w:adjustRightInd w:val="0"/>
                    <w:snapToGrid w:val="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项目为供热工程，项目供热能源采用天然气，属于清洁能源供热</w:t>
                  </w:r>
                </w:p>
              </w:tc>
              <w:tc>
                <w:tcPr>
                  <w:tcW w:w="852" w:type="dxa"/>
                  <w:tcBorders>
                    <w:tl2br w:val="nil"/>
                    <w:tr2bl w:val="nil"/>
                  </w:tcBorders>
                  <w:noWrap w:val="0"/>
                  <w:vAlign w:val="center"/>
                </w:tcPr>
                <w:p w14:paraId="540E6609">
                  <w:pPr>
                    <w:adjustRightInd w:val="0"/>
                    <w:snapToGrid w:val="0"/>
                    <w:jc w:val="center"/>
                    <w:rPr>
                      <w:rFonts w:hint="default"/>
                      <w:color w:val="auto"/>
                      <w:sz w:val="21"/>
                      <w:szCs w:val="21"/>
                      <w:highlight w:val="none"/>
                      <w:lang w:val="en-US" w:eastAsia="zh-CN"/>
                    </w:rPr>
                  </w:pPr>
                  <w:r>
                    <w:rPr>
                      <w:rFonts w:hint="eastAsia"/>
                      <w:color w:val="auto"/>
                      <w:sz w:val="21"/>
                      <w:szCs w:val="21"/>
                      <w:highlight w:val="none"/>
                      <w:lang w:val="en-US" w:eastAsia="zh-CN"/>
                    </w:rPr>
                    <w:t>符合</w:t>
                  </w:r>
                </w:p>
              </w:tc>
            </w:tr>
            <w:tr w14:paraId="62FDA2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8" w:type="dxa"/>
                  <w:vMerge w:val="continue"/>
                  <w:tcBorders>
                    <w:tl2br w:val="nil"/>
                    <w:tr2bl w:val="nil"/>
                  </w:tcBorders>
                  <w:noWrap w:val="0"/>
                  <w:vAlign w:val="center"/>
                </w:tcPr>
                <w:p w14:paraId="704F34CE">
                  <w:pPr>
                    <w:adjustRightInd w:val="0"/>
                    <w:snapToGrid w:val="0"/>
                    <w:jc w:val="center"/>
                    <w:rPr>
                      <w:rFonts w:hint="eastAsia"/>
                      <w:color w:val="auto"/>
                      <w:sz w:val="21"/>
                      <w:szCs w:val="21"/>
                      <w:highlight w:val="none"/>
                    </w:rPr>
                  </w:pPr>
                </w:p>
              </w:tc>
              <w:tc>
                <w:tcPr>
                  <w:tcW w:w="2748" w:type="dxa"/>
                  <w:tcBorders>
                    <w:tl2br w:val="nil"/>
                    <w:tr2bl w:val="nil"/>
                  </w:tcBorders>
                  <w:noWrap w:val="0"/>
                  <w:vAlign w:val="center"/>
                </w:tcPr>
                <w:p w14:paraId="0C991189">
                  <w:pPr>
                    <w:adjustRightInd w:val="0"/>
                    <w:snapToGrid w:val="0"/>
                    <w:jc w:val="both"/>
                    <w:rPr>
                      <w:rFonts w:hint="eastAsia"/>
                      <w:color w:val="auto"/>
                      <w:sz w:val="21"/>
                      <w:szCs w:val="21"/>
                      <w:highlight w:val="none"/>
                    </w:rPr>
                  </w:pPr>
                  <w:r>
                    <w:rPr>
                      <w:rFonts w:hint="eastAsia"/>
                      <w:color w:val="auto"/>
                      <w:sz w:val="21"/>
                      <w:szCs w:val="21"/>
                      <w:highlight w:val="none"/>
                    </w:rPr>
                    <w:t>10.2 近期规划建设方向</w:t>
                  </w:r>
                </w:p>
                <w:p w14:paraId="33D4F32D">
                  <w:pPr>
                    <w:adjustRightInd w:val="0"/>
                    <w:snapToGrid w:val="0"/>
                    <w:jc w:val="both"/>
                    <w:rPr>
                      <w:rFonts w:hint="eastAsia"/>
                      <w:color w:val="auto"/>
                      <w:sz w:val="21"/>
                      <w:szCs w:val="21"/>
                      <w:highlight w:val="none"/>
                    </w:rPr>
                  </w:pPr>
                  <w:r>
                    <w:rPr>
                      <w:rFonts w:hint="eastAsia"/>
                      <w:b/>
                      <w:bCs/>
                      <w:color w:val="auto"/>
                      <w:sz w:val="21"/>
                      <w:szCs w:val="21"/>
                      <w:highlight w:val="none"/>
                    </w:rPr>
                    <w:t>县域</w:t>
                  </w:r>
                  <w:r>
                    <w:rPr>
                      <w:rFonts w:hint="eastAsia"/>
                      <w:b/>
                      <w:bCs/>
                      <w:color w:val="auto"/>
                      <w:sz w:val="21"/>
                      <w:szCs w:val="21"/>
                      <w:highlight w:val="none"/>
                      <w:lang w:eastAsia="zh-CN"/>
                    </w:rPr>
                    <w:t>：</w:t>
                  </w:r>
                  <w:r>
                    <w:rPr>
                      <w:rFonts w:hint="eastAsia"/>
                      <w:color w:val="auto"/>
                      <w:sz w:val="21"/>
                      <w:szCs w:val="21"/>
                      <w:highlight w:val="none"/>
                    </w:rPr>
                    <w:t>以完善县域交通、水利、电力等基础设施项目为主，配合城乡环境治理项目，加强全域旅游项目布局。</w:t>
                  </w:r>
                </w:p>
                <w:p w14:paraId="7ED63D01">
                  <w:pPr>
                    <w:adjustRightInd w:val="0"/>
                    <w:snapToGrid w:val="0"/>
                    <w:jc w:val="both"/>
                    <w:rPr>
                      <w:rFonts w:hint="eastAsia"/>
                      <w:color w:val="auto"/>
                      <w:sz w:val="21"/>
                      <w:szCs w:val="21"/>
                      <w:highlight w:val="none"/>
                    </w:rPr>
                  </w:pPr>
                  <w:r>
                    <w:rPr>
                      <w:rFonts w:hint="eastAsia"/>
                      <w:b/>
                      <w:bCs/>
                      <w:color w:val="auto"/>
                      <w:sz w:val="21"/>
                      <w:szCs w:val="21"/>
                      <w:highlight w:val="none"/>
                    </w:rPr>
                    <w:t>中心城区</w:t>
                  </w:r>
                  <w:r>
                    <w:rPr>
                      <w:rFonts w:hint="eastAsia"/>
                      <w:b/>
                      <w:bCs/>
                      <w:color w:val="auto"/>
                      <w:sz w:val="21"/>
                      <w:szCs w:val="21"/>
                      <w:highlight w:val="none"/>
                      <w:lang w:eastAsia="zh-CN"/>
                    </w:rPr>
                    <w:t>：</w:t>
                  </w:r>
                  <w:r>
                    <w:rPr>
                      <w:rFonts w:hint="eastAsia"/>
                      <w:color w:val="auto"/>
                      <w:sz w:val="21"/>
                      <w:szCs w:val="21"/>
                      <w:highlight w:val="none"/>
                    </w:rPr>
                    <w:t>主要以创建5A级景区县城、提升现有建成区基础设施和完善规划用地布局为主，通过旅游医养板块、鳌山运动休闲板块引导中心城区向东发展。</w:t>
                  </w:r>
                </w:p>
              </w:tc>
              <w:tc>
                <w:tcPr>
                  <w:tcW w:w="2521" w:type="dxa"/>
                  <w:tcBorders>
                    <w:tl2br w:val="nil"/>
                    <w:tr2bl w:val="nil"/>
                  </w:tcBorders>
                  <w:noWrap w:val="0"/>
                  <w:vAlign w:val="center"/>
                </w:tcPr>
                <w:p w14:paraId="5AC12E56">
                  <w:pPr>
                    <w:adjustRightInd w:val="0"/>
                    <w:snapToGrid w:val="0"/>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项目属于集中供热工程，属于基础设施建设，项目建设有利于推动</w:t>
                  </w:r>
                  <w:r>
                    <w:rPr>
                      <w:rFonts w:hint="eastAsia"/>
                      <w:color w:val="auto"/>
                      <w:sz w:val="21"/>
                      <w:szCs w:val="21"/>
                      <w:highlight w:val="none"/>
                    </w:rPr>
                    <w:t>全域旅游项目布局</w:t>
                  </w:r>
                </w:p>
              </w:tc>
              <w:tc>
                <w:tcPr>
                  <w:tcW w:w="852" w:type="dxa"/>
                  <w:tcBorders>
                    <w:tl2br w:val="nil"/>
                    <w:tr2bl w:val="nil"/>
                  </w:tcBorders>
                  <w:noWrap w:val="0"/>
                  <w:vAlign w:val="center"/>
                </w:tcPr>
                <w:p w14:paraId="1232BC16">
                  <w:pPr>
                    <w:adjustRightInd w:val="0"/>
                    <w:snapToGrid w:val="0"/>
                    <w:jc w:val="center"/>
                    <w:rPr>
                      <w:rFonts w:hint="eastAsia"/>
                      <w:color w:val="auto"/>
                      <w:sz w:val="21"/>
                      <w:szCs w:val="21"/>
                      <w:highlight w:val="none"/>
                      <w:lang w:eastAsia="zh-CN"/>
                    </w:rPr>
                  </w:pPr>
                  <w:r>
                    <w:rPr>
                      <w:rFonts w:hint="eastAsia"/>
                      <w:color w:val="auto"/>
                      <w:sz w:val="21"/>
                      <w:szCs w:val="21"/>
                      <w:highlight w:val="none"/>
                      <w:lang w:val="en-US" w:eastAsia="zh-CN"/>
                    </w:rPr>
                    <w:t>符合</w:t>
                  </w:r>
                </w:p>
              </w:tc>
            </w:tr>
          </w:tbl>
          <w:p w14:paraId="3D3CD771">
            <w:pPr>
              <w:keepNext w:val="0"/>
              <w:keepLines w:val="0"/>
              <w:suppressLineNumbers w:val="0"/>
              <w:bidi w:val="0"/>
              <w:spacing w:before="0" w:beforeAutospacing="0" w:after="0" w:afterAutospacing="0" w:line="360" w:lineRule="auto"/>
              <w:ind w:left="0" w:right="0" w:firstLine="482" w:firstLineChars="200"/>
              <w:jc w:val="both"/>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五、</w:t>
            </w:r>
            <w:r>
              <w:rPr>
                <w:rFonts w:hint="default" w:ascii="Times New Roman" w:hAnsi="Times New Roman" w:eastAsia="宋体" w:cs="Times New Roman"/>
                <w:b/>
                <w:bCs/>
                <w:color w:val="auto"/>
                <w:sz w:val="24"/>
                <w:szCs w:val="24"/>
                <w:highlight w:val="none"/>
                <w:lang w:val="en-US" w:eastAsia="zh-CN"/>
              </w:rPr>
              <w:t>选址合理性分析</w:t>
            </w:r>
          </w:p>
          <w:p w14:paraId="1B1A39E4">
            <w:pPr>
              <w:autoSpaceDE w:val="0"/>
              <w:autoSpaceDN w:val="0"/>
              <w:adjustRightInd w:val="0"/>
              <w:snapToGrid w:val="0"/>
              <w:spacing w:line="360" w:lineRule="auto"/>
              <w:ind w:firstLine="480" w:firstLineChars="200"/>
              <w:jc w:val="left"/>
              <w:rPr>
                <w:rFonts w:hint="eastAsia"/>
                <w:color w:val="auto"/>
                <w:kern w:val="0"/>
                <w:sz w:val="24"/>
                <w:szCs w:val="24"/>
                <w:highlight w:val="green"/>
              </w:rPr>
            </w:pPr>
            <w:r>
              <w:rPr>
                <w:rFonts w:hint="eastAsia"/>
                <w:color w:val="auto"/>
                <w:kern w:val="0"/>
                <w:sz w:val="24"/>
                <w:szCs w:val="24"/>
                <w:highlight w:val="none"/>
              </w:rPr>
              <w:t>本项目位于</w:t>
            </w:r>
            <w:r>
              <w:rPr>
                <w:rFonts w:hint="eastAsia" w:cs="Times New Roman"/>
                <w:color w:val="auto"/>
                <w:sz w:val="24"/>
                <w:szCs w:val="24"/>
                <w:highlight w:val="none"/>
                <w:lang w:val="en-US" w:eastAsia="zh-CN"/>
              </w:rPr>
              <w:t>太白县咀头镇咀头街村三组</w:t>
            </w:r>
            <w:r>
              <w:rPr>
                <w:rFonts w:hint="eastAsia" w:cs="Times New Roman"/>
                <w:color w:val="auto"/>
                <w:sz w:val="24"/>
                <w:szCs w:val="24"/>
                <w:highlight w:val="none"/>
                <w:u w:val="none"/>
                <w:lang w:val="en-US" w:eastAsia="zh-CN"/>
              </w:rPr>
              <w:t>，该小区已建成</w:t>
            </w:r>
            <w:r>
              <w:rPr>
                <w:rFonts w:hint="eastAsia"/>
                <w:color w:val="auto"/>
                <w:kern w:val="0"/>
                <w:sz w:val="24"/>
                <w:szCs w:val="24"/>
                <w:highlight w:val="none"/>
              </w:rPr>
              <w:t>，</w:t>
            </w:r>
            <w:r>
              <w:rPr>
                <w:rFonts w:hint="eastAsia"/>
                <w:color w:val="auto"/>
                <w:kern w:val="0"/>
                <w:sz w:val="24"/>
                <w:szCs w:val="24"/>
                <w:highlight w:val="none"/>
                <w:lang w:val="en-US" w:eastAsia="zh-CN"/>
              </w:rPr>
              <w:t>项目主要在已建成的商业楼顶进行建设，不涉及开挖工程，</w:t>
            </w:r>
            <w:r>
              <w:rPr>
                <w:rFonts w:hint="eastAsia"/>
                <w:color w:val="auto"/>
                <w:kern w:val="0"/>
                <w:sz w:val="24"/>
                <w:szCs w:val="24"/>
                <w:highlight w:val="none"/>
              </w:rPr>
              <w:t>施工</w:t>
            </w:r>
            <w:r>
              <w:rPr>
                <w:rFonts w:hint="eastAsia"/>
                <w:color w:val="auto"/>
                <w:kern w:val="0"/>
                <w:sz w:val="24"/>
                <w:szCs w:val="24"/>
                <w:highlight w:val="none"/>
                <w:lang w:val="en-US" w:eastAsia="zh-CN"/>
              </w:rPr>
              <w:t>工艺简单</w:t>
            </w:r>
            <w:r>
              <w:rPr>
                <w:rFonts w:hint="eastAsia"/>
                <w:color w:val="auto"/>
                <w:kern w:val="0"/>
                <w:sz w:val="24"/>
                <w:szCs w:val="24"/>
                <w:highlight w:val="none"/>
              </w:rPr>
              <w:t>，</w:t>
            </w:r>
            <w:r>
              <w:rPr>
                <w:rFonts w:hint="eastAsia"/>
                <w:color w:val="auto"/>
                <w:kern w:val="0"/>
                <w:sz w:val="24"/>
                <w:szCs w:val="24"/>
                <w:highlight w:val="none"/>
                <w:lang w:val="en-US" w:eastAsia="zh-CN"/>
              </w:rPr>
              <w:t>占地范围</w:t>
            </w:r>
            <w:r>
              <w:rPr>
                <w:rFonts w:hint="eastAsia"/>
                <w:color w:val="auto"/>
                <w:kern w:val="0"/>
                <w:sz w:val="24"/>
                <w:szCs w:val="24"/>
                <w:highlight w:val="none"/>
              </w:rPr>
              <w:t>不涉及其他各类自然保护区、历史文化</w:t>
            </w:r>
            <w:r>
              <w:rPr>
                <w:rFonts w:hint="eastAsia"/>
                <w:color w:val="auto"/>
                <w:kern w:val="0"/>
                <w:sz w:val="24"/>
                <w:szCs w:val="24"/>
                <w:highlight w:val="none"/>
                <w:lang w:eastAsia="zh-CN"/>
              </w:rPr>
              <w:t>自然遗迹</w:t>
            </w:r>
            <w:r>
              <w:rPr>
                <w:rFonts w:hint="eastAsia"/>
                <w:color w:val="auto"/>
                <w:kern w:val="0"/>
                <w:sz w:val="24"/>
                <w:szCs w:val="24"/>
                <w:highlight w:val="none"/>
              </w:rPr>
              <w:t>、国家生态公益林地、文物保护区、饮用水水源保护</w:t>
            </w:r>
            <w:r>
              <w:rPr>
                <w:rFonts w:hint="eastAsia"/>
                <w:color w:val="auto"/>
                <w:kern w:val="0"/>
                <w:sz w:val="24"/>
                <w:szCs w:val="24"/>
                <w:highlight w:val="none"/>
                <w:lang w:eastAsia="zh-CN"/>
              </w:rPr>
              <w:t>区等。</w:t>
            </w:r>
            <w:r>
              <w:rPr>
                <w:rFonts w:hint="eastAsia"/>
                <w:color w:val="auto"/>
                <w:kern w:val="0"/>
                <w:sz w:val="24"/>
                <w:szCs w:val="24"/>
                <w:highlight w:val="none"/>
                <w:lang w:val="en-US" w:eastAsia="zh-CN"/>
              </w:rPr>
              <w:t>项目运行期燃气锅炉采用低氮燃烧+18m排气筒排放，锅炉排污水、软水制备废水经冷却水槽冷却后经小区化粪池处理后排入市政污水管网，设备采用低噪声设备，基础减振，隔声等措施；废离子交换树脂由供应商更换后带走处置，少量危废交有资质单位处置，且锅炉为冬季供暖用，运行时间相对较短，采取上述措施后，对周边居民影响不大，因此选址基本合理</w:t>
            </w:r>
            <w:r>
              <w:rPr>
                <w:rFonts w:hint="eastAsia"/>
                <w:color w:val="auto"/>
                <w:kern w:val="0"/>
                <w:sz w:val="24"/>
                <w:szCs w:val="24"/>
                <w:highlight w:val="none"/>
              </w:rPr>
              <w:t>。</w:t>
            </w:r>
          </w:p>
          <w:p w14:paraId="1584CBA9">
            <w:pPr>
              <w:autoSpaceDE w:val="0"/>
              <w:autoSpaceDN w:val="0"/>
              <w:adjustRightInd w:val="0"/>
              <w:snapToGrid w:val="0"/>
              <w:spacing w:line="360" w:lineRule="auto"/>
              <w:ind w:firstLine="480" w:firstLineChars="200"/>
              <w:jc w:val="left"/>
              <w:rPr>
                <w:color w:val="auto"/>
                <w:kern w:val="0"/>
                <w:sz w:val="24"/>
                <w:szCs w:val="24"/>
                <w:highlight w:val="green"/>
              </w:rPr>
            </w:pPr>
          </w:p>
          <w:p w14:paraId="0AEC18AB">
            <w:pPr>
              <w:rPr>
                <w:color w:val="auto"/>
                <w:kern w:val="0"/>
                <w:sz w:val="24"/>
                <w:szCs w:val="24"/>
                <w:highlight w:val="green"/>
              </w:rPr>
            </w:pPr>
          </w:p>
          <w:p w14:paraId="4FB42596">
            <w:pPr>
              <w:pStyle w:val="30"/>
              <w:rPr>
                <w:color w:val="auto"/>
                <w:kern w:val="0"/>
                <w:sz w:val="24"/>
                <w:szCs w:val="24"/>
                <w:highlight w:val="green"/>
              </w:rPr>
            </w:pPr>
          </w:p>
          <w:p w14:paraId="52966D6C">
            <w:pPr>
              <w:rPr>
                <w:color w:val="auto"/>
                <w:kern w:val="0"/>
                <w:sz w:val="24"/>
                <w:szCs w:val="24"/>
                <w:highlight w:val="green"/>
              </w:rPr>
            </w:pPr>
          </w:p>
          <w:p w14:paraId="7F035599">
            <w:pPr>
              <w:pStyle w:val="30"/>
              <w:rPr>
                <w:color w:val="auto"/>
                <w:kern w:val="0"/>
                <w:sz w:val="24"/>
                <w:szCs w:val="24"/>
                <w:highlight w:val="green"/>
              </w:rPr>
            </w:pPr>
          </w:p>
          <w:p w14:paraId="2AA42356">
            <w:pPr>
              <w:rPr>
                <w:color w:val="auto"/>
                <w:kern w:val="0"/>
                <w:sz w:val="24"/>
                <w:szCs w:val="24"/>
                <w:highlight w:val="green"/>
              </w:rPr>
            </w:pPr>
          </w:p>
          <w:p w14:paraId="6BF81928">
            <w:pPr>
              <w:pStyle w:val="3"/>
              <w:rPr>
                <w:color w:val="auto"/>
                <w:kern w:val="0"/>
                <w:sz w:val="24"/>
                <w:szCs w:val="24"/>
                <w:highlight w:val="green"/>
              </w:rPr>
            </w:pPr>
          </w:p>
          <w:p w14:paraId="622DAF77">
            <w:pPr>
              <w:rPr>
                <w:color w:val="auto"/>
                <w:kern w:val="0"/>
                <w:sz w:val="24"/>
                <w:szCs w:val="24"/>
                <w:highlight w:val="green"/>
              </w:rPr>
            </w:pPr>
          </w:p>
          <w:p w14:paraId="380A0203">
            <w:pPr>
              <w:pStyle w:val="3"/>
              <w:rPr>
                <w:color w:val="auto"/>
                <w:kern w:val="0"/>
                <w:sz w:val="24"/>
                <w:szCs w:val="24"/>
                <w:highlight w:val="green"/>
              </w:rPr>
            </w:pPr>
          </w:p>
          <w:p w14:paraId="3E0C5412">
            <w:pPr>
              <w:rPr>
                <w:color w:val="auto"/>
                <w:kern w:val="0"/>
                <w:sz w:val="24"/>
                <w:szCs w:val="24"/>
                <w:highlight w:val="green"/>
              </w:rPr>
            </w:pPr>
          </w:p>
          <w:p w14:paraId="7B8C678C">
            <w:pPr>
              <w:pStyle w:val="3"/>
              <w:rPr>
                <w:color w:val="auto"/>
                <w:kern w:val="0"/>
                <w:sz w:val="24"/>
                <w:szCs w:val="24"/>
                <w:highlight w:val="green"/>
              </w:rPr>
            </w:pPr>
          </w:p>
          <w:p w14:paraId="692E1371">
            <w:pPr>
              <w:rPr>
                <w:color w:val="auto"/>
                <w:highlight w:val="green"/>
              </w:rPr>
            </w:pPr>
          </w:p>
        </w:tc>
      </w:tr>
    </w:tbl>
    <w:p w14:paraId="4F0D5764">
      <w:pPr>
        <w:spacing w:line="360" w:lineRule="auto"/>
        <w:outlineLvl w:val="0"/>
        <w:rPr>
          <w:color w:val="auto"/>
          <w:sz w:val="30"/>
          <w:highlight w:val="green"/>
        </w:rPr>
        <w:sectPr>
          <w:headerReference r:id="rId5" w:type="default"/>
          <w:footerReference r:id="rId6" w:type="default"/>
          <w:pgSz w:w="11905" w:h="16838"/>
          <w:pgMar w:top="1134" w:right="1134" w:bottom="1134" w:left="1247"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10B2CB4A">
      <w:pPr>
        <w:pStyle w:val="33"/>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outlineLvl w:val="0"/>
        <w:rPr>
          <w:rFonts w:ascii="黑体" w:hAnsi="黑体" w:eastAsia="黑体"/>
          <w:snapToGrid w:val="0"/>
          <w:color w:val="auto"/>
          <w:sz w:val="30"/>
          <w:szCs w:val="30"/>
          <w:highlight w:val="none"/>
        </w:rPr>
      </w:pPr>
      <w:bookmarkStart w:id="4" w:name="_Toc16492"/>
      <w:r>
        <w:rPr>
          <w:rFonts w:ascii="黑体" w:hAnsi="黑体" w:eastAsia="黑体"/>
          <w:snapToGrid w:val="0"/>
          <w:color w:val="auto"/>
          <w:sz w:val="30"/>
          <w:szCs w:val="30"/>
          <w:highlight w:val="none"/>
        </w:rPr>
        <w:t>二、建设项目工程分析</w:t>
      </w:r>
      <w:bookmarkEnd w:id="4"/>
    </w:p>
    <w:tbl>
      <w:tblPr>
        <w:tblStyle w:val="37"/>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1"/>
        <w:gridCol w:w="8958"/>
      </w:tblGrid>
      <w:tr w14:paraId="3F8CCC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80" w:hRule="atLeast"/>
        </w:trPr>
        <w:tc>
          <w:tcPr>
            <w:tcW w:w="691" w:type="dxa"/>
            <w:noWrap w:val="0"/>
            <w:vAlign w:val="center"/>
          </w:tcPr>
          <w:p w14:paraId="5298C67E">
            <w:pPr>
              <w:pStyle w:val="33"/>
              <w:adjustRightInd w:val="0"/>
              <w:snapToGrid w:val="0"/>
              <w:spacing w:before="0" w:beforeAutospacing="0" w:after="0" w:afterAutospacing="0"/>
              <w:jc w:val="center"/>
              <w:rPr>
                <w:rFonts w:ascii="Times New Roman" w:hAnsi="Times New Roman"/>
                <w:color w:val="auto"/>
                <w:kern w:val="2"/>
                <w:sz w:val="24"/>
                <w:szCs w:val="24"/>
                <w:highlight w:val="green"/>
                <w:lang w:val="en-US" w:eastAsia="zh-CN"/>
              </w:rPr>
            </w:pPr>
            <w:r>
              <w:rPr>
                <w:rFonts w:ascii="Times New Roman"/>
                <w:color w:val="auto"/>
                <w:kern w:val="2"/>
                <w:sz w:val="24"/>
                <w:szCs w:val="24"/>
                <w:highlight w:val="none"/>
                <w:lang w:val="en-US" w:eastAsia="zh-CN"/>
              </w:rPr>
              <w:t>建设内容</w:t>
            </w:r>
          </w:p>
        </w:tc>
        <w:tc>
          <w:tcPr>
            <w:tcW w:w="8958" w:type="dxa"/>
            <w:noWrap w:val="0"/>
            <w:vAlign w:val="top"/>
          </w:tcPr>
          <w:p w14:paraId="1901333F">
            <w:pPr>
              <w:adjustRightInd w:val="0"/>
              <w:snapToGrid w:val="0"/>
              <w:spacing w:line="360" w:lineRule="auto"/>
              <w:ind w:firstLine="420"/>
              <w:jc w:val="left"/>
              <w:rPr>
                <w:rFonts w:hint="default" w:ascii="Times New Roman" w:hAnsi="Times New Roman" w:eastAsia="宋体" w:cs="Times New Roman"/>
                <w:b/>
                <w:bCs w:val="0"/>
                <w:color w:val="auto"/>
                <w:sz w:val="24"/>
                <w:szCs w:val="24"/>
                <w:highlight w:val="none"/>
              </w:rPr>
            </w:pPr>
            <w:r>
              <w:rPr>
                <w:rFonts w:hint="eastAsia" w:cs="Times New Roman"/>
                <w:b/>
                <w:bCs w:val="0"/>
                <w:color w:val="auto"/>
                <w:sz w:val="24"/>
                <w:szCs w:val="24"/>
                <w:highlight w:val="none"/>
                <w:lang w:eastAsia="zh-CN"/>
              </w:rPr>
              <w:t>1.</w:t>
            </w:r>
            <w:r>
              <w:rPr>
                <w:rFonts w:hint="default" w:ascii="Times New Roman" w:hAnsi="Times New Roman" w:eastAsia="宋体" w:cs="Times New Roman"/>
                <w:b/>
                <w:bCs w:val="0"/>
                <w:color w:val="auto"/>
                <w:sz w:val="24"/>
                <w:szCs w:val="24"/>
                <w:highlight w:val="none"/>
              </w:rPr>
              <w:t>项目由来</w:t>
            </w:r>
          </w:p>
          <w:p w14:paraId="2C13738D">
            <w:pPr>
              <w:adjustRightInd w:val="0"/>
              <w:snapToGrid w:val="0"/>
              <w:spacing w:line="360" w:lineRule="auto"/>
              <w:ind w:firstLine="420"/>
              <w:jc w:val="left"/>
              <w:rPr>
                <w:rFonts w:hint="eastAsia" w:ascii="Times New Roman" w:hAnsi="Times New Roman" w:eastAsia="宋体" w:cs="Times New Roman"/>
                <w:bCs/>
                <w:color w:val="auto"/>
                <w:sz w:val="24"/>
                <w:szCs w:val="24"/>
                <w:highlight w:val="green"/>
                <w:lang w:val="en-US" w:eastAsia="zh-CN"/>
              </w:rPr>
            </w:pPr>
            <w:r>
              <w:rPr>
                <w:rFonts w:hint="eastAsia" w:cs="Times New Roman"/>
                <w:bCs/>
                <w:color w:val="auto"/>
                <w:sz w:val="24"/>
                <w:szCs w:val="24"/>
                <w:highlight w:val="none"/>
                <w:lang w:eastAsia="zh-CN"/>
              </w:rPr>
              <w:t>太白县秦华热力有限公司</w:t>
            </w:r>
            <w:r>
              <w:rPr>
                <w:rFonts w:hint="eastAsia" w:cs="Times New Roman"/>
                <w:bCs/>
                <w:color w:val="auto"/>
                <w:sz w:val="24"/>
                <w:szCs w:val="24"/>
                <w:highlight w:val="none"/>
                <w:lang w:val="en-US" w:eastAsia="zh-CN"/>
              </w:rPr>
              <w:t>成立于2019年11月28日，公司主要从事热力生产供应，为了方便翠矶山拆迁安置二期居民冬季供热，</w:t>
            </w:r>
            <w:r>
              <w:rPr>
                <w:rFonts w:hint="eastAsia" w:cs="Times New Roman"/>
                <w:bCs/>
                <w:color w:val="auto"/>
                <w:sz w:val="24"/>
                <w:szCs w:val="24"/>
                <w:highlight w:val="none"/>
                <w:lang w:eastAsia="zh-CN"/>
              </w:rPr>
              <w:t>太白县秦华热力有限公司</w:t>
            </w:r>
            <w:r>
              <w:rPr>
                <w:rFonts w:hint="eastAsia" w:cs="Times New Roman"/>
                <w:bCs/>
                <w:color w:val="auto"/>
                <w:sz w:val="24"/>
                <w:szCs w:val="24"/>
                <w:highlight w:val="none"/>
                <w:lang w:val="en-US" w:eastAsia="zh-CN"/>
              </w:rPr>
              <w:t>投资143.1万元在</w:t>
            </w:r>
            <w:r>
              <w:rPr>
                <w:rFonts w:hint="eastAsia" w:cs="Times New Roman"/>
                <w:color w:val="auto"/>
                <w:sz w:val="24"/>
                <w:szCs w:val="24"/>
                <w:highlight w:val="none"/>
                <w:lang w:val="en-US" w:eastAsia="zh-CN"/>
              </w:rPr>
              <w:t>太白县咀头镇咀头街村三组</w:t>
            </w:r>
            <w:r>
              <w:rPr>
                <w:rFonts w:hint="eastAsia" w:cs="Times New Roman"/>
                <w:bCs/>
                <w:color w:val="auto"/>
                <w:sz w:val="24"/>
                <w:szCs w:val="24"/>
                <w:highlight w:val="none"/>
                <w:lang w:val="en-US" w:eastAsia="zh-CN"/>
              </w:rPr>
              <w:t>建设翠矶山安置小区二期集中供热热源站建设项目</w:t>
            </w:r>
            <w:r>
              <w:rPr>
                <w:rFonts w:hint="eastAsia" w:ascii="Times New Roman" w:hAnsi="Times New Roman" w:eastAsia="宋体" w:cs="Times New Roman"/>
                <w:bCs/>
                <w:color w:val="auto"/>
                <w:sz w:val="24"/>
                <w:szCs w:val="24"/>
                <w:highlight w:val="none"/>
                <w:lang w:val="en-US" w:eastAsia="zh-CN"/>
              </w:rPr>
              <w:t>，项目主要</w:t>
            </w:r>
            <w:r>
              <w:rPr>
                <w:rFonts w:hint="eastAsia" w:ascii="Times New Roman" w:hAnsi="Times New Roman" w:eastAsia="宋体" w:cs="Times New Roman"/>
                <w:bCs/>
                <w:color w:val="auto"/>
                <w:sz w:val="24"/>
                <w:szCs w:val="24"/>
                <w:highlight w:val="none"/>
                <w:lang w:eastAsia="zh-CN"/>
              </w:rPr>
              <w:t>新建1座清洁能源热源站，项目</w:t>
            </w:r>
            <w:r>
              <w:rPr>
                <w:rFonts w:hint="eastAsia" w:cs="Times New Roman"/>
                <w:bCs/>
                <w:color w:val="auto"/>
                <w:sz w:val="24"/>
                <w:szCs w:val="24"/>
                <w:highlight w:val="none"/>
                <w:lang w:val="en-US" w:eastAsia="zh-CN"/>
              </w:rPr>
              <w:t>总</w:t>
            </w:r>
            <w:r>
              <w:rPr>
                <w:rFonts w:hint="eastAsia" w:ascii="Times New Roman" w:hAnsi="Times New Roman" w:eastAsia="宋体" w:cs="Times New Roman"/>
                <w:bCs/>
                <w:color w:val="auto"/>
                <w:sz w:val="24"/>
                <w:szCs w:val="24"/>
                <w:highlight w:val="none"/>
                <w:lang w:eastAsia="zh-CN"/>
              </w:rPr>
              <w:t>占地面积161.33平方米。</w:t>
            </w:r>
          </w:p>
          <w:p w14:paraId="12FC533A">
            <w:pPr>
              <w:adjustRightInd w:val="0"/>
              <w:snapToGrid w:val="0"/>
              <w:spacing w:line="360" w:lineRule="auto"/>
              <w:ind w:firstLine="420"/>
              <w:jc w:val="left"/>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根据《中华人民共和国环境影响评价法》（2018年12月29日修正）、《建设项目环境保护管理条例》（国务院令第682号2017年10月1日）和《建设项目环境影响评价分类管理名录》（部令第16号）相关规定，本项目属于“</w:t>
            </w:r>
            <w:r>
              <w:rPr>
                <w:rFonts w:hint="eastAsia" w:ascii="Times New Roman" w:hAnsi="Times New Roman" w:eastAsia="宋体" w:cs="Times New Roman"/>
                <w:bCs/>
                <w:color w:val="auto"/>
                <w:sz w:val="24"/>
                <w:szCs w:val="24"/>
                <w:highlight w:val="none"/>
                <w:lang w:val="en-US" w:eastAsia="zh-CN"/>
              </w:rPr>
              <w:t>四十一</w:t>
            </w:r>
            <w:r>
              <w:rPr>
                <w:rFonts w:hint="default" w:ascii="Times New Roman" w:hAnsi="Times New Roman" w:eastAsia="宋体" w:cs="Times New Roman"/>
                <w:bCs/>
                <w:color w:val="auto"/>
                <w:sz w:val="24"/>
                <w:szCs w:val="24"/>
                <w:highlight w:val="none"/>
                <w:lang w:val="en-US" w:eastAsia="zh-CN"/>
              </w:rPr>
              <w:t>、</w:t>
            </w:r>
            <w:r>
              <w:rPr>
                <w:rFonts w:hint="eastAsia" w:ascii="Times New Roman" w:hAnsi="Times New Roman" w:eastAsia="宋体" w:cs="Times New Roman"/>
                <w:bCs/>
                <w:color w:val="auto"/>
                <w:sz w:val="24"/>
                <w:szCs w:val="24"/>
                <w:highlight w:val="none"/>
                <w:lang w:val="en-US" w:eastAsia="zh-CN"/>
              </w:rPr>
              <w:t>电力、热力生产和供应业</w:t>
            </w:r>
            <w:r>
              <w:rPr>
                <w:rFonts w:hint="default" w:ascii="Times New Roman" w:hAnsi="Times New Roman" w:eastAsia="宋体" w:cs="Times New Roman"/>
                <w:bCs/>
                <w:color w:val="auto"/>
                <w:sz w:val="24"/>
                <w:szCs w:val="24"/>
                <w:highlight w:val="none"/>
                <w:lang w:val="en-US" w:eastAsia="zh-CN"/>
              </w:rPr>
              <w:t>”中“</w:t>
            </w:r>
            <w:r>
              <w:rPr>
                <w:rFonts w:hint="eastAsia" w:ascii="Times New Roman" w:hAnsi="Times New Roman" w:eastAsia="宋体" w:cs="Times New Roman"/>
                <w:bCs/>
                <w:color w:val="auto"/>
                <w:sz w:val="24"/>
                <w:szCs w:val="24"/>
                <w:highlight w:val="none"/>
                <w:lang w:val="en-US" w:eastAsia="zh-CN"/>
              </w:rPr>
              <w:t>91.热力生产和供应工程中天然气锅炉总容量1吨/小时（0.7兆瓦）以上的</w:t>
            </w:r>
            <w:r>
              <w:rPr>
                <w:rFonts w:hint="default" w:ascii="Times New Roman" w:hAnsi="Times New Roman" w:eastAsia="宋体" w:cs="Times New Roman"/>
                <w:bCs/>
                <w:color w:val="auto"/>
                <w:sz w:val="24"/>
                <w:szCs w:val="24"/>
                <w:highlight w:val="none"/>
                <w:lang w:val="en-US" w:eastAsia="zh-CN"/>
              </w:rPr>
              <w:t>”，因此编制环境影响报告表。</w:t>
            </w:r>
          </w:p>
          <w:p w14:paraId="29F5D20F">
            <w:pPr>
              <w:adjustRightInd w:val="0"/>
              <w:snapToGrid w:val="0"/>
              <w:spacing w:line="360" w:lineRule="auto"/>
              <w:ind w:firstLine="420"/>
              <w:jc w:val="left"/>
              <w:rPr>
                <w:rFonts w:hint="eastAsia" w:ascii="Times New Roman" w:hAnsi="Times New Roman" w:eastAsia="宋体" w:cs="Times New Roman"/>
                <w:b/>
                <w:bCs w:val="0"/>
                <w:color w:val="auto"/>
                <w:sz w:val="24"/>
                <w:szCs w:val="24"/>
                <w:highlight w:val="none"/>
              </w:rPr>
            </w:pPr>
            <w:r>
              <w:rPr>
                <w:rFonts w:hint="eastAsia" w:cs="Times New Roman"/>
                <w:b/>
                <w:bCs w:val="0"/>
                <w:color w:val="auto"/>
                <w:sz w:val="24"/>
                <w:szCs w:val="24"/>
                <w:highlight w:val="none"/>
                <w:lang w:val="en-US" w:eastAsia="zh-CN"/>
              </w:rPr>
              <w:t>2.</w:t>
            </w:r>
            <w:r>
              <w:rPr>
                <w:rFonts w:hint="eastAsia" w:ascii="Times New Roman" w:hAnsi="Times New Roman" w:eastAsia="宋体" w:cs="Times New Roman"/>
                <w:b/>
                <w:bCs w:val="0"/>
                <w:color w:val="auto"/>
                <w:sz w:val="24"/>
                <w:szCs w:val="24"/>
                <w:highlight w:val="none"/>
              </w:rPr>
              <w:t>项目概况</w:t>
            </w:r>
          </w:p>
          <w:p w14:paraId="17447C8B">
            <w:pPr>
              <w:adjustRightInd w:val="0"/>
              <w:snapToGrid w:val="0"/>
              <w:spacing w:line="360" w:lineRule="auto"/>
              <w:ind w:firstLine="420"/>
              <w:jc w:val="left"/>
              <w:rPr>
                <w:rFonts w:hint="eastAsia" w:ascii="Times New Roman" w:hAnsi="Times New Roman" w:eastAsia="宋体" w:cs="Times New Roman"/>
                <w:bCs/>
                <w:color w:val="auto"/>
                <w:sz w:val="24"/>
                <w:szCs w:val="24"/>
                <w:highlight w:val="none"/>
                <w:lang w:eastAsia="zh-CN"/>
              </w:rPr>
            </w:pPr>
            <w:r>
              <w:rPr>
                <w:rFonts w:hint="eastAsia" w:ascii="Times New Roman" w:hAnsi="Times New Roman" w:eastAsia="宋体" w:cs="Times New Roman"/>
                <w:bCs/>
                <w:color w:val="auto"/>
                <w:sz w:val="24"/>
                <w:szCs w:val="24"/>
                <w:highlight w:val="none"/>
              </w:rPr>
              <w:t>项目名称：</w:t>
            </w:r>
            <w:r>
              <w:rPr>
                <w:rFonts w:hint="eastAsia" w:cs="Times New Roman"/>
                <w:bCs/>
                <w:color w:val="auto"/>
                <w:sz w:val="24"/>
                <w:szCs w:val="24"/>
                <w:highlight w:val="none"/>
                <w:lang w:eastAsia="zh-CN"/>
              </w:rPr>
              <w:t>翠矶山安置小区二期集中供热热源站建设项目</w:t>
            </w:r>
          </w:p>
          <w:p w14:paraId="47FC8450">
            <w:pPr>
              <w:adjustRightInd w:val="0"/>
              <w:snapToGrid w:val="0"/>
              <w:spacing w:line="360" w:lineRule="auto"/>
              <w:ind w:firstLine="420"/>
              <w:jc w:val="left"/>
              <w:rPr>
                <w:rFonts w:hint="eastAsia" w:ascii="Times New Roman" w:hAnsi="Times New Roman" w:eastAsia="宋体" w:cs="Times New Roman"/>
                <w:bCs/>
                <w:color w:val="auto"/>
                <w:sz w:val="24"/>
                <w:szCs w:val="24"/>
                <w:highlight w:val="none"/>
                <w:lang w:eastAsia="zh-CN"/>
              </w:rPr>
            </w:pPr>
            <w:r>
              <w:rPr>
                <w:rFonts w:hint="eastAsia" w:ascii="Times New Roman" w:hAnsi="Times New Roman" w:eastAsia="宋体" w:cs="Times New Roman"/>
                <w:bCs/>
                <w:color w:val="auto"/>
                <w:sz w:val="24"/>
                <w:szCs w:val="24"/>
                <w:highlight w:val="none"/>
              </w:rPr>
              <w:t>建设性质：</w:t>
            </w:r>
            <w:r>
              <w:rPr>
                <w:rFonts w:hint="eastAsia" w:cs="Times New Roman"/>
                <w:bCs/>
                <w:color w:val="auto"/>
                <w:sz w:val="24"/>
                <w:szCs w:val="24"/>
                <w:highlight w:val="none"/>
                <w:lang w:val="en-US" w:eastAsia="zh-CN"/>
              </w:rPr>
              <w:t>新建</w:t>
            </w:r>
          </w:p>
          <w:p w14:paraId="0B3ACD0F">
            <w:pPr>
              <w:adjustRightInd w:val="0"/>
              <w:snapToGrid w:val="0"/>
              <w:spacing w:line="360" w:lineRule="auto"/>
              <w:ind w:firstLine="420"/>
              <w:jc w:val="left"/>
              <w:rPr>
                <w:rFonts w:hint="eastAsia" w:ascii="Times New Roman" w:hAnsi="Times New Roman" w:eastAsia="宋体" w:cs="Times New Roman"/>
                <w:bCs/>
                <w:color w:val="auto"/>
                <w:sz w:val="24"/>
                <w:szCs w:val="24"/>
                <w:highlight w:val="none"/>
                <w:lang w:eastAsia="zh-CN"/>
              </w:rPr>
            </w:pPr>
            <w:r>
              <w:rPr>
                <w:rFonts w:hint="eastAsia" w:ascii="Times New Roman" w:hAnsi="Times New Roman" w:eastAsia="宋体" w:cs="Times New Roman"/>
                <w:bCs/>
                <w:color w:val="auto"/>
                <w:sz w:val="24"/>
                <w:szCs w:val="24"/>
                <w:highlight w:val="none"/>
              </w:rPr>
              <w:t>建设单位：</w:t>
            </w:r>
            <w:r>
              <w:rPr>
                <w:rFonts w:hint="eastAsia" w:cs="Times New Roman"/>
                <w:bCs/>
                <w:color w:val="auto"/>
                <w:sz w:val="24"/>
                <w:szCs w:val="24"/>
                <w:highlight w:val="none"/>
                <w:lang w:eastAsia="zh-CN"/>
              </w:rPr>
              <w:t>太白县秦华热力有限公司</w:t>
            </w:r>
          </w:p>
          <w:p w14:paraId="16C6F93B">
            <w:pPr>
              <w:adjustRightInd w:val="0"/>
              <w:snapToGrid w:val="0"/>
              <w:spacing w:line="360" w:lineRule="auto"/>
              <w:ind w:firstLine="420"/>
              <w:jc w:val="left"/>
              <w:rPr>
                <w:rFonts w:hint="eastAsia" w:ascii="Times New Roman" w:hAnsi="Times New Roman" w:eastAsia="宋体" w:cs="Times New Roman"/>
                <w:bCs/>
                <w:color w:val="auto"/>
                <w:sz w:val="24"/>
                <w:szCs w:val="24"/>
                <w:highlight w:val="none"/>
                <w:lang w:val="en-US" w:eastAsia="zh-CN"/>
              </w:rPr>
            </w:pPr>
            <w:r>
              <w:rPr>
                <w:rFonts w:hint="eastAsia" w:ascii="Times New Roman" w:hAnsi="Times New Roman" w:eastAsia="宋体" w:cs="Times New Roman"/>
                <w:bCs/>
                <w:color w:val="auto"/>
                <w:sz w:val="24"/>
                <w:szCs w:val="24"/>
                <w:highlight w:val="none"/>
              </w:rPr>
              <w:t>建设地点：</w:t>
            </w:r>
            <w:r>
              <w:rPr>
                <w:rFonts w:hint="eastAsia" w:cs="Times New Roman"/>
                <w:bCs/>
                <w:color w:val="auto"/>
                <w:sz w:val="24"/>
                <w:szCs w:val="24"/>
                <w:highlight w:val="none"/>
                <w:lang w:eastAsia="zh-CN"/>
              </w:rPr>
              <w:t>太白县咀头镇咀头街村三组</w:t>
            </w:r>
          </w:p>
          <w:p w14:paraId="5CB28923">
            <w:pPr>
              <w:adjustRightInd w:val="0"/>
              <w:snapToGrid w:val="0"/>
              <w:spacing w:line="360" w:lineRule="auto"/>
              <w:ind w:firstLine="420"/>
              <w:jc w:val="left"/>
              <w:rPr>
                <w:rFonts w:hint="eastAsia" w:ascii="Times New Roman" w:hAnsi="Times New Roman" w:eastAsia="宋体" w:cs="Times New Roman"/>
                <w:bCs/>
                <w:color w:val="auto"/>
                <w:sz w:val="24"/>
                <w:szCs w:val="24"/>
                <w:highlight w:val="none"/>
                <w:lang w:eastAsia="zh-TW"/>
              </w:rPr>
            </w:pPr>
            <w:r>
              <w:rPr>
                <w:rFonts w:hint="eastAsia" w:ascii="Times New Roman" w:hAnsi="Times New Roman" w:eastAsia="宋体" w:cs="Times New Roman"/>
                <w:bCs/>
                <w:color w:val="auto"/>
                <w:sz w:val="24"/>
                <w:szCs w:val="24"/>
                <w:highlight w:val="none"/>
              </w:rPr>
              <w:t>项目组成及建设内容</w:t>
            </w:r>
            <w:r>
              <w:rPr>
                <w:rFonts w:hint="eastAsia" w:ascii="Times New Roman" w:hAnsi="Times New Roman" w:eastAsia="宋体" w:cs="Times New Roman"/>
                <w:bCs/>
                <w:color w:val="auto"/>
                <w:sz w:val="24"/>
                <w:szCs w:val="24"/>
                <w:highlight w:val="none"/>
                <w:lang w:eastAsia="zh-CN"/>
              </w:rPr>
              <w:t>：项目由楼顶锅炉房、原有小区换热站组成，总占地161.33</w:t>
            </w:r>
            <w:r>
              <w:rPr>
                <w:rFonts w:hint="eastAsia" w:cs="Times New Roman"/>
                <w:bCs/>
                <w:color w:val="auto"/>
                <w:sz w:val="24"/>
                <w:szCs w:val="24"/>
                <w:highlight w:val="none"/>
                <w:lang w:val="en-US" w:eastAsia="zh-CN"/>
              </w:rPr>
              <w:t>m</w:t>
            </w:r>
            <w:r>
              <w:rPr>
                <w:rFonts w:hint="eastAsia" w:cs="Times New Roman"/>
                <w:bCs/>
                <w:color w:val="auto"/>
                <w:sz w:val="24"/>
                <w:szCs w:val="24"/>
                <w:highlight w:val="none"/>
                <w:vertAlign w:val="superscript"/>
                <w:lang w:val="en-US" w:eastAsia="zh-CN"/>
              </w:rPr>
              <w:t>2</w:t>
            </w:r>
            <w:r>
              <w:rPr>
                <w:rFonts w:hint="eastAsia" w:ascii="Times New Roman" w:hAnsi="Times New Roman" w:eastAsia="宋体" w:cs="Times New Roman"/>
                <w:bCs/>
                <w:color w:val="auto"/>
                <w:sz w:val="24"/>
                <w:szCs w:val="24"/>
                <w:highlight w:val="none"/>
                <w:lang w:eastAsia="zh-CN"/>
              </w:rPr>
              <w:t>。商业5号楼楼顶锅炉房占地67.2</w:t>
            </w:r>
            <w:r>
              <w:rPr>
                <w:rFonts w:hint="eastAsia" w:cs="Times New Roman"/>
                <w:bCs/>
                <w:color w:val="auto"/>
                <w:sz w:val="24"/>
                <w:szCs w:val="24"/>
                <w:highlight w:val="none"/>
                <w:lang w:val="en-US" w:eastAsia="zh-CN"/>
              </w:rPr>
              <w:t>m</w:t>
            </w:r>
            <w:r>
              <w:rPr>
                <w:rFonts w:hint="eastAsia" w:cs="Times New Roman"/>
                <w:bCs/>
                <w:color w:val="auto"/>
                <w:sz w:val="24"/>
                <w:szCs w:val="24"/>
                <w:highlight w:val="none"/>
                <w:vertAlign w:val="superscript"/>
                <w:lang w:val="en-US" w:eastAsia="zh-CN"/>
              </w:rPr>
              <w:t>2</w:t>
            </w:r>
            <w:r>
              <w:rPr>
                <w:rFonts w:hint="eastAsia" w:ascii="Times New Roman" w:hAnsi="Times New Roman" w:eastAsia="宋体" w:cs="Times New Roman"/>
                <w:bCs/>
                <w:color w:val="auto"/>
                <w:sz w:val="24"/>
                <w:szCs w:val="24"/>
                <w:highlight w:val="none"/>
                <w:lang w:eastAsia="zh-CN"/>
              </w:rPr>
              <w:t>、单层、高4.5m，配德地氏冷凝锅炉2台、0.5立方米膨胀水箱1台；换热站依托原有站房建设，面积94.13</w:t>
            </w:r>
            <w:r>
              <w:rPr>
                <w:rFonts w:hint="eastAsia" w:cs="Times New Roman"/>
                <w:bCs/>
                <w:color w:val="auto"/>
                <w:sz w:val="24"/>
                <w:szCs w:val="24"/>
                <w:highlight w:val="none"/>
                <w:lang w:val="en-US" w:eastAsia="zh-CN"/>
              </w:rPr>
              <w:t>m</w:t>
            </w:r>
            <w:r>
              <w:rPr>
                <w:rFonts w:hint="eastAsia" w:cs="Times New Roman"/>
                <w:bCs/>
                <w:color w:val="auto"/>
                <w:sz w:val="24"/>
                <w:szCs w:val="24"/>
                <w:highlight w:val="none"/>
                <w:vertAlign w:val="superscript"/>
                <w:lang w:val="en-US" w:eastAsia="zh-CN"/>
              </w:rPr>
              <w:t>2</w:t>
            </w:r>
            <w:r>
              <w:rPr>
                <w:rFonts w:hint="eastAsia" w:ascii="Times New Roman" w:hAnsi="Times New Roman" w:eastAsia="宋体" w:cs="Times New Roman"/>
                <w:bCs/>
                <w:color w:val="auto"/>
                <w:sz w:val="24"/>
                <w:szCs w:val="24"/>
                <w:highlight w:val="none"/>
                <w:lang w:eastAsia="zh-CN"/>
              </w:rPr>
              <w:t>，设板式换热机组1组、软水器1台、软化水箱1台、补水泵2台、一二次循环泵各2台，一二次管网配套树脂软水装置。</w:t>
            </w:r>
            <w:r>
              <w:rPr>
                <w:rFonts w:hint="eastAsia" w:ascii="Times New Roman" w:hAnsi="Times New Roman" w:eastAsia="宋体" w:cs="Times New Roman"/>
                <w:bCs/>
                <w:color w:val="auto"/>
                <w:sz w:val="24"/>
                <w:szCs w:val="24"/>
                <w:highlight w:val="none"/>
                <w:lang w:eastAsia="zh-TW"/>
              </w:rPr>
              <w:t>建设项目组成见表</w:t>
            </w:r>
            <w:r>
              <w:rPr>
                <w:rFonts w:hint="eastAsia" w:ascii="Times New Roman" w:hAnsi="Times New Roman" w:eastAsia="宋体" w:cs="Times New Roman"/>
                <w:bCs/>
                <w:color w:val="auto"/>
                <w:sz w:val="24"/>
                <w:szCs w:val="24"/>
                <w:highlight w:val="none"/>
              </w:rPr>
              <w:t>2-</w:t>
            </w:r>
            <w:r>
              <w:rPr>
                <w:rFonts w:hint="eastAsia" w:cs="Times New Roman"/>
                <w:bCs/>
                <w:color w:val="auto"/>
                <w:sz w:val="24"/>
                <w:szCs w:val="24"/>
                <w:highlight w:val="none"/>
                <w:lang w:val="en-US" w:eastAsia="zh-CN"/>
              </w:rPr>
              <w:t>1</w:t>
            </w:r>
            <w:r>
              <w:rPr>
                <w:rFonts w:hint="eastAsia" w:ascii="Times New Roman" w:hAnsi="Times New Roman" w:eastAsia="宋体" w:cs="Times New Roman"/>
                <w:bCs/>
                <w:color w:val="auto"/>
                <w:sz w:val="24"/>
                <w:szCs w:val="24"/>
                <w:highlight w:val="none"/>
                <w:lang w:eastAsia="zh-TW"/>
              </w:rPr>
              <w:t>。</w:t>
            </w:r>
          </w:p>
          <w:p w14:paraId="630F886C">
            <w:pPr>
              <w:adjustRightInd w:val="0"/>
              <w:snapToGrid w:val="0"/>
              <w:spacing w:line="240" w:lineRule="auto"/>
              <w:ind w:firstLine="420"/>
              <w:jc w:val="center"/>
              <w:rPr>
                <w:rFonts w:hint="eastAsia" w:ascii="Times New Roman" w:hAnsi="Times New Roman" w:eastAsia="宋体" w:cs="Times New Roman"/>
                <w:b/>
                <w:bCs w:val="0"/>
                <w:color w:val="auto"/>
                <w:sz w:val="24"/>
                <w:szCs w:val="24"/>
                <w:highlight w:val="none"/>
              </w:rPr>
            </w:pPr>
            <w:r>
              <w:rPr>
                <w:rFonts w:hint="eastAsia" w:ascii="Times New Roman" w:hAnsi="Times New Roman" w:eastAsia="宋体" w:cs="Times New Roman"/>
                <w:b/>
                <w:bCs w:val="0"/>
                <w:color w:val="auto"/>
                <w:sz w:val="24"/>
                <w:szCs w:val="24"/>
                <w:highlight w:val="none"/>
              </w:rPr>
              <w:t>表2-</w:t>
            </w:r>
            <w:r>
              <w:rPr>
                <w:rFonts w:hint="eastAsia" w:cs="Times New Roman"/>
                <w:b/>
                <w:bCs w:val="0"/>
                <w:color w:val="auto"/>
                <w:sz w:val="24"/>
                <w:szCs w:val="24"/>
                <w:highlight w:val="none"/>
                <w:lang w:val="en-US" w:eastAsia="zh-CN"/>
              </w:rPr>
              <w:t>1</w:t>
            </w:r>
            <w:r>
              <w:rPr>
                <w:rFonts w:hint="eastAsia" w:ascii="Times New Roman" w:hAnsi="Times New Roman" w:eastAsia="宋体" w:cs="Times New Roman"/>
                <w:b/>
                <w:bCs w:val="0"/>
                <w:color w:val="auto"/>
                <w:sz w:val="24"/>
                <w:szCs w:val="24"/>
                <w:highlight w:val="none"/>
                <w:lang w:val="en-US" w:eastAsia="zh-CN"/>
              </w:rPr>
              <w:t xml:space="preserve">   </w:t>
            </w:r>
            <w:r>
              <w:rPr>
                <w:rFonts w:hint="eastAsia" w:ascii="Times New Roman" w:hAnsi="Times New Roman" w:eastAsia="宋体" w:cs="Times New Roman"/>
                <w:b/>
                <w:bCs w:val="0"/>
                <w:color w:val="auto"/>
                <w:sz w:val="24"/>
                <w:szCs w:val="24"/>
                <w:highlight w:val="none"/>
              </w:rPr>
              <w:t>项目组成一览表</w:t>
            </w:r>
          </w:p>
          <w:tbl>
            <w:tblPr>
              <w:tblStyle w:val="37"/>
              <w:tblW w:w="880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14"/>
              <w:gridCol w:w="675"/>
              <w:gridCol w:w="5496"/>
              <w:gridCol w:w="1091"/>
            </w:tblGrid>
            <w:tr w14:paraId="580A4F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68" w:type="pct"/>
                  <w:tcBorders>
                    <w:tl2br w:val="nil"/>
                    <w:tr2bl w:val="nil"/>
                  </w:tcBorders>
                  <w:noWrap w:val="0"/>
                  <w:vAlign w:val="center"/>
                </w:tcPr>
                <w:p w14:paraId="4013DFF0">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789" w:type="pct"/>
                  <w:gridSpan w:val="2"/>
                  <w:tcBorders>
                    <w:tl2br w:val="nil"/>
                    <w:tr2bl w:val="nil"/>
                  </w:tcBorders>
                  <w:noWrap w:val="0"/>
                  <w:vAlign w:val="center"/>
                </w:tcPr>
                <w:p w14:paraId="1868771A">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项目组成</w:t>
                  </w:r>
                </w:p>
              </w:tc>
              <w:tc>
                <w:tcPr>
                  <w:tcW w:w="3122" w:type="pct"/>
                  <w:tcBorders>
                    <w:tl2br w:val="nil"/>
                    <w:tr2bl w:val="nil"/>
                  </w:tcBorders>
                  <w:noWrap w:val="0"/>
                  <w:vAlign w:val="center"/>
                </w:tcPr>
                <w:p w14:paraId="23EC6236">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 w:val="21"/>
                      <w:szCs w:val="21"/>
                      <w:highlight w:val="none"/>
                      <w:lang w:val="en-US" w:eastAsia="zh-CN"/>
                    </w:rPr>
                  </w:pPr>
                  <w:r>
                    <w:rPr>
                      <w:rFonts w:hint="eastAsia" w:ascii="Times New Roman" w:hAnsi="Times New Roman" w:cs="Times New Roman"/>
                      <w:b/>
                      <w:color w:val="auto"/>
                      <w:sz w:val="21"/>
                      <w:szCs w:val="21"/>
                      <w:highlight w:val="none"/>
                      <w:lang w:val="en-US" w:eastAsia="zh-CN"/>
                    </w:rPr>
                    <w:t>项目</w:t>
                  </w:r>
                  <w:r>
                    <w:rPr>
                      <w:rFonts w:hint="default" w:ascii="Times New Roman" w:hAnsi="Times New Roman" w:cs="Times New Roman"/>
                      <w:b/>
                      <w:color w:val="auto"/>
                      <w:sz w:val="21"/>
                      <w:szCs w:val="21"/>
                      <w:highlight w:val="none"/>
                    </w:rPr>
                    <w:t>建设规模</w:t>
                  </w:r>
                </w:p>
              </w:tc>
              <w:tc>
                <w:tcPr>
                  <w:tcW w:w="619" w:type="pct"/>
                  <w:tcBorders>
                    <w:tl2br w:val="nil"/>
                    <w:tr2bl w:val="nil"/>
                  </w:tcBorders>
                  <w:noWrap w:val="0"/>
                  <w:vAlign w:val="center"/>
                </w:tcPr>
                <w:p w14:paraId="2B023964">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备注</w:t>
                  </w:r>
                </w:p>
              </w:tc>
            </w:tr>
            <w:tr w14:paraId="0C042D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397" w:hRule="atLeast"/>
                <w:jc w:val="center"/>
              </w:trPr>
              <w:tc>
                <w:tcPr>
                  <w:tcW w:w="468" w:type="pct"/>
                  <w:vMerge w:val="restart"/>
                  <w:tcBorders>
                    <w:tl2br w:val="nil"/>
                    <w:tr2bl w:val="nil"/>
                  </w:tcBorders>
                  <w:noWrap w:val="0"/>
                  <w:vAlign w:val="center"/>
                </w:tcPr>
                <w:p w14:paraId="1C055BE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405" w:type="pct"/>
                  <w:vMerge w:val="restart"/>
                  <w:tcBorders>
                    <w:tl2br w:val="nil"/>
                    <w:tr2bl w:val="nil"/>
                  </w:tcBorders>
                  <w:noWrap w:val="0"/>
                  <w:vAlign w:val="center"/>
                </w:tcPr>
                <w:p w14:paraId="3F05926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主体工程</w:t>
                  </w:r>
                </w:p>
              </w:tc>
              <w:tc>
                <w:tcPr>
                  <w:tcW w:w="383" w:type="pct"/>
                  <w:tcBorders>
                    <w:tl2br w:val="nil"/>
                    <w:tr2bl w:val="nil"/>
                  </w:tcBorders>
                  <w:noWrap w:val="0"/>
                  <w:vAlign w:val="center"/>
                </w:tcPr>
                <w:p w14:paraId="4F9999F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热源站</w:t>
                  </w:r>
                </w:p>
              </w:tc>
              <w:tc>
                <w:tcPr>
                  <w:tcW w:w="3122" w:type="pct"/>
                  <w:tcBorders>
                    <w:tl2br w:val="nil"/>
                    <w:tr2bl w:val="nil"/>
                  </w:tcBorders>
                  <w:noWrap w:val="0"/>
                  <w:vAlign w:val="center"/>
                </w:tcPr>
                <w:p w14:paraId="6EA8D3EE">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位于</w:t>
                  </w:r>
                  <w:r>
                    <w:rPr>
                      <w:rFonts w:hint="default" w:ascii="Times New Roman" w:hAnsi="Times New Roman" w:eastAsia="宋体" w:cs="Times New Roman"/>
                      <w:color w:val="auto"/>
                      <w:sz w:val="21"/>
                      <w:szCs w:val="21"/>
                      <w:highlight w:val="none"/>
                      <w:lang w:val="en-US" w:eastAsia="zh-CN"/>
                    </w:rPr>
                    <w:t>商业5号楼楼顶锅炉房占地67.2</w:t>
                  </w:r>
                  <w:r>
                    <w:rPr>
                      <w:rFonts w:hint="eastAsia" w:cs="Times New Roman"/>
                      <w:color w:val="auto"/>
                      <w:sz w:val="21"/>
                      <w:szCs w:val="21"/>
                      <w:highlight w:val="none"/>
                      <w:lang w:val="en-US" w:eastAsia="zh-CN"/>
                    </w:rPr>
                    <w:t>m</w:t>
                  </w:r>
                  <w:r>
                    <w:rPr>
                      <w:rFonts w:hint="eastAsia"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、单层、高4.5m，配德地氏冷凝锅炉2台、0.5立方米膨胀水箱1台</w:t>
                  </w:r>
                </w:p>
              </w:tc>
              <w:tc>
                <w:tcPr>
                  <w:tcW w:w="619" w:type="pct"/>
                  <w:tcBorders>
                    <w:tl2br w:val="nil"/>
                    <w:tr2bl w:val="nil"/>
                  </w:tcBorders>
                  <w:noWrap w:val="0"/>
                  <w:vAlign w:val="center"/>
                </w:tcPr>
                <w:p w14:paraId="4F9A93F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14:paraId="6266D9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68" w:type="pct"/>
                  <w:vMerge w:val="continue"/>
                  <w:tcBorders>
                    <w:tl2br w:val="nil"/>
                    <w:tr2bl w:val="nil"/>
                  </w:tcBorders>
                  <w:noWrap w:val="0"/>
                  <w:vAlign w:val="center"/>
                </w:tcPr>
                <w:p w14:paraId="420B111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405" w:type="pct"/>
                  <w:vMerge w:val="continue"/>
                  <w:tcBorders>
                    <w:tl2br w:val="nil"/>
                    <w:tr2bl w:val="nil"/>
                  </w:tcBorders>
                  <w:noWrap w:val="0"/>
                  <w:vAlign w:val="center"/>
                </w:tcPr>
                <w:p w14:paraId="35C01592">
                  <w:pPr>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p>
              </w:tc>
              <w:tc>
                <w:tcPr>
                  <w:tcW w:w="383" w:type="pct"/>
                  <w:tcBorders>
                    <w:tl2br w:val="nil"/>
                    <w:tr2bl w:val="nil"/>
                  </w:tcBorders>
                  <w:noWrap w:val="0"/>
                  <w:vAlign w:val="center"/>
                </w:tcPr>
                <w:p w14:paraId="1B7E1E4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换热站</w:t>
                  </w:r>
                </w:p>
              </w:tc>
              <w:tc>
                <w:tcPr>
                  <w:tcW w:w="3122" w:type="pct"/>
                  <w:tcBorders>
                    <w:tl2br w:val="nil"/>
                    <w:tr2bl w:val="nil"/>
                  </w:tcBorders>
                  <w:noWrap w:val="0"/>
                  <w:vAlign w:val="center"/>
                </w:tcPr>
                <w:p w14:paraId="2135681A">
                  <w:pPr>
                    <w:keepNext w:val="0"/>
                    <w:keepLines w:val="0"/>
                    <w:suppressLineNumbers w:val="0"/>
                    <w:spacing w:before="0" w:beforeAutospacing="0" w:after="0" w:afterAutospacing="0"/>
                    <w:ind w:left="0" w:right="0"/>
                    <w:jc w:val="both"/>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换热站依托</w:t>
                  </w:r>
                  <w:r>
                    <w:rPr>
                      <w:rFonts w:hint="eastAsia" w:cs="Times New Roman"/>
                      <w:color w:val="auto"/>
                      <w:sz w:val="21"/>
                      <w:szCs w:val="21"/>
                      <w:highlight w:val="none"/>
                      <w:lang w:val="en-US" w:eastAsia="zh-CN"/>
                    </w:rPr>
                    <w:t>小区</w:t>
                  </w:r>
                  <w:r>
                    <w:rPr>
                      <w:rFonts w:hint="eastAsia" w:ascii="Times New Roman" w:hAnsi="Times New Roman" w:eastAsia="宋体" w:cs="Times New Roman"/>
                      <w:color w:val="auto"/>
                      <w:sz w:val="21"/>
                      <w:szCs w:val="21"/>
                      <w:highlight w:val="none"/>
                      <w:lang w:val="en-US" w:eastAsia="zh-CN"/>
                    </w:rPr>
                    <w:t>原有站房建设，面积94.13</w:t>
                  </w:r>
                  <w:r>
                    <w:rPr>
                      <w:rFonts w:hint="eastAsia" w:cs="Times New Roman"/>
                      <w:color w:val="auto"/>
                      <w:sz w:val="21"/>
                      <w:szCs w:val="21"/>
                      <w:highlight w:val="none"/>
                      <w:lang w:val="en-US" w:eastAsia="zh-CN"/>
                    </w:rPr>
                    <w:t>m</w:t>
                  </w:r>
                  <w:r>
                    <w:rPr>
                      <w:rFonts w:hint="eastAsia" w:cs="Times New Roman"/>
                      <w:color w:val="auto"/>
                      <w:sz w:val="21"/>
                      <w:szCs w:val="21"/>
                      <w:highlight w:val="none"/>
                      <w:vertAlign w:val="superscript"/>
                      <w:lang w:val="en-US" w:eastAsia="zh-CN"/>
                    </w:rPr>
                    <w:t>2</w:t>
                  </w:r>
                  <w:r>
                    <w:rPr>
                      <w:rFonts w:hint="eastAsia" w:ascii="Times New Roman" w:hAnsi="Times New Roman" w:eastAsia="宋体" w:cs="Times New Roman"/>
                      <w:color w:val="auto"/>
                      <w:sz w:val="21"/>
                      <w:szCs w:val="21"/>
                      <w:highlight w:val="none"/>
                      <w:lang w:val="en-US" w:eastAsia="zh-CN"/>
                    </w:rPr>
                    <w:t>，设板式换热机组1组、软水器1台、软化水箱1台、补水泵2台、一二次循环泵各2台，一二次管网配套树脂软水装置。</w:t>
                  </w:r>
                </w:p>
              </w:tc>
              <w:tc>
                <w:tcPr>
                  <w:tcW w:w="619" w:type="pct"/>
                  <w:tcBorders>
                    <w:tl2br w:val="nil"/>
                    <w:tr2bl w:val="nil"/>
                  </w:tcBorders>
                  <w:noWrap w:val="0"/>
                  <w:vAlign w:val="center"/>
                </w:tcPr>
                <w:p w14:paraId="3D872CA5">
                  <w:pPr>
                    <w:keepNext w:val="0"/>
                    <w:keepLines w:val="0"/>
                    <w:suppressLineNumbers w:val="0"/>
                    <w:spacing w:before="0" w:beforeAutospacing="0" w:after="0" w:afterAutospacing="0"/>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增加设备</w:t>
                  </w:r>
                </w:p>
              </w:tc>
            </w:tr>
            <w:tr w14:paraId="74CC29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397" w:hRule="atLeast"/>
                <w:jc w:val="center"/>
              </w:trPr>
              <w:tc>
                <w:tcPr>
                  <w:tcW w:w="468" w:type="pct"/>
                  <w:tcBorders>
                    <w:tl2br w:val="nil"/>
                    <w:tr2bl w:val="nil"/>
                  </w:tcBorders>
                  <w:noWrap w:val="0"/>
                  <w:vAlign w:val="center"/>
                </w:tcPr>
                <w:p w14:paraId="4B60916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405" w:type="pct"/>
                  <w:tcBorders>
                    <w:tl2br w:val="nil"/>
                    <w:tr2bl w:val="nil"/>
                  </w:tcBorders>
                  <w:noWrap w:val="0"/>
                  <w:vAlign w:val="center"/>
                </w:tcPr>
                <w:p w14:paraId="0AC9A64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辅助</w:t>
                  </w:r>
                </w:p>
                <w:p w14:paraId="3FA704D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工程</w:t>
                  </w:r>
                </w:p>
              </w:tc>
              <w:tc>
                <w:tcPr>
                  <w:tcW w:w="383" w:type="pct"/>
                  <w:tcBorders>
                    <w:tl2br w:val="nil"/>
                    <w:tr2bl w:val="nil"/>
                  </w:tcBorders>
                  <w:noWrap w:val="0"/>
                  <w:vAlign w:val="center"/>
                </w:tcPr>
                <w:p w14:paraId="4C95E51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软水系统</w:t>
                  </w:r>
                </w:p>
              </w:tc>
              <w:tc>
                <w:tcPr>
                  <w:tcW w:w="3122" w:type="pct"/>
                  <w:tcBorders>
                    <w:tl2br w:val="nil"/>
                    <w:tr2bl w:val="nil"/>
                  </w:tcBorders>
                  <w:noWrap w:val="0"/>
                  <w:vAlign w:val="center"/>
                </w:tcPr>
                <w:p w14:paraId="621AAE9B">
                  <w:pPr>
                    <w:keepNext w:val="0"/>
                    <w:keepLines w:val="0"/>
                    <w:suppressLineNumbers w:val="0"/>
                    <w:spacing w:before="0" w:beforeAutospacing="0" w:after="0" w:afterAutospacing="0"/>
                    <w:ind w:left="0" w:right="0"/>
                    <w:jc w:val="both"/>
                    <w:rPr>
                      <w:rFonts w:hint="default"/>
                      <w:color w:val="auto"/>
                      <w:kern w:val="2"/>
                      <w:sz w:val="21"/>
                      <w:szCs w:val="21"/>
                      <w:highlight w:val="none"/>
                      <w:lang w:val="en-US" w:eastAsia="zh-CN"/>
                    </w:rPr>
                  </w:pPr>
                  <w:r>
                    <w:rPr>
                      <w:rFonts w:hint="eastAsia"/>
                      <w:color w:val="auto"/>
                      <w:kern w:val="2"/>
                      <w:sz w:val="21"/>
                      <w:szCs w:val="21"/>
                      <w:highlight w:val="none"/>
                      <w:lang w:val="en-US" w:eastAsia="zh-CN"/>
                    </w:rPr>
                    <w:t>项目供热站采用钠离子交换树脂</w:t>
                  </w:r>
                  <w:r>
                    <w:rPr>
                      <w:color w:val="auto"/>
                      <w:kern w:val="2"/>
                      <w:sz w:val="21"/>
                      <w:szCs w:val="21"/>
                      <w:highlight w:val="none"/>
                      <w:lang w:val="en-US" w:eastAsia="zh-CN"/>
                    </w:rPr>
                    <w:t>软化水系统</w:t>
                  </w:r>
                  <w:r>
                    <w:rPr>
                      <w:rFonts w:hint="eastAsia"/>
                      <w:color w:val="auto"/>
                      <w:kern w:val="2"/>
                      <w:sz w:val="21"/>
                      <w:szCs w:val="21"/>
                      <w:highlight w:val="none"/>
                      <w:lang w:val="en-US" w:eastAsia="zh-CN"/>
                    </w:rPr>
                    <w:t>，制备软水</w:t>
                  </w:r>
                </w:p>
              </w:tc>
              <w:tc>
                <w:tcPr>
                  <w:tcW w:w="619" w:type="pct"/>
                  <w:tcBorders>
                    <w:tl2br w:val="nil"/>
                    <w:tr2bl w:val="nil"/>
                  </w:tcBorders>
                  <w:noWrap w:val="0"/>
                  <w:vAlign w:val="center"/>
                </w:tcPr>
                <w:p w14:paraId="738BF42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新建</w:t>
                  </w:r>
                </w:p>
              </w:tc>
            </w:tr>
            <w:tr w14:paraId="195CF2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68" w:type="pct"/>
                  <w:vMerge w:val="restart"/>
                  <w:tcBorders>
                    <w:tl2br w:val="nil"/>
                    <w:tr2bl w:val="nil"/>
                  </w:tcBorders>
                  <w:noWrap w:val="0"/>
                  <w:vAlign w:val="center"/>
                </w:tcPr>
                <w:p w14:paraId="6242D69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w:t>
                  </w:r>
                </w:p>
              </w:tc>
              <w:tc>
                <w:tcPr>
                  <w:tcW w:w="405" w:type="pct"/>
                  <w:vMerge w:val="restart"/>
                  <w:tcBorders>
                    <w:tl2br w:val="nil"/>
                    <w:tr2bl w:val="nil"/>
                  </w:tcBorders>
                  <w:noWrap w:val="0"/>
                  <w:vAlign w:val="center"/>
                </w:tcPr>
                <w:p w14:paraId="77A51B2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公用</w:t>
                  </w:r>
                </w:p>
                <w:p w14:paraId="6573FC0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r>
                    <w:rPr>
                      <w:rFonts w:hint="default" w:ascii="Times New Roman" w:hAnsi="Times New Roman" w:cs="Times New Roman"/>
                      <w:color w:val="auto"/>
                      <w:sz w:val="21"/>
                      <w:szCs w:val="21"/>
                      <w:highlight w:val="none"/>
                    </w:rPr>
                    <w:t>工程</w:t>
                  </w:r>
                </w:p>
              </w:tc>
              <w:tc>
                <w:tcPr>
                  <w:tcW w:w="383" w:type="pct"/>
                  <w:tcBorders>
                    <w:tl2br w:val="nil"/>
                    <w:tr2bl w:val="nil"/>
                  </w:tcBorders>
                  <w:noWrap w:val="0"/>
                  <w:vAlign w:val="center"/>
                </w:tcPr>
                <w:p w14:paraId="2A76F37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给排水</w:t>
                  </w:r>
                </w:p>
              </w:tc>
              <w:tc>
                <w:tcPr>
                  <w:tcW w:w="3122" w:type="pct"/>
                  <w:tcBorders>
                    <w:tl2br w:val="nil"/>
                    <w:tr2bl w:val="nil"/>
                  </w:tcBorders>
                  <w:noWrap w:val="0"/>
                  <w:vAlign w:val="center"/>
                </w:tcPr>
                <w:p w14:paraId="38785649">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供水：给水由</w:t>
                  </w:r>
                  <w:r>
                    <w:rPr>
                      <w:rFonts w:hint="eastAsia" w:ascii="Times New Roman" w:hAnsi="Times New Roman" w:cs="Times New Roman"/>
                      <w:color w:val="auto"/>
                      <w:sz w:val="21"/>
                      <w:szCs w:val="21"/>
                      <w:highlight w:val="none"/>
                      <w:lang w:val="en-US" w:eastAsia="zh-CN"/>
                    </w:rPr>
                    <w:t>市政</w:t>
                  </w:r>
                  <w:r>
                    <w:rPr>
                      <w:rFonts w:hint="default" w:ascii="Times New Roman" w:hAnsi="Times New Roman" w:cs="Times New Roman"/>
                      <w:color w:val="auto"/>
                      <w:sz w:val="21"/>
                      <w:szCs w:val="21"/>
                      <w:highlight w:val="none"/>
                    </w:rPr>
                    <w:t>给水管道直接供应</w:t>
                  </w:r>
                  <w:r>
                    <w:rPr>
                      <w:rFonts w:hint="default" w:ascii="Times New Roman" w:hAnsi="Times New Roman" w:cs="Times New Roman"/>
                      <w:color w:val="auto"/>
                      <w:sz w:val="21"/>
                      <w:szCs w:val="21"/>
                      <w:highlight w:val="none"/>
                      <w:lang w:eastAsia="zh-CN"/>
                    </w:rPr>
                    <w:t>；</w:t>
                  </w:r>
                </w:p>
                <w:p w14:paraId="05ED2DB1">
                  <w:pPr>
                    <w:keepNext w:val="0"/>
                    <w:keepLines w:val="0"/>
                    <w:suppressLineNumbers w:val="0"/>
                    <w:spacing w:before="0" w:beforeAutospacing="0" w:after="0" w:afterAutospacing="0"/>
                    <w:ind w:left="0" w:right="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排水：</w:t>
                  </w:r>
                  <w:r>
                    <w:rPr>
                      <w:rFonts w:hint="eastAsia"/>
                      <w:color w:val="auto"/>
                      <w:szCs w:val="21"/>
                      <w:highlight w:val="none"/>
                      <w:lang w:val="en-US" w:eastAsia="zh-CN"/>
                    </w:rPr>
                    <w:t>锅炉排污水及</w:t>
                  </w:r>
                  <w:r>
                    <w:rPr>
                      <w:color w:val="auto"/>
                      <w:szCs w:val="21"/>
                      <w:highlight w:val="none"/>
                    </w:rPr>
                    <w:t>软化水系统</w:t>
                  </w:r>
                  <w:r>
                    <w:rPr>
                      <w:rFonts w:hint="eastAsia"/>
                      <w:color w:val="auto"/>
                      <w:szCs w:val="21"/>
                      <w:highlight w:val="none"/>
                      <w:lang w:val="en-US" w:eastAsia="zh-CN"/>
                    </w:rPr>
                    <w:t>排水经冷却水槽冷却后进入小区化粪池，经化粪池处理后进入</w:t>
                  </w:r>
                  <w:r>
                    <w:rPr>
                      <w:color w:val="auto"/>
                      <w:szCs w:val="21"/>
                      <w:highlight w:val="none"/>
                    </w:rPr>
                    <w:t>市政</w:t>
                  </w:r>
                  <w:r>
                    <w:rPr>
                      <w:rFonts w:hint="eastAsia"/>
                      <w:color w:val="auto"/>
                      <w:szCs w:val="21"/>
                      <w:highlight w:val="none"/>
                      <w:lang w:val="en-US" w:eastAsia="zh-CN"/>
                    </w:rPr>
                    <w:t>污水</w:t>
                  </w:r>
                  <w:r>
                    <w:rPr>
                      <w:color w:val="auto"/>
                      <w:szCs w:val="21"/>
                      <w:highlight w:val="none"/>
                    </w:rPr>
                    <w:t>管网</w:t>
                  </w:r>
                  <w:r>
                    <w:rPr>
                      <w:rFonts w:hint="eastAsia"/>
                      <w:color w:val="auto"/>
                      <w:szCs w:val="21"/>
                      <w:highlight w:val="none"/>
                      <w:lang w:eastAsia="zh-CN"/>
                    </w:rPr>
                    <w:t>；</w:t>
                  </w:r>
                </w:p>
              </w:tc>
              <w:tc>
                <w:tcPr>
                  <w:tcW w:w="619" w:type="pct"/>
                  <w:tcBorders>
                    <w:tl2br w:val="nil"/>
                    <w:tr2bl w:val="nil"/>
                  </w:tcBorders>
                  <w:noWrap w:val="0"/>
                  <w:vAlign w:val="center"/>
                </w:tcPr>
                <w:p w14:paraId="645F5DE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新建</w:t>
                  </w:r>
                </w:p>
              </w:tc>
            </w:tr>
            <w:tr w14:paraId="46CEAD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397" w:hRule="atLeast"/>
                <w:jc w:val="center"/>
              </w:trPr>
              <w:tc>
                <w:tcPr>
                  <w:tcW w:w="468" w:type="pct"/>
                  <w:vMerge w:val="continue"/>
                  <w:tcBorders>
                    <w:tl2br w:val="nil"/>
                    <w:tr2bl w:val="nil"/>
                  </w:tcBorders>
                  <w:noWrap w:val="0"/>
                  <w:vAlign w:val="center"/>
                </w:tcPr>
                <w:p w14:paraId="1FD8C38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405" w:type="pct"/>
                  <w:vMerge w:val="continue"/>
                  <w:tcBorders>
                    <w:tl2br w:val="nil"/>
                    <w:tr2bl w:val="nil"/>
                  </w:tcBorders>
                  <w:noWrap w:val="0"/>
                  <w:vAlign w:val="center"/>
                </w:tcPr>
                <w:p w14:paraId="14C2C62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c>
                <w:tcPr>
                  <w:tcW w:w="383" w:type="pct"/>
                  <w:tcBorders>
                    <w:tl2br w:val="nil"/>
                    <w:tr2bl w:val="nil"/>
                  </w:tcBorders>
                  <w:noWrap w:val="0"/>
                  <w:vAlign w:val="center"/>
                </w:tcPr>
                <w:p w14:paraId="05EE637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供电</w:t>
                  </w:r>
                </w:p>
              </w:tc>
              <w:tc>
                <w:tcPr>
                  <w:tcW w:w="3122" w:type="pct"/>
                  <w:tcBorders>
                    <w:tl2br w:val="nil"/>
                    <w:tr2bl w:val="nil"/>
                  </w:tcBorders>
                  <w:noWrap w:val="0"/>
                  <w:vAlign w:val="center"/>
                </w:tcPr>
                <w:p w14:paraId="69A84032">
                  <w:pPr>
                    <w:keepNext w:val="0"/>
                    <w:keepLines w:val="0"/>
                    <w:suppressLineNumbers w:val="0"/>
                    <w:spacing w:before="0" w:beforeAutospacing="0" w:after="0" w:afterAutospacing="0" w:line="260" w:lineRule="exact"/>
                    <w:ind w:left="0" w:right="0"/>
                    <w:jc w:val="both"/>
                    <w:rPr>
                      <w:rFonts w:hint="eastAsia"/>
                      <w:color w:val="auto"/>
                      <w:szCs w:val="21"/>
                      <w:highlight w:val="none"/>
                      <w:lang w:val="en-US" w:eastAsia="zh-CN"/>
                    </w:rPr>
                  </w:pPr>
                  <w:r>
                    <w:rPr>
                      <w:rFonts w:hint="eastAsia"/>
                      <w:color w:val="auto"/>
                      <w:szCs w:val="21"/>
                      <w:highlight w:val="none"/>
                      <w:lang w:val="en-US" w:eastAsia="zh-CN"/>
                    </w:rPr>
                    <w:t>依托市政</w:t>
                  </w:r>
                  <w:r>
                    <w:rPr>
                      <w:color w:val="auto"/>
                      <w:szCs w:val="21"/>
                      <w:highlight w:val="none"/>
                    </w:rPr>
                    <w:t>供电系统，</w:t>
                  </w:r>
                  <w:r>
                    <w:rPr>
                      <w:rFonts w:hint="eastAsia"/>
                      <w:color w:val="auto"/>
                      <w:szCs w:val="21"/>
                      <w:highlight w:val="none"/>
                      <w:lang w:val="en-US" w:eastAsia="zh-CN"/>
                    </w:rPr>
                    <w:t>锅炉房内均</w:t>
                  </w:r>
                  <w:r>
                    <w:rPr>
                      <w:color w:val="auto"/>
                      <w:szCs w:val="21"/>
                      <w:highlight w:val="none"/>
                    </w:rPr>
                    <w:t>设置配电室</w:t>
                  </w:r>
                </w:p>
              </w:tc>
              <w:tc>
                <w:tcPr>
                  <w:tcW w:w="619" w:type="pct"/>
                  <w:tcBorders>
                    <w:tl2br w:val="nil"/>
                    <w:tr2bl w:val="nil"/>
                  </w:tcBorders>
                  <w:noWrap w:val="0"/>
                  <w:vAlign w:val="center"/>
                </w:tcPr>
                <w:p w14:paraId="502B5F0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新建</w:t>
                  </w:r>
                </w:p>
              </w:tc>
            </w:tr>
            <w:tr w14:paraId="4EEBD5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68" w:type="pct"/>
                  <w:vMerge w:val="continue"/>
                  <w:tcBorders>
                    <w:tl2br w:val="nil"/>
                    <w:tr2bl w:val="nil"/>
                  </w:tcBorders>
                  <w:noWrap w:val="0"/>
                  <w:vAlign w:val="center"/>
                </w:tcPr>
                <w:p w14:paraId="185ADA8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405" w:type="pct"/>
                  <w:vMerge w:val="continue"/>
                  <w:tcBorders>
                    <w:tl2br w:val="nil"/>
                    <w:tr2bl w:val="nil"/>
                  </w:tcBorders>
                  <w:noWrap w:val="0"/>
                  <w:vAlign w:val="center"/>
                </w:tcPr>
                <w:p w14:paraId="085F181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c>
                <w:tcPr>
                  <w:tcW w:w="383" w:type="pct"/>
                  <w:tcBorders>
                    <w:tl2br w:val="nil"/>
                    <w:tr2bl w:val="nil"/>
                  </w:tcBorders>
                  <w:noWrap w:val="0"/>
                  <w:vAlign w:val="center"/>
                </w:tcPr>
                <w:p w14:paraId="5447133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供气</w:t>
                  </w:r>
                </w:p>
              </w:tc>
              <w:tc>
                <w:tcPr>
                  <w:tcW w:w="3122" w:type="pct"/>
                  <w:tcBorders>
                    <w:tl2br w:val="nil"/>
                    <w:tr2bl w:val="nil"/>
                  </w:tcBorders>
                  <w:noWrap w:val="0"/>
                  <w:vAlign w:val="center"/>
                </w:tcPr>
                <w:p w14:paraId="7C6CCDB1">
                  <w:pPr>
                    <w:keepNext w:val="0"/>
                    <w:keepLines w:val="0"/>
                    <w:suppressLineNumbers w:val="0"/>
                    <w:spacing w:before="0" w:beforeAutospacing="0" w:after="0" w:afterAutospacing="0" w:line="260" w:lineRule="exact"/>
                    <w:ind w:left="0" w:right="0"/>
                    <w:jc w:val="both"/>
                    <w:rPr>
                      <w:color w:val="auto"/>
                      <w:szCs w:val="21"/>
                      <w:highlight w:val="none"/>
                    </w:rPr>
                  </w:pPr>
                  <w:r>
                    <w:rPr>
                      <w:rFonts w:hint="eastAsia"/>
                      <w:color w:val="auto"/>
                      <w:szCs w:val="21"/>
                      <w:highlight w:val="none"/>
                      <w:lang w:val="en-US" w:eastAsia="zh-CN"/>
                    </w:rPr>
                    <w:t>供热小区</w:t>
                  </w:r>
                  <w:r>
                    <w:rPr>
                      <w:color w:val="auto"/>
                      <w:szCs w:val="21"/>
                      <w:highlight w:val="none"/>
                    </w:rPr>
                    <w:t>已铺设天然气管网，锅炉燃气由市政天然气管网引入</w:t>
                  </w:r>
                </w:p>
              </w:tc>
              <w:tc>
                <w:tcPr>
                  <w:tcW w:w="619" w:type="pct"/>
                  <w:tcBorders>
                    <w:tl2br w:val="nil"/>
                    <w:tr2bl w:val="nil"/>
                  </w:tcBorders>
                  <w:noWrap w:val="0"/>
                  <w:vAlign w:val="center"/>
                </w:tcPr>
                <w:p w14:paraId="7FC7BE5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新建</w:t>
                  </w:r>
                </w:p>
              </w:tc>
            </w:tr>
            <w:tr w14:paraId="6987DE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397" w:hRule="atLeast"/>
                <w:jc w:val="center"/>
              </w:trPr>
              <w:tc>
                <w:tcPr>
                  <w:tcW w:w="468" w:type="pct"/>
                  <w:vMerge w:val="restart"/>
                  <w:tcBorders>
                    <w:tl2br w:val="nil"/>
                    <w:tr2bl w:val="nil"/>
                  </w:tcBorders>
                  <w:noWrap w:val="0"/>
                  <w:vAlign w:val="center"/>
                </w:tcPr>
                <w:p w14:paraId="6224B42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c>
                <w:tcPr>
                  <w:tcW w:w="405" w:type="pct"/>
                  <w:vMerge w:val="restart"/>
                  <w:tcBorders>
                    <w:tl2br w:val="nil"/>
                    <w:tr2bl w:val="nil"/>
                  </w:tcBorders>
                  <w:noWrap w:val="0"/>
                  <w:vAlign w:val="center"/>
                </w:tcPr>
                <w:p w14:paraId="683CF48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环保工程</w:t>
                  </w:r>
                </w:p>
              </w:tc>
              <w:tc>
                <w:tcPr>
                  <w:tcW w:w="383" w:type="pct"/>
                  <w:tcBorders>
                    <w:tl2br w:val="nil"/>
                    <w:tr2bl w:val="nil"/>
                  </w:tcBorders>
                  <w:noWrap w:val="0"/>
                  <w:vAlign w:val="center"/>
                </w:tcPr>
                <w:p w14:paraId="6AE0D25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废水</w:t>
                  </w:r>
                </w:p>
              </w:tc>
              <w:tc>
                <w:tcPr>
                  <w:tcW w:w="3122" w:type="pct"/>
                  <w:tcBorders>
                    <w:tl2br w:val="nil"/>
                    <w:tr2bl w:val="nil"/>
                  </w:tcBorders>
                  <w:noWrap w:val="0"/>
                  <w:vAlign w:val="center"/>
                </w:tcPr>
                <w:p w14:paraId="50FAEC2B">
                  <w:pPr>
                    <w:keepNext w:val="0"/>
                    <w:keepLines w:val="0"/>
                    <w:suppressLineNumbers w:val="0"/>
                    <w:spacing w:before="0" w:beforeAutospacing="0" w:after="0" w:afterAutospacing="0"/>
                    <w:ind w:left="0" w:leftChars="0" w:right="0" w:rightChars="0"/>
                    <w:jc w:val="both"/>
                    <w:rPr>
                      <w:rFonts w:hint="eastAsia"/>
                      <w:color w:val="auto"/>
                      <w:kern w:val="2"/>
                      <w:sz w:val="21"/>
                      <w:szCs w:val="21"/>
                      <w:highlight w:val="none"/>
                      <w:lang w:val="en-US" w:eastAsia="zh-CN" w:bidi="ar-SA"/>
                    </w:rPr>
                  </w:pPr>
                  <w:r>
                    <w:rPr>
                      <w:rFonts w:hint="eastAsia"/>
                      <w:color w:val="auto"/>
                      <w:szCs w:val="21"/>
                      <w:highlight w:val="none"/>
                      <w:lang w:val="en-US" w:eastAsia="zh-CN"/>
                    </w:rPr>
                    <w:t>锅炉排污水及</w:t>
                  </w:r>
                  <w:r>
                    <w:rPr>
                      <w:color w:val="auto"/>
                      <w:szCs w:val="21"/>
                      <w:highlight w:val="none"/>
                    </w:rPr>
                    <w:t>软化水系统</w:t>
                  </w:r>
                  <w:r>
                    <w:rPr>
                      <w:rFonts w:hint="eastAsia"/>
                      <w:color w:val="auto"/>
                      <w:szCs w:val="21"/>
                      <w:highlight w:val="none"/>
                      <w:lang w:val="en-US" w:eastAsia="zh-CN"/>
                    </w:rPr>
                    <w:t>排水经冷却水槽冷却后排入小区化粪池，经化粪池处理后排入</w:t>
                  </w:r>
                  <w:r>
                    <w:rPr>
                      <w:color w:val="auto"/>
                      <w:szCs w:val="21"/>
                      <w:highlight w:val="none"/>
                    </w:rPr>
                    <w:t>市政</w:t>
                  </w:r>
                  <w:r>
                    <w:rPr>
                      <w:rFonts w:hint="eastAsia"/>
                      <w:color w:val="auto"/>
                      <w:szCs w:val="21"/>
                      <w:highlight w:val="none"/>
                      <w:lang w:val="en-US" w:eastAsia="zh-CN"/>
                    </w:rPr>
                    <w:t>污水</w:t>
                  </w:r>
                  <w:r>
                    <w:rPr>
                      <w:color w:val="auto"/>
                      <w:szCs w:val="21"/>
                      <w:highlight w:val="none"/>
                    </w:rPr>
                    <w:t>管网</w:t>
                  </w:r>
                </w:p>
              </w:tc>
              <w:tc>
                <w:tcPr>
                  <w:tcW w:w="619" w:type="pct"/>
                  <w:tcBorders>
                    <w:tl2br w:val="nil"/>
                    <w:tr2bl w:val="nil"/>
                  </w:tcBorders>
                  <w:noWrap w:val="0"/>
                  <w:vAlign w:val="center"/>
                </w:tcPr>
                <w:p w14:paraId="1FF28A8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新建</w:t>
                  </w:r>
                </w:p>
              </w:tc>
            </w:tr>
            <w:tr w14:paraId="24C26D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68" w:type="pct"/>
                  <w:vMerge w:val="continue"/>
                  <w:tcBorders>
                    <w:tl2br w:val="nil"/>
                    <w:tr2bl w:val="nil"/>
                  </w:tcBorders>
                  <w:noWrap w:val="0"/>
                  <w:vAlign w:val="center"/>
                </w:tcPr>
                <w:p w14:paraId="398CDB8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c>
                <w:tcPr>
                  <w:tcW w:w="405" w:type="pct"/>
                  <w:vMerge w:val="continue"/>
                  <w:tcBorders>
                    <w:tl2br w:val="nil"/>
                    <w:tr2bl w:val="nil"/>
                  </w:tcBorders>
                  <w:noWrap w:val="0"/>
                  <w:vAlign w:val="center"/>
                </w:tcPr>
                <w:p w14:paraId="5EF1411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383" w:type="pct"/>
                  <w:tcBorders>
                    <w:tl2br w:val="nil"/>
                    <w:tr2bl w:val="nil"/>
                  </w:tcBorders>
                  <w:noWrap w:val="0"/>
                  <w:vAlign w:val="center"/>
                </w:tcPr>
                <w:p w14:paraId="258026E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废气</w:t>
                  </w:r>
                </w:p>
              </w:tc>
              <w:tc>
                <w:tcPr>
                  <w:tcW w:w="3122" w:type="pct"/>
                  <w:tcBorders>
                    <w:tl2br w:val="nil"/>
                    <w:tr2bl w:val="nil"/>
                  </w:tcBorders>
                  <w:noWrap w:val="0"/>
                  <w:vAlign w:val="center"/>
                </w:tcPr>
                <w:p w14:paraId="58268A18">
                  <w:pPr>
                    <w:keepNext w:val="0"/>
                    <w:keepLines w:val="0"/>
                    <w:numPr>
                      <w:ilvl w:val="0"/>
                      <w:numId w:val="0"/>
                    </w:numPr>
                    <w:suppressLineNumbers w:val="0"/>
                    <w:autoSpaceDE w:val="0"/>
                    <w:autoSpaceDN w:val="0"/>
                    <w:adjustRightInd w:val="0"/>
                    <w:spacing w:before="0" w:beforeAutospacing="0" w:after="0" w:afterAutospacing="0"/>
                    <w:ind w:left="0" w:leftChars="0" w:right="0" w:rightChars="0" w:firstLine="0" w:firstLineChars="0"/>
                    <w:jc w:val="both"/>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锅炉</w:t>
                  </w:r>
                  <w:r>
                    <w:rPr>
                      <w:rFonts w:hint="eastAsia" w:ascii="Times New Roman" w:hAnsi="Times New Roman" w:eastAsia="宋体" w:cs="Times New Roman"/>
                      <w:color w:val="auto"/>
                      <w:sz w:val="21"/>
                      <w:szCs w:val="21"/>
                      <w:highlight w:val="none"/>
                      <w:lang w:val="en-US" w:eastAsia="zh-CN"/>
                    </w:rPr>
                    <w:t>配套安装</w:t>
                  </w:r>
                  <w:r>
                    <w:rPr>
                      <w:rFonts w:hint="eastAsia" w:cs="Times New Roman"/>
                      <w:color w:val="auto"/>
                      <w:sz w:val="21"/>
                      <w:szCs w:val="21"/>
                      <w:highlight w:val="none"/>
                      <w:lang w:val="en-US" w:eastAsia="zh-CN"/>
                    </w:rPr>
                    <w:t>低氮燃烧系统</w:t>
                  </w:r>
                  <w:r>
                    <w:rPr>
                      <w:rFonts w:hint="eastAsia" w:ascii="Times New Roman" w:hAnsi="Times New Roman" w:eastAsia="宋体" w:cs="Times New Roman"/>
                      <w:color w:val="auto"/>
                      <w:sz w:val="21"/>
                      <w:szCs w:val="21"/>
                      <w:highlight w:val="none"/>
                      <w:lang w:val="en-US" w:eastAsia="zh-CN"/>
                    </w:rPr>
                    <w:t>并配套</w:t>
                  </w:r>
                  <w:r>
                    <w:rPr>
                      <w:rFonts w:hint="eastAsia" w:cs="Times New Roman"/>
                      <w:color w:val="auto"/>
                      <w:sz w:val="21"/>
                      <w:szCs w:val="21"/>
                      <w:highlight w:val="none"/>
                      <w:lang w:val="en-US" w:eastAsia="zh-CN"/>
                    </w:rPr>
                    <w:t>设置18m高</w:t>
                  </w:r>
                  <w:r>
                    <w:rPr>
                      <w:rFonts w:hint="eastAsia" w:ascii="Times New Roman" w:hAnsi="Times New Roman" w:eastAsia="宋体" w:cs="Times New Roman"/>
                      <w:color w:val="auto"/>
                      <w:sz w:val="21"/>
                      <w:szCs w:val="21"/>
                      <w:highlight w:val="none"/>
                      <w:lang w:val="en-US" w:eastAsia="zh-CN"/>
                    </w:rPr>
                    <w:t>排气筒</w:t>
                  </w:r>
                </w:p>
              </w:tc>
              <w:tc>
                <w:tcPr>
                  <w:tcW w:w="619" w:type="pct"/>
                  <w:tcBorders>
                    <w:tl2br w:val="nil"/>
                    <w:tr2bl w:val="nil"/>
                  </w:tcBorders>
                  <w:noWrap w:val="0"/>
                  <w:vAlign w:val="center"/>
                </w:tcPr>
                <w:p w14:paraId="5C493D71">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新建</w:t>
                  </w:r>
                </w:p>
              </w:tc>
            </w:tr>
            <w:tr w14:paraId="3115D5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397" w:hRule="atLeast"/>
                <w:jc w:val="center"/>
              </w:trPr>
              <w:tc>
                <w:tcPr>
                  <w:tcW w:w="468" w:type="pct"/>
                  <w:vMerge w:val="continue"/>
                  <w:tcBorders>
                    <w:tl2br w:val="nil"/>
                    <w:tr2bl w:val="nil"/>
                  </w:tcBorders>
                  <w:noWrap w:val="0"/>
                  <w:vAlign w:val="center"/>
                </w:tcPr>
                <w:p w14:paraId="1CBC1A7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c>
                <w:tcPr>
                  <w:tcW w:w="405" w:type="pct"/>
                  <w:vMerge w:val="continue"/>
                  <w:tcBorders>
                    <w:tl2br w:val="nil"/>
                    <w:tr2bl w:val="nil"/>
                  </w:tcBorders>
                  <w:noWrap w:val="0"/>
                  <w:vAlign w:val="center"/>
                </w:tcPr>
                <w:p w14:paraId="18296DF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383" w:type="pct"/>
                  <w:tcBorders>
                    <w:tl2br w:val="nil"/>
                    <w:tr2bl w:val="nil"/>
                  </w:tcBorders>
                  <w:noWrap w:val="0"/>
                  <w:vAlign w:val="center"/>
                </w:tcPr>
                <w:p w14:paraId="35A78FD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噪声</w:t>
                  </w:r>
                </w:p>
              </w:tc>
              <w:tc>
                <w:tcPr>
                  <w:tcW w:w="3122" w:type="pct"/>
                  <w:tcBorders>
                    <w:tl2br w:val="nil"/>
                    <w:tr2bl w:val="nil"/>
                  </w:tcBorders>
                  <w:noWrap w:val="0"/>
                  <w:vAlign w:val="center"/>
                </w:tcPr>
                <w:p w14:paraId="12C137F9">
                  <w:pPr>
                    <w:keepNext w:val="0"/>
                    <w:keepLines w:val="0"/>
                    <w:suppressLineNumbers w:val="0"/>
                    <w:autoSpaceDE w:val="0"/>
                    <w:autoSpaceDN w:val="0"/>
                    <w:adjustRightInd w:val="0"/>
                    <w:spacing w:before="0" w:beforeAutospacing="0" w:after="0" w:afterAutospacing="0"/>
                    <w:ind w:left="0" w:leftChars="0" w:right="0" w:rightChars="0"/>
                    <w:jc w:val="both"/>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rPr>
                    <w:t>基础减振、</w:t>
                  </w:r>
                  <w:r>
                    <w:rPr>
                      <w:rFonts w:hint="eastAsia" w:ascii="Times New Roman" w:hAnsi="Times New Roman" w:cs="Times New Roman"/>
                      <w:color w:val="auto"/>
                      <w:kern w:val="0"/>
                      <w:sz w:val="21"/>
                      <w:szCs w:val="21"/>
                      <w:highlight w:val="none"/>
                      <w:lang w:val="en-US" w:eastAsia="zh-CN"/>
                    </w:rPr>
                    <w:t>锅炉房隔声处理等</w:t>
                  </w:r>
                </w:p>
              </w:tc>
              <w:tc>
                <w:tcPr>
                  <w:tcW w:w="619" w:type="pct"/>
                  <w:tcBorders>
                    <w:tl2br w:val="nil"/>
                    <w:tr2bl w:val="nil"/>
                  </w:tcBorders>
                  <w:noWrap w:val="0"/>
                  <w:vAlign w:val="center"/>
                </w:tcPr>
                <w:p w14:paraId="3E1022BD">
                  <w:pPr>
                    <w:keepNext w:val="0"/>
                    <w:keepLines w:val="0"/>
                    <w:suppressLineNumbers w:val="0"/>
                    <w:autoSpaceDE w:val="0"/>
                    <w:autoSpaceDN w:val="0"/>
                    <w:adjustRightInd w:val="0"/>
                    <w:spacing w:before="0" w:beforeAutospacing="0" w:after="0" w:afterAutospacing="0"/>
                    <w:ind w:left="0" w:leftChars="0" w:right="0" w:rightChars="0"/>
                    <w:jc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新建</w:t>
                  </w:r>
                </w:p>
              </w:tc>
            </w:tr>
            <w:tr w14:paraId="36EA88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68" w:type="pct"/>
                  <w:vMerge w:val="continue"/>
                  <w:tcBorders>
                    <w:tl2br w:val="nil"/>
                    <w:tr2bl w:val="nil"/>
                  </w:tcBorders>
                  <w:noWrap w:val="0"/>
                  <w:vAlign w:val="center"/>
                </w:tcPr>
                <w:p w14:paraId="70AFBEF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c>
                <w:tcPr>
                  <w:tcW w:w="405" w:type="pct"/>
                  <w:vMerge w:val="continue"/>
                  <w:tcBorders>
                    <w:tl2br w:val="nil"/>
                    <w:tr2bl w:val="nil"/>
                  </w:tcBorders>
                  <w:noWrap w:val="0"/>
                  <w:vAlign w:val="center"/>
                </w:tcPr>
                <w:p w14:paraId="28C8510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c>
                <w:tcPr>
                  <w:tcW w:w="383" w:type="pct"/>
                  <w:vMerge w:val="restart"/>
                  <w:tcBorders>
                    <w:tl2br w:val="nil"/>
                    <w:tr2bl w:val="nil"/>
                  </w:tcBorders>
                  <w:noWrap w:val="0"/>
                  <w:vAlign w:val="center"/>
                </w:tcPr>
                <w:p w14:paraId="617DE99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固废</w:t>
                  </w:r>
                </w:p>
              </w:tc>
              <w:tc>
                <w:tcPr>
                  <w:tcW w:w="3122" w:type="pct"/>
                  <w:tcBorders>
                    <w:tl2br w:val="nil"/>
                    <w:tr2bl w:val="nil"/>
                  </w:tcBorders>
                  <w:noWrap w:val="0"/>
                  <w:vAlign w:val="center"/>
                </w:tcPr>
                <w:p w14:paraId="5F3752F8">
                  <w:pPr>
                    <w:keepNext w:val="0"/>
                    <w:keepLines w:val="0"/>
                    <w:numPr>
                      <w:ilvl w:val="0"/>
                      <w:numId w:val="0"/>
                    </w:numPr>
                    <w:suppressLineNumbers w:val="0"/>
                    <w:spacing w:before="0" w:beforeAutospacing="0" w:after="0" w:afterAutospacing="0"/>
                    <w:ind w:left="0" w:right="0" w:rightChars="0"/>
                    <w:jc w:val="both"/>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废离子交换树脂定期由</w:t>
                  </w:r>
                  <w:r>
                    <w:rPr>
                      <w:rFonts w:hint="eastAsia"/>
                      <w:b w:val="0"/>
                      <w:bCs/>
                      <w:color w:val="auto"/>
                      <w:kern w:val="0"/>
                      <w:sz w:val="21"/>
                      <w:szCs w:val="21"/>
                      <w:highlight w:val="none"/>
                      <w:lang w:val="en-US" w:eastAsia="zh-CN"/>
                    </w:rPr>
                    <w:t>维保单位</w:t>
                  </w:r>
                  <w:r>
                    <w:rPr>
                      <w:rFonts w:hint="eastAsia"/>
                      <w:b w:val="0"/>
                      <w:bCs/>
                      <w:color w:val="auto"/>
                      <w:kern w:val="0"/>
                      <w:sz w:val="21"/>
                      <w:szCs w:val="21"/>
                      <w:highlight w:val="none"/>
                    </w:rPr>
                    <w:t>更换后回收</w:t>
                  </w:r>
                  <w:r>
                    <w:rPr>
                      <w:rFonts w:hint="eastAsia"/>
                      <w:b w:val="0"/>
                      <w:bCs/>
                      <w:color w:val="auto"/>
                      <w:kern w:val="0"/>
                      <w:sz w:val="21"/>
                      <w:szCs w:val="21"/>
                      <w:highlight w:val="none"/>
                      <w:lang w:val="en-US" w:eastAsia="zh-CN"/>
                    </w:rPr>
                    <w:t>处置</w:t>
                  </w:r>
                </w:p>
              </w:tc>
              <w:tc>
                <w:tcPr>
                  <w:tcW w:w="619" w:type="pct"/>
                  <w:tcBorders>
                    <w:tl2br w:val="nil"/>
                    <w:tr2bl w:val="nil"/>
                  </w:tcBorders>
                  <w:noWrap w:val="0"/>
                  <w:vAlign w:val="center"/>
                </w:tcPr>
                <w:p w14:paraId="2FA20CD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14:paraId="1CAB58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397" w:hRule="atLeast"/>
                <w:jc w:val="center"/>
              </w:trPr>
              <w:tc>
                <w:tcPr>
                  <w:tcW w:w="468" w:type="pct"/>
                  <w:vMerge w:val="continue"/>
                  <w:tcBorders>
                    <w:tl2br w:val="nil"/>
                    <w:tr2bl w:val="nil"/>
                  </w:tcBorders>
                  <w:noWrap w:val="0"/>
                  <w:vAlign w:val="center"/>
                </w:tcPr>
                <w:p w14:paraId="58C643E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c>
                <w:tcPr>
                  <w:tcW w:w="405" w:type="pct"/>
                  <w:vMerge w:val="continue"/>
                  <w:tcBorders>
                    <w:tl2br w:val="nil"/>
                    <w:tr2bl w:val="nil"/>
                  </w:tcBorders>
                  <w:noWrap w:val="0"/>
                  <w:vAlign w:val="center"/>
                </w:tcPr>
                <w:p w14:paraId="18802BA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c>
                <w:tcPr>
                  <w:tcW w:w="383" w:type="pct"/>
                  <w:vMerge w:val="continue"/>
                  <w:tcBorders>
                    <w:tl2br w:val="nil"/>
                    <w:tr2bl w:val="nil"/>
                  </w:tcBorders>
                  <w:noWrap w:val="0"/>
                  <w:vAlign w:val="center"/>
                </w:tcPr>
                <w:p w14:paraId="17F3081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3122" w:type="pct"/>
                  <w:tcBorders>
                    <w:tl2br w:val="nil"/>
                    <w:tr2bl w:val="nil"/>
                  </w:tcBorders>
                  <w:noWrap w:val="0"/>
                  <w:vAlign w:val="center"/>
                </w:tcPr>
                <w:p w14:paraId="22B6824F">
                  <w:pPr>
                    <w:keepNext w:val="0"/>
                    <w:keepLines w:val="0"/>
                    <w:numPr>
                      <w:ilvl w:val="0"/>
                      <w:numId w:val="0"/>
                    </w:numPr>
                    <w:suppressLineNumbers w:val="0"/>
                    <w:spacing w:before="0" w:beforeAutospacing="0" w:after="0" w:afterAutospacing="0"/>
                    <w:ind w:left="0" w:right="0" w:rightChars="0"/>
                    <w:jc w:val="both"/>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设一般固废暂存区1处，占地2m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，废包装材料，收集后出售综合利用</w:t>
                  </w:r>
                </w:p>
              </w:tc>
              <w:tc>
                <w:tcPr>
                  <w:tcW w:w="619" w:type="pct"/>
                  <w:tcBorders>
                    <w:tl2br w:val="nil"/>
                    <w:tr2bl w:val="nil"/>
                  </w:tcBorders>
                  <w:noWrap w:val="0"/>
                  <w:vAlign w:val="center"/>
                </w:tcPr>
                <w:p w14:paraId="0E772B9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14:paraId="1B97FA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68" w:type="pct"/>
                  <w:vMerge w:val="continue"/>
                  <w:tcBorders>
                    <w:tl2br w:val="nil"/>
                    <w:tr2bl w:val="nil"/>
                  </w:tcBorders>
                  <w:noWrap w:val="0"/>
                  <w:vAlign w:val="center"/>
                </w:tcPr>
                <w:p w14:paraId="1002B52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c>
                <w:tcPr>
                  <w:tcW w:w="405" w:type="pct"/>
                  <w:vMerge w:val="continue"/>
                  <w:tcBorders>
                    <w:tl2br w:val="nil"/>
                    <w:tr2bl w:val="nil"/>
                  </w:tcBorders>
                  <w:noWrap w:val="0"/>
                  <w:vAlign w:val="center"/>
                </w:tcPr>
                <w:p w14:paraId="1F2F44F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c>
                <w:tcPr>
                  <w:tcW w:w="383" w:type="pct"/>
                  <w:vMerge w:val="continue"/>
                  <w:tcBorders>
                    <w:tl2br w:val="nil"/>
                    <w:tr2bl w:val="nil"/>
                  </w:tcBorders>
                  <w:noWrap w:val="0"/>
                  <w:vAlign w:val="center"/>
                </w:tcPr>
                <w:p w14:paraId="4238A1A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3122" w:type="pct"/>
                  <w:tcBorders>
                    <w:tl2br w:val="nil"/>
                    <w:tr2bl w:val="nil"/>
                  </w:tcBorders>
                  <w:noWrap w:val="0"/>
                  <w:vAlign w:val="center"/>
                </w:tcPr>
                <w:p w14:paraId="2EBFBD2E">
                  <w:pPr>
                    <w:keepNext w:val="0"/>
                    <w:keepLines w:val="0"/>
                    <w:numPr>
                      <w:ilvl w:val="0"/>
                      <w:numId w:val="0"/>
                    </w:numPr>
                    <w:suppressLineNumbers w:val="0"/>
                    <w:spacing w:before="0" w:beforeAutospacing="0" w:after="0" w:afterAutospacing="0"/>
                    <w:ind w:left="0" w:right="0" w:rightChars="0"/>
                    <w:jc w:val="both"/>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设危废暂存区1处，占地2m</w:t>
                  </w:r>
                  <w:r>
                    <w:rPr>
                      <w:rFonts w:hint="eastAsia" w:cs="Times New Roman"/>
                      <w:color w:val="auto"/>
                      <w:sz w:val="21"/>
                      <w:szCs w:val="21"/>
                      <w:highlight w:val="none"/>
                      <w:vertAlign w:val="superscript"/>
                      <w:lang w:val="en-US" w:eastAsia="zh-CN"/>
                    </w:rPr>
                    <w:t>2</w:t>
                  </w:r>
                  <w:r>
                    <w:rPr>
                      <w:rFonts w:hint="eastAsia" w:cs="Times New Roman"/>
                      <w:color w:val="auto"/>
                      <w:sz w:val="21"/>
                      <w:szCs w:val="21"/>
                      <w:highlight w:val="none"/>
                      <w:lang w:val="en-US" w:eastAsia="zh-CN"/>
                    </w:rPr>
                    <w:t>，危险废物委托有资质单位处置</w:t>
                  </w:r>
                </w:p>
              </w:tc>
              <w:tc>
                <w:tcPr>
                  <w:tcW w:w="619" w:type="pct"/>
                  <w:tcBorders>
                    <w:tl2br w:val="nil"/>
                    <w:tr2bl w:val="nil"/>
                  </w:tcBorders>
                  <w:noWrap w:val="0"/>
                  <w:vAlign w:val="center"/>
                </w:tcPr>
                <w:p w14:paraId="459D2E7C">
                  <w:pPr>
                    <w:keepNext w:val="0"/>
                    <w:keepLines w:val="0"/>
                    <w:suppressLineNumbers w:val="0"/>
                    <w:spacing w:before="0" w:beforeAutospacing="0" w:after="0" w:afterAutospacing="0"/>
                    <w:ind w:left="0" w:right="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bl>
          <w:p w14:paraId="3C0D4B6F">
            <w:pPr>
              <w:spacing w:line="360" w:lineRule="auto"/>
              <w:ind w:firstLine="482"/>
              <w:rPr>
                <w:rFonts w:hint="eastAsia" w:hAnsi="宋体"/>
                <w:b/>
                <w:bCs w:val="0"/>
                <w:color w:val="auto"/>
                <w:sz w:val="24"/>
                <w:szCs w:val="24"/>
                <w:highlight w:val="none"/>
                <w:lang w:eastAsia="zh-CN"/>
              </w:rPr>
            </w:pPr>
            <w:r>
              <w:rPr>
                <w:rFonts w:hint="eastAsia" w:hAnsi="宋体"/>
                <w:b/>
                <w:bCs w:val="0"/>
                <w:color w:val="auto"/>
                <w:sz w:val="24"/>
                <w:szCs w:val="24"/>
                <w:highlight w:val="none"/>
                <w:lang w:eastAsia="zh-CN"/>
              </w:rPr>
              <w:t>3.供热范围及规模</w:t>
            </w:r>
          </w:p>
          <w:p w14:paraId="66A6A372">
            <w:pPr>
              <w:spacing w:line="360" w:lineRule="auto"/>
              <w:ind w:firstLine="482"/>
              <w:rPr>
                <w:rFonts w:hint="eastAsia" w:hAnsi="宋体"/>
                <w:b w:val="0"/>
                <w:bCs/>
                <w:color w:val="auto"/>
                <w:sz w:val="24"/>
                <w:szCs w:val="24"/>
                <w:highlight w:val="none"/>
                <w:lang w:eastAsia="zh-CN"/>
              </w:rPr>
            </w:pPr>
            <w:r>
              <w:rPr>
                <w:rFonts w:hint="eastAsia" w:hAnsi="宋体"/>
                <w:b w:val="0"/>
                <w:bCs/>
                <w:color w:val="auto"/>
                <w:sz w:val="24"/>
                <w:szCs w:val="24"/>
                <w:highlight w:val="none"/>
                <w:lang w:val="en-US" w:eastAsia="zh-CN"/>
              </w:rPr>
              <w:t>本热源站总</w:t>
            </w:r>
            <w:r>
              <w:rPr>
                <w:rFonts w:hint="eastAsia" w:hAnsi="宋体"/>
                <w:b w:val="0"/>
                <w:bCs/>
                <w:color w:val="auto"/>
                <w:sz w:val="24"/>
                <w:szCs w:val="24"/>
                <w:highlight w:val="none"/>
                <w:lang w:eastAsia="zh-CN"/>
              </w:rPr>
              <w:t>供热面积：36693.16m</w:t>
            </w:r>
            <w:r>
              <w:rPr>
                <w:rFonts w:hint="eastAsia" w:hAnsi="宋体"/>
                <w:b w:val="0"/>
                <w:bCs/>
                <w:color w:val="auto"/>
                <w:sz w:val="24"/>
                <w:szCs w:val="24"/>
                <w:highlight w:val="none"/>
                <w:vertAlign w:val="superscript"/>
                <w:lang w:eastAsia="zh-CN"/>
              </w:rPr>
              <w:t>2</w:t>
            </w:r>
            <w:r>
              <w:rPr>
                <w:rFonts w:hint="eastAsia" w:hAnsi="宋体"/>
                <w:b w:val="0"/>
                <w:bCs/>
                <w:color w:val="auto"/>
                <w:sz w:val="24"/>
                <w:szCs w:val="24"/>
                <w:highlight w:val="none"/>
                <w:lang w:eastAsia="zh-CN"/>
              </w:rPr>
              <w:t>，供热区域为矶山拆迁安置小区</w:t>
            </w:r>
            <w:r>
              <w:rPr>
                <w:rFonts w:hint="eastAsia" w:hAnsi="宋体"/>
                <w:b w:val="0"/>
                <w:bCs/>
                <w:color w:val="auto"/>
                <w:sz w:val="24"/>
                <w:szCs w:val="24"/>
                <w:highlight w:val="none"/>
                <w:lang w:val="en-US" w:eastAsia="zh-CN"/>
              </w:rPr>
              <w:t>二</w:t>
            </w:r>
            <w:r>
              <w:rPr>
                <w:rFonts w:hint="eastAsia" w:hAnsi="宋体"/>
                <w:b w:val="0"/>
                <w:bCs/>
                <w:color w:val="auto"/>
                <w:sz w:val="24"/>
                <w:szCs w:val="24"/>
                <w:highlight w:val="none"/>
                <w:lang w:eastAsia="zh-CN"/>
              </w:rPr>
              <w:t>期</w:t>
            </w:r>
            <w:r>
              <w:rPr>
                <w:rFonts w:hint="eastAsia" w:hAnsi="宋体"/>
                <w:b w:val="0"/>
                <w:bCs/>
                <w:color w:val="auto"/>
                <w:sz w:val="24"/>
                <w:szCs w:val="24"/>
                <w:highlight w:val="none"/>
                <w:lang w:val="en-US" w:eastAsia="zh-CN"/>
              </w:rPr>
              <w:t>+商业</w:t>
            </w:r>
            <w:r>
              <w:rPr>
                <w:rFonts w:hint="eastAsia" w:hAnsi="宋体"/>
                <w:b w:val="0"/>
                <w:bCs/>
                <w:color w:val="auto"/>
                <w:sz w:val="24"/>
                <w:szCs w:val="24"/>
                <w:highlight w:val="none"/>
                <w:lang w:eastAsia="zh-CN"/>
              </w:rPr>
              <w:t>。</w:t>
            </w:r>
          </w:p>
          <w:p w14:paraId="26B1E147">
            <w:pPr>
              <w:spacing w:line="360" w:lineRule="auto"/>
              <w:ind w:firstLine="482"/>
              <w:rPr>
                <w:rFonts w:hint="eastAsia" w:eastAsia="宋体"/>
                <w:b/>
                <w:bCs w:val="0"/>
                <w:color w:val="auto"/>
                <w:sz w:val="24"/>
                <w:szCs w:val="24"/>
                <w:highlight w:val="none"/>
                <w:lang w:eastAsia="zh-CN"/>
              </w:rPr>
            </w:pPr>
            <w:r>
              <w:rPr>
                <w:rFonts w:hint="eastAsia"/>
                <w:b/>
                <w:bCs w:val="0"/>
                <w:color w:val="auto"/>
                <w:sz w:val="24"/>
                <w:szCs w:val="24"/>
                <w:highlight w:val="none"/>
                <w:lang w:val="en-US" w:eastAsia="zh-CN"/>
              </w:rPr>
              <w:t>4.</w:t>
            </w:r>
            <w:r>
              <w:rPr>
                <w:rFonts w:hint="eastAsia"/>
                <w:b/>
                <w:bCs w:val="0"/>
                <w:color w:val="auto"/>
                <w:sz w:val="24"/>
                <w:szCs w:val="24"/>
                <w:highlight w:val="none"/>
              </w:rPr>
              <w:t>主要原辅材料</w:t>
            </w:r>
            <w:r>
              <w:rPr>
                <w:rFonts w:hint="eastAsia"/>
                <w:b/>
                <w:bCs w:val="0"/>
                <w:color w:val="auto"/>
                <w:sz w:val="24"/>
                <w:szCs w:val="24"/>
                <w:highlight w:val="none"/>
                <w:lang w:eastAsia="zh-CN"/>
              </w:rPr>
              <w:t>及能源</w:t>
            </w:r>
          </w:p>
          <w:p w14:paraId="4F305F01">
            <w:pPr>
              <w:spacing w:line="360" w:lineRule="auto"/>
              <w:ind w:firstLine="426"/>
              <w:rPr>
                <w:rFonts w:hint="eastAsia" w:eastAsia="宋体"/>
                <w:b w:val="0"/>
                <w:bCs/>
                <w:color w:val="auto"/>
                <w:sz w:val="24"/>
                <w:szCs w:val="24"/>
                <w:highlight w:val="none"/>
                <w:lang w:eastAsia="zh-CN"/>
              </w:rPr>
            </w:pPr>
            <w:r>
              <w:rPr>
                <w:b w:val="0"/>
                <w:bCs/>
                <w:color w:val="auto"/>
                <w:sz w:val="24"/>
                <w:szCs w:val="24"/>
                <w:highlight w:val="none"/>
              </w:rPr>
              <w:t>主要</w:t>
            </w:r>
            <w:r>
              <w:rPr>
                <w:rFonts w:hint="eastAsia"/>
                <w:b w:val="0"/>
                <w:bCs/>
                <w:color w:val="auto"/>
                <w:sz w:val="24"/>
                <w:szCs w:val="24"/>
                <w:highlight w:val="none"/>
              </w:rPr>
              <w:t>原辅</w:t>
            </w:r>
            <w:r>
              <w:rPr>
                <w:b w:val="0"/>
                <w:bCs/>
                <w:color w:val="auto"/>
                <w:sz w:val="24"/>
                <w:szCs w:val="24"/>
                <w:highlight w:val="none"/>
              </w:rPr>
              <w:t>材料为</w:t>
            </w:r>
            <w:r>
              <w:rPr>
                <w:rFonts w:hint="eastAsia"/>
                <w:b w:val="0"/>
                <w:bCs/>
                <w:color w:val="auto"/>
                <w:sz w:val="24"/>
                <w:szCs w:val="24"/>
                <w:highlight w:val="none"/>
              </w:rPr>
              <w:t>天然气、</w:t>
            </w:r>
            <w:r>
              <w:rPr>
                <w:rFonts w:hint="eastAsia"/>
                <w:b w:val="0"/>
                <w:bCs/>
                <w:color w:val="auto"/>
                <w:sz w:val="24"/>
                <w:szCs w:val="24"/>
                <w:highlight w:val="none"/>
                <w:lang w:val="en-US" w:eastAsia="zh-CN"/>
              </w:rPr>
              <w:t>水</w:t>
            </w:r>
            <w:r>
              <w:rPr>
                <w:rFonts w:hint="eastAsia"/>
                <w:b w:val="0"/>
                <w:bCs/>
                <w:color w:val="auto"/>
                <w:sz w:val="24"/>
                <w:szCs w:val="24"/>
                <w:highlight w:val="none"/>
              </w:rPr>
              <w:t>等，</w:t>
            </w:r>
            <w:r>
              <w:rPr>
                <w:rFonts w:hint="eastAsia"/>
                <w:b w:val="0"/>
                <w:bCs/>
                <w:color w:val="auto"/>
                <w:sz w:val="24"/>
                <w:szCs w:val="24"/>
                <w:highlight w:val="none"/>
                <w:lang w:val="en-US" w:eastAsia="zh-CN"/>
              </w:rPr>
              <w:t>原辅材料</w:t>
            </w:r>
            <w:r>
              <w:rPr>
                <w:b w:val="0"/>
                <w:bCs/>
                <w:color w:val="auto"/>
                <w:sz w:val="24"/>
                <w:szCs w:val="24"/>
                <w:highlight w:val="none"/>
              </w:rPr>
              <w:t>消耗情况</w:t>
            </w:r>
            <w:r>
              <w:rPr>
                <w:rFonts w:hint="eastAsia"/>
                <w:b w:val="0"/>
                <w:bCs/>
                <w:color w:val="auto"/>
                <w:sz w:val="24"/>
                <w:szCs w:val="24"/>
                <w:highlight w:val="none"/>
                <w:lang w:eastAsia="zh-CN"/>
              </w:rPr>
              <w:t>见表</w:t>
            </w:r>
            <w:r>
              <w:rPr>
                <w:rFonts w:hint="eastAsia"/>
                <w:b w:val="0"/>
                <w:bCs/>
                <w:color w:val="auto"/>
                <w:sz w:val="24"/>
                <w:szCs w:val="24"/>
                <w:highlight w:val="none"/>
                <w:lang w:val="en-US" w:eastAsia="zh-CN"/>
              </w:rPr>
              <w:t>2-2。</w:t>
            </w:r>
          </w:p>
          <w:p w14:paraId="3245345F">
            <w:pPr>
              <w:adjustRightInd w:val="0"/>
              <w:snapToGrid w:val="0"/>
              <w:jc w:val="center"/>
              <w:rPr>
                <w:b/>
                <w:bCs w:val="0"/>
                <w:color w:val="auto"/>
                <w:sz w:val="24"/>
                <w:szCs w:val="24"/>
                <w:highlight w:val="none"/>
              </w:rPr>
            </w:pPr>
            <w:r>
              <w:rPr>
                <w:b/>
                <w:bCs w:val="0"/>
                <w:color w:val="auto"/>
                <w:sz w:val="24"/>
                <w:szCs w:val="24"/>
                <w:highlight w:val="none"/>
              </w:rPr>
              <w:t>表</w:t>
            </w:r>
            <w:r>
              <w:rPr>
                <w:rFonts w:hint="eastAsia"/>
                <w:b/>
                <w:bCs w:val="0"/>
                <w:color w:val="auto"/>
                <w:sz w:val="24"/>
                <w:szCs w:val="24"/>
                <w:highlight w:val="none"/>
              </w:rPr>
              <w:t>2-</w:t>
            </w:r>
            <w:r>
              <w:rPr>
                <w:rFonts w:hint="eastAsia"/>
                <w:b/>
                <w:bCs w:val="0"/>
                <w:color w:val="auto"/>
                <w:sz w:val="24"/>
                <w:szCs w:val="24"/>
                <w:highlight w:val="none"/>
                <w:lang w:val="en-US" w:eastAsia="zh-CN"/>
              </w:rPr>
              <w:t>2</w:t>
            </w:r>
            <w:r>
              <w:rPr>
                <w:rFonts w:hint="eastAsia"/>
                <w:b/>
                <w:bCs w:val="0"/>
                <w:color w:val="auto"/>
                <w:sz w:val="24"/>
                <w:szCs w:val="24"/>
                <w:highlight w:val="none"/>
              </w:rPr>
              <w:t xml:space="preserve">  </w:t>
            </w:r>
            <w:r>
              <w:rPr>
                <w:rFonts w:hint="eastAsia"/>
                <w:b/>
                <w:bCs w:val="0"/>
                <w:color w:val="auto"/>
                <w:sz w:val="24"/>
                <w:szCs w:val="24"/>
                <w:highlight w:val="none"/>
                <w:lang w:val="en-US" w:eastAsia="zh-CN"/>
              </w:rPr>
              <w:t xml:space="preserve"> 项目</w:t>
            </w:r>
            <w:r>
              <w:rPr>
                <w:rFonts w:ascii="Times New Roman" w:hAnsi="Times New Roman" w:eastAsia="宋体" w:cs="Times New Roman"/>
                <w:b/>
                <w:bCs w:val="0"/>
                <w:color w:val="auto"/>
                <w:sz w:val="24"/>
                <w:szCs w:val="24"/>
                <w:highlight w:val="none"/>
              </w:rPr>
              <w:t>原辅材料</w:t>
            </w:r>
            <w:r>
              <w:rPr>
                <w:rFonts w:hint="eastAsia" w:ascii="Times New Roman" w:hAnsi="Times New Roman" w:eastAsia="宋体" w:cs="Times New Roman"/>
                <w:b/>
                <w:bCs w:val="0"/>
                <w:color w:val="auto"/>
                <w:sz w:val="24"/>
                <w:szCs w:val="24"/>
                <w:highlight w:val="none"/>
                <w:lang w:val="en-US" w:eastAsia="zh-CN"/>
              </w:rPr>
              <w:t>消耗一览表</w:t>
            </w:r>
          </w:p>
          <w:tbl>
            <w:tblPr>
              <w:tblStyle w:val="37"/>
              <w:tblW w:w="8780"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42"/>
              <w:gridCol w:w="1973"/>
              <w:gridCol w:w="2447"/>
              <w:gridCol w:w="3218"/>
            </w:tblGrid>
            <w:tr w14:paraId="47823E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0" w:type="pct"/>
                  <w:tcBorders>
                    <w:tl2br w:val="nil"/>
                    <w:tr2bl w:val="nil"/>
                  </w:tcBorders>
                  <w:noWrap/>
                  <w:vAlign w:val="center"/>
                </w:tcPr>
                <w:p w14:paraId="5A2B4D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b/>
                      <w:bCs w:val="0"/>
                      <w:color w:val="auto"/>
                      <w:kern w:val="0"/>
                      <w:sz w:val="21"/>
                      <w:szCs w:val="21"/>
                      <w:highlight w:val="none"/>
                      <w:lang w:eastAsia="zh-CN"/>
                    </w:rPr>
                  </w:pPr>
                  <w:r>
                    <w:rPr>
                      <w:rFonts w:hint="eastAsia" w:cs="Times New Roman"/>
                      <w:b/>
                      <w:bCs w:val="0"/>
                      <w:color w:val="auto"/>
                      <w:kern w:val="0"/>
                      <w:sz w:val="21"/>
                      <w:szCs w:val="21"/>
                      <w:highlight w:val="none"/>
                      <w:lang w:val="en-US" w:eastAsia="zh-CN"/>
                    </w:rPr>
                    <w:t>序号</w:t>
                  </w:r>
                </w:p>
              </w:tc>
              <w:tc>
                <w:tcPr>
                  <w:tcW w:w="1123" w:type="pct"/>
                  <w:tcBorders>
                    <w:tl2br w:val="nil"/>
                    <w:tr2bl w:val="nil"/>
                  </w:tcBorders>
                  <w:shd w:val="clear" w:color="auto" w:fill="auto"/>
                  <w:noWrap/>
                  <w:vAlign w:val="center"/>
                </w:tcPr>
                <w:p w14:paraId="1C9FCD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cs="Times New Roman"/>
                      <w:b/>
                      <w:bCs w:val="0"/>
                      <w:color w:val="auto"/>
                      <w:kern w:val="0"/>
                      <w:sz w:val="21"/>
                      <w:szCs w:val="21"/>
                      <w:highlight w:val="none"/>
                    </w:rPr>
                    <w:t>名称</w:t>
                  </w:r>
                </w:p>
              </w:tc>
              <w:tc>
                <w:tcPr>
                  <w:tcW w:w="1393" w:type="pct"/>
                  <w:tcBorders>
                    <w:tl2br w:val="nil"/>
                    <w:tr2bl w:val="nil"/>
                  </w:tcBorders>
                  <w:noWrap w:val="0"/>
                  <w:vAlign w:val="center"/>
                </w:tcPr>
                <w:p w14:paraId="58C7D05E">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val="0"/>
                      <w:color w:val="auto"/>
                      <w:kern w:val="2"/>
                      <w:sz w:val="21"/>
                      <w:szCs w:val="21"/>
                      <w:highlight w:val="none"/>
                      <w:lang w:val="en-US" w:eastAsia="zh-CN"/>
                    </w:rPr>
                  </w:pPr>
                  <w:r>
                    <w:rPr>
                      <w:rFonts w:hint="default" w:ascii="Times New Roman" w:hAnsi="Times New Roman" w:cs="Times New Roman"/>
                      <w:b/>
                      <w:bCs w:val="0"/>
                      <w:color w:val="auto"/>
                      <w:kern w:val="0"/>
                      <w:sz w:val="21"/>
                      <w:szCs w:val="21"/>
                      <w:highlight w:val="none"/>
                    </w:rPr>
                    <w:t>年用量</w:t>
                  </w:r>
                </w:p>
              </w:tc>
              <w:tc>
                <w:tcPr>
                  <w:tcW w:w="1832" w:type="pct"/>
                  <w:tcBorders>
                    <w:tl2br w:val="nil"/>
                    <w:tr2bl w:val="nil"/>
                  </w:tcBorders>
                  <w:noWrap w:val="0"/>
                  <w:vAlign w:val="center"/>
                </w:tcPr>
                <w:p w14:paraId="262DB625">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val="0"/>
                      <w:color w:val="auto"/>
                      <w:kern w:val="2"/>
                      <w:sz w:val="21"/>
                      <w:szCs w:val="21"/>
                      <w:highlight w:val="none"/>
                      <w:lang w:val="en-US" w:eastAsia="zh-CN"/>
                    </w:rPr>
                  </w:pPr>
                  <w:r>
                    <w:rPr>
                      <w:rFonts w:hint="eastAsia" w:ascii="Times New Roman" w:hAnsi="Times New Roman" w:eastAsia="宋体" w:cs="Times New Roman"/>
                      <w:b/>
                      <w:bCs w:val="0"/>
                      <w:color w:val="auto"/>
                      <w:kern w:val="2"/>
                      <w:sz w:val="21"/>
                      <w:szCs w:val="21"/>
                      <w:highlight w:val="none"/>
                      <w:lang w:val="en-US" w:eastAsia="zh-CN"/>
                    </w:rPr>
                    <w:t>备注</w:t>
                  </w:r>
                </w:p>
              </w:tc>
            </w:tr>
            <w:tr w14:paraId="570934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0" w:type="pct"/>
                  <w:tcBorders>
                    <w:tl2br w:val="nil"/>
                    <w:tr2bl w:val="nil"/>
                  </w:tcBorders>
                  <w:noWrap/>
                  <w:vAlign w:val="center"/>
                </w:tcPr>
                <w:p w14:paraId="04B25DB1">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color w:val="auto"/>
                      <w:kern w:val="2"/>
                      <w:sz w:val="21"/>
                      <w:szCs w:val="21"/>
                      <w:highlight w:val="none"/>
                      <w:lang w:val="en-US" w:eastAsia="zh-CN"/>
                    </w:rPr>
                  </w:pPr>
                  <w:r>
                    <w:rPr>
                      <w:rFonts w:hint="eastAsia" w:ascii="Times New Roman" w:hAnsi="Times New Roman" w:cs="Times New Roman"/>
                      <w:b w:val="0"/>
                      <w:bCs/>
                      <w:color w:val="auto"/>
                      <w:kern w:val="2"/>
                      <w:sz w:val="21"/>
                      <w:szCs w:val="21"/>
                      <w:highlight w:val="none"/>
                      <w:lang w:val="en-US" w:eastAsia="zh-CN"/>
                    </w:rPr>
                    <w:t>1</w:t>
                  </w:r>
                </w:p>
              </w:tc>
              <w:tc>
                <w:tcPr>
                  <w:tcW w:w="1123" w:type="pct"/>
                  <w:tcBorders>
                    <w:tl2br w:val="nil"/>
                    <w:tr2bl w:val="nil"/>
                  </w:tcBorders>
                  <w:shd w:val="clear" w:color="auto" w:fill="auto"/>
                  <w:noWrap/>
                  <w:vAlign w:val="center"/>
                </w:tcPr>
                <w:p w14:paraId="724809B2">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b w:val="0"/>
                      <w:bCs/>
                      <w:color w:val="auto"/>
                      <w:kern w:val="2"/>
                      <w:sz w:val="21"/>
                      <w:szCs w:val="21"/>
                      <w:highlight w:val="none"/>
                      <w:lang w:val="en-US" w:eastAsia="zh-CN"/>
                    </w:rPr>
                    <w:t>天然气</w:t>
                  </w:r>
                </w:p>
              </w:tc>
              <w:tc>
                <w:tcPr>
                  <w:tcW w:w="1393" w:type="pct"/>
                  <w:tcBorders>
                    <w:tl2br w:val="nil"/>
                    <w:tr2bl w:val="nil"/>
                  </w:tcBorders>
                  <w:noWrap w:val="0"/>
                  <w:vAlign w:val="center"/>
                </w:tcPr>
                <w:p w14:paraId="2A20F914">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lang w:val="en-US" w:eastAsia="zh-CN"/>
                    </w:rPr>
                  </w:pPr>
                  <w:r>
                    <w:rPr>
                      <w:rFonts w:hint="eastAsia" w:ascii="Times New Roman" w:hAnsi="Times New Roman" w:cs="Times New Roman"/>
                      <w:b w:val="0"/>
                      <w:bCs/>
                      <w:color w:val="auto"/>
                      <w:kern w:val="2"/>
                      <w:sz w:val="21"/>
                      <w:szCs w:val="21"/>
                      <w:highlight w:val="none"/>
                      <w:lang w:val="en-US" w:eastAsia="zh-CN"/>
                    </w:rPr>
                    <w:t>72.95万</w:t>
                  </w:r>
                  <w:r>
                    <w:rPr>
                      <w:rFonts w:hint="eastAsia" w:ascii="Times New Roman" w:hAnsi="Times New Roman" w:cs="Times New Roman"/>
                      <w:b w:val="0"/>
                      <w:bCs/>
                      <w:color w:val="auto"/>
                      <w:kern w:val="0"/>
                      <w:sz w:val="21"/>
                      <w:szCs w:val="21"/>
                      <w:highlight w:val="none"/>
                      <w:lang w:val="en-US" w:eastAsia="zh-CN"/>
                    </w:rPr>
                    <w:t>Nm</w:t>
                  </w:r>
                  <w:r>
                    <w:rPr>
                      <w:rFonts w:hint="eastAsia" w:ascii="Times New Roman" w:hAnsi="Times New Roman" w:cs="Times New Roman"/>
                      <w:b w:val="0"/>
                      <w:bCs/>
                      <w:color w:val="auto"/>
                      <w:kern w:val="0"/>
                      <w:sz w:val="21"/>
                      <w:szCs w:val="21"/>
                      <w:highlight w:val="none"/>
                      <w:vertAlign w:val="superscript"/>
                      <w:lang w:val="en-US" w:eastAsia="zh-CN"/>
                    </w:rPr>
                    <w:t>3</w:t>
                  </w:r>
                  <w:r>
                    <w:rPr>
                      <w:rFonts w:hint="default" w:ascii="Times New Roman" w:hAnsi="Times New Roman" w:cs="Times New Roman"/>
                      <w:b w:val="0"/>
                      <w:bCs/>
                      <w:color w:val="auto"/>
                      <w:kern w:val="0"/>
                      <w:sz w:val="21"/>
                      <w:szCs w:val="21"/>
                      <w:highlight w:val="none"/>
                      <w:lang w:val="en-US" w:eastAsia="zh-CN"/>
                    </w:rPr>
                    <w:t>/a</w:t>
                  </w:r>
                </w:p>
              </w:tc>
              <w:tc>
                <w:tcPr>
                  <w:tcW w:w="1832" w:type="pct"/>
                  <w:tcBorders>
                    <w:tl2br w:val="nil"/>
                    <w:tr2bl w:val="nil"/>
                  </w:tcBorders>
                  <w:noWrap w:val="0"/>
                  <w:vAlign w:val="center"/>
                </w:tcPr>
                <w:p w14:paraId="3ED8A22C">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lang w:val="en-US" w:eastAsia="zh-CN"/>
                    </w:rPr>
                  </w:pPr>
                  <w:r>
                    <w:rPr>
                      <w:rFonts w:hint="eastAsia" w:ascii="Times New Roman" w:hAnsi="Times New Roman" w:cs="Times New Roman"/>
                      <w:b w:val="0"/>
                      <w:bCs/>
                      <w:color w:val="auto"/>
                      <w:kern w:val="2"/>
                      <w:sz w:val="21"/>
                      <w:szCs w:val="21"/>
                      <w:highlight w:val="none"/>
                      <w:lang w:val="en-US" w:eastAsia="zh-CN"/>
                    </w:rPr>
                    <w:t>小时最大耗气量233.8m</w:t>
                  </w:r>
                  <w:r>
                    <w:rPr>
                      <w:rFonts w:hint="eastAsia" w:ascii="Times New Roman" w:hAnsi="Times New Roman" w:cs="Times New Roman"/>
                      <w:b w:val="0"/>
                      <w:bCs/>
                      <w:color w:val="auto"/>
                      <w:kern w:val="2"/>
                      <w:sz w:val="21"/>
                      <w:szCs w:val="21"/>
                      <w:highlight w:val="none"/>
                      <w:vertAlign w:val="superscript"/>
                      <w:lang w:val="en-US" w:eastAsia="zh-CN"/>
                    </w:rPr>
                    <w:t>3</w:t>
                  </w:r>
                  <w:r>
                    <w:rPr>
                      <w:rFonts w:hint="eastAsia" w:ascii="Times New Roman" w:hAnsi="Times New Roman" w:cs="Times New Roman"/>
                      <w:b w:val="0"/>
                      <w:bCs/>
                      <w:color w:val="auto"/>
                      <w:kern w:val="2"/>
                      <w:sz w:val="21"/>
                      <w:szCs w:val="21"/>
                      <w:highlight w:val="none"/>
                      <w:lang w:val="en-US" w:eastAsia="zh-CN"/>
                    </w:rPr>
                    <w:t>/h</w:t>
                  </w:r>
                </w:p>
              </w:tc>
            </w:tr>
            <w:tr w14:paraId="191724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0" w:type="pct"/>
                  <w:tcBorders>
                    <w:tl2br w:val="nil"/>
                    <w:tr2bl w:val="nil"/>
                  </w:tcBorders>
                  <w:noWrap/>
                  <w:vAlign w:val="center"/>
                </w:tcPr>
                <w:p w14:paraId="04CED247">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color w:val="auto"/>
                      <w:kern w:val="2"/>
                      <w:sz w:val="21"/>
                      <w:szCs w:val="21"/>
                      <w:highlight w:val="none"/>
                      <w:lang w:val="en-US" w:eastAsia="zh-CN"/>
                    </w:rPr>
                  </w:pPr>
                  <w:r>
                    <w:rPr>
                      <w:rFonts w:hint="eastAsia" w:ascii="Times New Roman" w:hAnsi="Times New Roman" w:cs="Times New Roman"/>
                      <w:b w:val="0"/>
                      <w:bCs/>
                      <w:color w:val="auto"/>
                      <w:kern w:val="2"/>
                      <w:sz w:val="21"/>
                      <w:szCs w:val="21"/>
                      <w:highlight w:val="none"/>
                      <w:lang w:val="en-US" w:eastAsia="zh-CN"/>
                    </w:rPr>
                    <w:t>2</w:t>
                  </w:r>
                </w:p>
              </w:tc>
              <w:tc>
                <w:tcPr>
                  <w:tcW w:w="1123" w:type="pct"/>
                  <w:tcBorders>
                    <w:tl2br w:val="nil"/>
                    <w:tr2bl w:val="nil"/>
                  </w:tcBorders>
                  <w:shd w:val="clear" w:color="auto" w:fill="auto"/>
                  <w:noWrap/>
                  <w:vAlign w:val="center"/>
                </w:tcPr>
                <w:p w14:paraId="0D329715">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b w:val="0"/>
                      <w:bCs/>
                      <w:color w:val="auto"/>
                      <w:kern w:val="2"/>
                      <w:sz w:val="21"/>
                      <w:szCs w:val="21"/>
                      <w:highlight w:val="none"/>
                      <w:lang w:val="en-US" w:eastAsia="zh-CN"/>
                    </w:rPr>
                    <w:t>自来水</w:t>
                  </w:r>
                </w:p>
              </w:tc>
              <w:tc>
                <w:tcPr>
                  <w:tcW w:w="1393" w:type="pct"/>
                  <w:tcBorders>
                    <w:tl2br w:val="nil"/>
                    <w:tr2bl w:val="nil"/>
                  </w:tcBorders>
                  <w:noWrap w:val="0"/>
                  <w:vAlign w:val="center"/>
                </w:tcPr>
                <w:p w14:paraId="0F68C01C">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lang w:val="en-US" w:eastAsia="zh-CN"/>
                    </w:rPr>
                  </w:pPr>
                  <w:r>
                    <w:rPr>
                      <w:rFonts w:hint="default" w:ascii="Times New Roman" w:hAnsi="Times New Roman" w:cs="Times New Roman"/>
                      <w:b w:val="0"/>
                      <w:bCs/>
                      <w:color w:val="auto"/>
                      <w:kern w:val="0"/>
                      <w:sz w:val="21"/>
                      <w:szCs w:val="21"/>
                      <w:highlight w:val="none"/>
                      <w:lang w:val="en-US" w:eastAsia="zh-CN"/>
                    </w:rPr>
                    <w:t>3806.6t/a</w:t>
                  </w:r>
                </w:p>
              </w:tc>
              <w:tc>
                <w:tcPr>
                  <w:tcW w:w="1832" w:type="pct"/>
                  <w:tcBorders>
                    <w:tl2br w:val="nil"/>
                    <w:tr2bl w:val="nil"/>
                  </w:tcBorders>
                  <w:noWrap w:val="0"/>
                  <w:vAlign w:val="center"/>
                </w:tcPr>
                <w:p w14:paraId="79409458">
                  <w:pPr>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rPr>
                  </w:pPr>
                  <w:r>
                    <w:rPr>
                      <w:rFonts w:hint="eastAsia" w:cs="Times New Roman"/>
                      <w:b w:val="0"/>
                      <w:bCs/>
                      <w:color w:val="auto"/>
                      <w:kern w:val="2"/>
                      <w:sz w:val="21"/>
                      <w:szCs w:val="21"/>
                      <w:highlight w:val="none"/>
                      <w:lang w:val="en-US" w:eastAsia="zh-CN"/>
                    </w:rPr>
                    <w:t>市政自来水管网</w:t>
                  </w:r>
                </w:p>
              </w:tc>
            </w:tr>
            <w:tr w14:paraId="29C80D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0" w:type="pct"/>
                  <w:tcBorders>
                    <w:tl2br w:val="nil"/>
                    <w:tr2bl w:val="nil"/>
                  </w:tcBorders>
                  <w:noWrap/>
                  <w:vAlign w:val="center"/>
                </w:tcPr>
                <w:p w14:paraId="15997FD4">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color w:val="auto"/>
                      <w:kern w:val="2"/>
                      <w:sz w:val="21"/>
                      <w:szCs w:val="21"/>
                      <w:highlight w:val="none"/>
                      <w:lang w:val="en-US" w:eastAsia="zh-CN"/>
                    </w:rPr>
                  </w:pPr>
                  <w:r>
                    <w:rPr>
                      <w:rFonts w:hint="eastAsia" w:ascii="Times New Roman" w:hAnsi="Times New Roman" w:cs="Times New Roman"/>
                      <w:b w:val="0"/>
                      <w:bCs/>
                      <w:color w:val="auto"/>
                      <w:kern w:val="2"/>
                      <w:sz w:val="21"/>
                      <w:szCs w:val="21"/>
                      <w:highlight w:val="none"/>
                      <w:lang w:val="en-US" w:eastAsia="zh-CN"/>
                    </w:rPr>
                    <w:t>3</w:t>
                  </w:r>
                </w:p>
              </w:tc>
              <w:tc>
                <w:tcPr>
                  <w:tcW w:w="1123" w:type="pct"/>
                  <w:tcBorders>
                    <w:tl2br w:val="nil"/>
                    <w:tr2bl w:val="nil"/>
                  </w:tcBorders>
                  <w:shd w:val="clear" w:color="auto" w:fill="auto"/>
                  <w:noWrap/>
                  <w:vAlign w:val="center"/>
                </w:tcPr>
                <w:p w14:paraId="00C875D8">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kern w:val="2"/>
                      <w:sz w:val="21"/>
                      <w:szCs w:val="21"/>
                      <w:highlight w:val="none"/>
                      <w:lang w:val="en-US" w:eastAsia="zh-CN"/>
                    </w:rPr>
                    <w:t>离子交换树脂</w:t>
                  </w:r>
                </w:p>
              </w:tc>
              <w:tc>
                <w:tcPr>
                  <w:tcW w:w="1393" w:type="pct"/>
                  <w:tcBorders>
                    <w:tl2br w:val="nil"/>
                    <w:tr2bl w:val="nil"/>
                  </w:tcBorders>
                  <w:noWrap w:val="0"/>
                  <w:vAlign w:val="center"/>
                </w:tcPr>
                <w:p w14:paraId="7160FA35">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kern w:val="0"/>
                      <w:sz w:val="21"/>
                      <w:szCs w:val="21"/>
                      <w:highlight w:val="none"/>
                      <w:lang w:val="en-US" w:eastAsia="zh-CN"/>
                    </w:rPr>
                  </w:pPr>
                  <w:r>
                    <w:rPr>
                      <w:rFonts w:hint="eastAsia" w:ascii="Times New Roman" w:hAnsi="Times New Roman" w:cs="Times New Roman"/>
                      <w:b w:val="0"/>
                      <w:bCs/>
                      <w:color w:val="auto"/>
                      <w:kern w:val="0"/>
                      <w:sz w:val="21"/>
                      <w:szCs w:val="21"/>
                      <w:highlight w:val="none"/>
                      <w:lang w:val="en-US" w:eastAsia="zh-CN"/>
                    </w:rPr>
                    <w:t>0.017</w:t>
                  </w:r>
                  <w:r>
                    <w:rPr>
                      <w:rFonts w:hint="default" w:ascii="Times New Roman" w:hAnsi="Times New Roman" w:cs="Times New Roman"/>
                      <w:b w:val="0"/>
                      <w:bCs/>
                      <w:color w:val="auto"/>
                      <w:kern w:val="0"/>
                      <w:sz w:val="21"/>
                      <w:szCs w:val="21"/>
                      <w:highlight w:val="none"/>
                      <w:lang w:val="en-US" w:eastAsia="zh-CN"/>
                    </w:rPr>
                    <w:t>t/a</w:t>
                  </w:r>
                </w:p>
              </w:tc>
              <w:tc>
                <w:tcPr>
                  <w:tcW w:w="1832" w:type="pct"/>
                  <w:tcBorders>
                    <w:tl2br w:val="nil"/>
                    <w:tr2bl w:val="nil"/>
                  </w:tcBorders>
                  <w:noWrap w:val="0"/>
                  <w:vAlign w:val="center"/>
                </w:tcPr>
                <w:p w14:paraId="5E286129">
                  <w:pPr>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rPr>
                  </w:pPr>
                  <w:r>
                    <w:rPr>
                      <w:rFonts w:hint="eastAsia" w:ascii="Times New Roman" w:hAnsi="Times New Roman" w:eastAsia="宋体" w:cs="Times New Roman"/>
                      <w:b w:val="0"/>
                      <w:bCs/>
                      <w:color w:val="auto"/>
                      <w:kern w:val="2"/>
                      <w:sz w:val="21"/>
                      <w:szCs w:val="21"/>
                      <w:highlight w:val="none"/>
                      <w:lang w:val="en-US" w:eastAsia="zh-CN"/>
                    </w:rPr>
                    <w:t>/</w:t>
                  </w:r>
                </w:p>
              </w:tc>
            </w:tr>
            <w:tr w14:paraId="27591F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0" w:type="pct"/>
                  <w:tcBorders>
                    <w:tl2br w:val="nil"/>
                    <w:tr2bl w:val="nil"/>
                  </w:tcBorders>
                  <w:noWrap/>
                  <w:vAlign w:val="center"/>
                </w:tcPr>
                <w:p w14:paraId="11083F87">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cs="Times New Roman"/>
                      <w:b w:val="0"/>
                      <w:bCs/>
                      <w:color w:val="auto"/>
                      <w:kern w:val="2"/>
                      <w:sz w:val="21"/>
                      <w:szCs w:val="21"/>
                      <w:highlight w:val="none"/>
                      <w:lang w:val="en-US" w:eastAsia="zh-CN"/>
                    </w:rPr>
                  </w:pPr>
                  <w:r>
                    <w:rPr>
                      <w:rFonts w:hint="eastAsia" w:ascii="Times New Roman" w:hAnsi="Times New Roman" w:cs="Times New Roman"/>
                      <w:b w:val="0"/>
                      <w:bCs/>
                      <w:color w:val="auto"/>
                      <w:kern w:val="2"/>
                      <w:sz w:val="21"/>
                      <w:szCs w:val="21"/>
                      <w:highlight w:val="none"/>
                      <w:lang w:val="en-US" w:eastAsia="zh-CN"/>
                    </w:rPr>
                    <w:t>4</w:t>
                  </w:r>
                </w:p>
              </w:tc>
              <w:tc>
                <w:tcPr>
                  <w:tcW w:w="1123" w:type="pct"/>
                  <w:tcBorders>
                    <w:tl2br w:val="nil"/>
                    <w:tr2bl w:val="nil"/>
                  </w:tcBorders>
                  <w:shd w:val="clear" w:color="auto" w:fill="auto"/>
                  <w:noWrap/>
                  <w:vAlign w:val="center"/>
                </w:tcPr>
                <w:p w14:paraId="21DA39BE">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kern w:val="2"/>
                      <w:sz w:val="21"/>
                      <w:szCs w:val="21"/>
                      <w:highlight w:val="none"/>
                      <w:lang w:val="en-US" w:eastAsia="zh-CN"/>
                    </w:rPr>
                    <w:t>氯化钠</w:t>
                  </w:r>
                </w:p>
              </w:tc>
              <w:tc>
                <w:tcPr>
                  <w:tcW w:w="1393" w:type="pct"/>
                  <w:tcBorders>
                    <w:tl2br w:val="nil"/>
                    <w:tr2bl w:val="nil"/>
                  </w:tcBorders>
                  <w:noWrap w:val="0"/>
                  <w:vAlign w:val="center"/>
                </w:tcPr>
                <w:p w14:paraId="3CA5ED2F">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kern w:val="0"/>
                      <w:sz w:val="21"/>
                      <w:szCs w:val="21"/>
                      <w:highlight w:val="none"/>
                      <w:lang w:val="en-US" w:eastAsia="zh-CN"/>
                    </w:rPr>
                  </w:pPr>
                  <w:r>
                    <w:rPr>
                      <w:rFonts w:hint="eastAsia" w:ascii="Times New Roman" w:hAnsi="Times New Roman" w:cs="Times New Roman"/>
                      <w:b w:val="0"/>
                      <w:bCs/>
                      <w:color w:val="auto"/>
                      <w:kern w:val="0"/>
                      <w:sz w:val="21"/>
                      <w:szCs w:val="21"/>
                      <w:highlight w:val="none"/>
                      <w:lang w:val="en-US" w:eastAsia="zh-CN"/>
                    </w:rPr>
                    <w:t>1.0</w:t>
                  </w:r>
                  <w:r>
                    <w:rPr>
                      <w:rFonts w:hint="default" w:ascii="Times New Roman" w:hAnsi="Times New Roman" w:cs="Times New Roman"/>
                      <w:b w:val="0"/>
                      <w:bCs/>
                      <w:color w:val="auto"/>
                      <w:kern w:val="0"/>
                      <w:sz w:val="21"/>
                      <w:szCs w:val="21"/>
                      <w:highlight w:val="none"/>
                      <w:lang w:val="en-US" w:eastAsia="zh-CN"/>
                    </w:rPr>
                    <w:t>t/a</w:t>
                  </w:r>
                </w:p>
              </w:tc>
              <w:tc>
                <w:tcPr>
                  <w:tcW w:w="1832" w:type="pct"/>
                  <w:tcBorders>
                    <w:tl2br w:val="nil"/>
                    <w:tr2bl w:val="nil"/>
                  </w:tcBorders>
                  <w:noWrap w:val="0"/>
                  <w:vAlign w:val="center"/>
                </w:tcPr>
                <w:p w14:paraId="3D69CD81">
                  <w:pPr>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lang w:val="en-US" w:eastAsia="zh-CN"/>
                    </w:rPr>
                  </w:pPr>
                  <w:r>
                    <w:rPr>
                      <w:rFonts w:hint="eastAsia" w:cs="Times New Roman"/>
                      <w:b w:val="0"/>
                      <w:bCs/>
                      <w:color w:val="auto"/>
                      <w:kern w:val="2"/>
                      <w:sz w:val="21"/>
                      <w:szCs w:val="21"/>
                      <w:highlight w:val="none"/>
                      <w:lang w:val="en-US" w:eastAsia="zh-CN"/>
                    </w:rPr>
                    <w:t>50kg/袋</w:t>
                  </w:r>
                </w:p>
              </w:tc>
            </w:tr>
            <w:tr w14:paraId="55B9D3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0" w:type="pct"/>
                  <w:tcBorders>
                    <w:tl2br w:val="nil"/>
                    <w:tr2bl w:val="nil"/>
                  </w:tcBorders>
                  <w:noWrap/>
                  <w:vAlign w:val="center"/>
                </w:tcPr>
                <w:p w14:paraId="42D33FA7">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cs="Times New Roman"/>
                      <w:b w:val="0"/>
                      <w:bCs/>
                      <w:color w:val="auto"/>
                      <w:kern w:val="2"/>
                      <w:sz w:val="21"/>
                      <w:szCs w:val="21"/>
                      <w:highlight w:val="none"/>
                      <w:lang w:val="en-US" w:eastAsia="zh-CN"/>
                    </w:rPr>
                  </w:pPr>
                  <w:r>
                    <w:rPr>
                      <w:rFonts w:hint="eastAsia" w:ascii="Times New Roman" w:hAnsi="Times New Roman" w:cs="Times New Roman"/>
                      <w:b w:val="0"/>
                      <w:bCs/>
                      <w:color w:val="auto"/>
                      <w:kern w:val="2"/>
                      <w:sz w:val="21"/>
                      <w:szCs w:val="21"/>
                      <w:highlight w:val="none"/>
                      <w:lang w:val="en-US" w:eastAsia="zh-CN"/>
                    </w:rPr>
                    <w:t>5</w:t>
                  </w:r>
                </w:p>
              </w:tc>
              <w:tc>
                <w:tcPr>
                  <w:tcW w:w="1123" w:type="pct"/>
                  <w:tcBorders>
                    <w:tl2br w:val="nil"/>
                    <w:tr2bl w:val="nil"/>
                  </w:tcBorders>
                  <w:shd w:val="clear" w:color="auto" w:fill="auto"/>
                  <w:noWrap/>
                  <w:vAlign w:val="center"/>
                </w:tcPr>
                <w:p w14:paraId="0CA16ED2">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kern w:val="2"/>
                      <w:sz w:val="21"/>
                      <w:szCs w:val="21"/>
                      <w:highlight w:val="none"/>
                      <w:lang w:val="en-US" w:eastAsia="zh-CN"/>
                    </w:rPr>
                  </w:pPr>
                  <w:r>
                    <w:rPr>
                      <w:rFonts w:hint="eastAsia" w:ascii="Times New Roman" w:hAnsi="Times New Roman" w:cs="Times New Roman"/>
                      <w:b w:val="0"/>
                      <w:bCs/>
                      <w:color w:val="auto"/>
                      <w:kern w:val="2"/>
                      <w:sz w:val="21"/>
                      <w:szCs w:val="21"/>
                      <w:highlight w:val="none"/>
                      <w:lang w:val="en-US" w:eastAsia="zh-CN"/>
                    </w:rPr>
                    <w:t>润滑油</w:t>
                  </w:r>
                </w:p>
              </w:tc>
              <w:tc>
                <w:tcPr>
                  <w:tcW w:w="1393" w:type="pct"/>
                  <w:tcBorders>
                    <w:tl2br w:val="nil"/>
                    <w:tr2bl w:val="nil"/>
                  </w:tcBorders>
                  <w:noWrap w:val="0"/>
                  <w:vAlign w:val="center"/>
                </w:tcPr>
                <w:p w14:paraId="42C1CDDE">
                  <w:pPr>
                    <w:pStyle w:val="85"/>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color w:val="auto"/>
                      <w:kern w:val="0"/>
                      <w:sz w:val="21"/>
                      <w:szCs w:val="21"/>
                      <w:highlight w:val="none"/>
                      <w:lang w:val="en-US" w:eastAsia="zh-CN"/>
                    </w:rPr>
                  </w:pPr>
                  <w:r>
                    <w:rPr>
                      <w:rFonts w:hint="eastAsia" w:ascii="Times New Roman" w:hAnsi="Times New Roman" w:cs="Times New Roman"/>
                      <w:b w:val="0"/>
                      <w:bCs/>
                      <w:color w:val="auto"/>
                      <w:kern w:val="0"/>
                      <w:sz w:val="21"/>
                      <w:szCs w:val="21"/>
                      <w:highlight w:val="none"/>
                      <w:lang w:val="en-US" w:eastAsia="zh-CN"/>
                    </w:rPr>
                    <w:t>0.02</w:t>
                  </w:r>
                  <w:r>
                    <w:rPr>
                      <w:rFonts w:hint="default" w:ascii="Times New Roman" w:hAnsi="Times New Roman" w:cs="Times New Roman"/>
                      <w:b w:val="0"/>
                      <w:bCs/>
                      <w:color w:val="auto"/>
                      <w:kern w:val="0"/>
                      <w:sz w:val="21"/>
                      <w:szCs w:val="21"/>
                      <w:highlight w:val="none"/>
                      <w:lang w:val="en-US" w:eastAsia="zh-CN"/>
                    </w:rPr>
                    <w:t>t/a</w:t>
                  </w:r>
                </w:p>
              </w:tc>
              <w:tc>
                <w:tcPr>
                  <w:tcW w:w="1832" w:type="pct"/>
                  <w:tcBorders>
                    <w:tl2br w:val="nil"/>
                    <w:tr2bl w:val="nil"/>
                  </w:tcBorders>
                  <w:noWrap w:val="0"/>
                  <w:vAlign w:val="center"/>
                </w:tcPr>
                <w:p w14:paraId="2C230DE8">
                  <w:pPr>
                    <w:keepNext w:val="0"/>
                    <w:keepLines w:val="0"/>
                    <w:pageBreakBefore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b w:val="0"/>
                      <w:bCs/>
                      <w:color w:val="auto"/>
                      <w:kern w:val="2"/>
                      <w:sz w:val="21"/>
                      <w:szCs w:val="21"/>
                      <w:highlight w:val="none"/>
                      <w:lang w:val="en-US" w:eastAsia="zh-CN"/>
                    </w:rPr>
                  </w:pPr>
                  <w:r>
                    <w:rPr>
                      <w:rFonts w:hint="eastAsia" w:cs="Times New Roman"/>
                      <w:b w:val="0"/>
                      <w:bCs/>
                      <w:color w:val="auto"/>
                      <w:kern w:val="2"/>
                      <w:sz w:val="21"/>
                      <w:szCs w:val="21"/>
                      <w:highlight w:val="none"/>
                      <w:lang w:val="en-US" w:eastAsia="zh-CN"/>
                    </w:rPr>
                    <w:t>供热站不储存</w:t>
                  </w:r>
                </w:p>
              </w:tc>
            </w:tr>
          </w:tbl>
          <w:p w14:paraId="032DB235">
            <w:pPr>
              <w:adjustRightInd w:val="0"/>
              <w:snapToGrid w:val="0"/>
              <w:spacing w:line="360" w:lineRule="auto"/>
              <w:ind w:firstLine="480" w:firstLineChars="200"/>
              <w:rPr>
                <w:rFonts w:hint="default" w:cs="Times New Roman"/>
                <w:b w:val="0"/>
                <w:bCs w:val="0"/>
                <w:color w:val="auto"/>
                <w:sz w:val="24"/>
                <w:szCs w:val="24"/>
                <w:highlight w:val="green"/>
                <w:lang w:val="en-US" w:eastAsia="zh-CN"/>
              </w:rPr>
            </w:pPr>
            <w:r>
              <w:rPr>
                <w:rFonts w:hint="eastAsia" w:cs="Times New Roman"/>
                <w:b w:val="0"/>
                <w:bCs w:val="0"/>
                <w:color w:val="auto"/>
                <w:sz w:val="24"/>
                <w:szCs w:val="24"/>
                <w:highlight w:val="none"/>
                <w:lang w:eastAsia="zh-CN"/>
              </w:rPr>
              <w:t>（</w:t>
            </w:r>
            <w:r>
              <w:rPr>
                <w:rFonts w:hint="eastAsia" w:cs="Times New Roman"/>
                <w:b w:val="0"/>
                <w:bCs w:val="0"/>
                <w:color w:val="auto"/>
                <w:sz w:val="24"/>
                <w:szCs w:val="24"/>
                <w:highlight w:val="none"/>
                <w:lang w:val="en-US" w:eastAsia="zh-CN"/>
              </w:rPr>
              <w:t>1</w:t>
            </w:r>
            <w:r>
              <w:rPr>
                <w:rFonts w:hint="eastAsia" w:cs="Times New Roman"/>
                <w:b w:val="0"/>
                <w:bCs w:val="0"/>
                <w:color w:val="auto"/>
                <w:sz w:val="24"/>
                <w:szCs w:val="24"/>
                <w:highlight w:val="none"/>
                <w:lang w:eastAsia="zh-CN"/>
              </w:rPr>
              <w:t>）</w:t>
            </w:r>
            <w:r>
              <w:rPr>
                <w:rFonts w:hint="eastAsia" w:cs="Times New Roman"/>
                <w:b w:val="0"/>
                <w:bCs w:val="0"/>
                <w:color w:val="auto"/>
                <w:sz w:val="24"/>
                <w:szCs w:val="24"/>
                <w:highlight w:val="none"/>
                <w:lang w:val="en-US" w:eastAsia="zh-CN"/>
              </w:rPr>
              <w:t>天然气消耗量计算：燃气锅炉耗气量计算公式为：燃气锅炉耗气量(每小时)=燃气锅炉功率*时间/燃料热值/燃气锅炉热值利用率。项目燃料热值按最不利取32.7949MJ/Nm</w:t>
            </w:r>
            <w:r>
              <w:rPr>
                <w:rFonts w:hint="eastAsia" w:cs="Times New Roman"/>
                <w:b w:val="0"/>
                <w:bCs w:val="0"/>
                <w:color w:val="auto"/>
                <w:sz w:val="24"/>
                <w:szCs w:val="24"/>
                <w:highlight w:val="none"/>
                <w:vertAlign w:val="superscript"/>
                <w:lang w:val="en-US" w:eastAsia="zh-CN"/>
              </w:rPr>
              <w:t>3</w:t>
            </w:r>
            <w:r>
              <w:rPr>
                <w:rFonts w:hint="eastAsia" w:cs="Times New Roman"/>
                <w:b w:val="0"/>
                <w:bCs w:val="0"/>
                <w:color w:val="auto"/>
                <w:sz w:val="24"/>
                <w:szCs w:val="24"/>
                <w:highlight w:val="none"/>
                <w:vertAlign w:val="baseline"/>
                <w:lang w:val="en-US" w:eastAsia="zh-CN"/>
              </w:rPr>
              <w:t>，锅炉热力利用率取98.6%</w:t>
            </w:r>
            <w:r>
              <w:rPr>
                <w:rFonts w:hint="eastAsia" w:cs="Times New Roman"/>
                <w:b w:val="0"/>
                <w:bCs w:val="0"/>
                <w:color w:val="auto"/>
                <w:sz w:val="24"/>
                <w:szCs w:val="24"/>
                <w:highlight w:val="none"/>
                <w:lang w:val="en-US" w:eastAsia="zh-CN"/>
              </w:rPr>
              <w:t>计算，燃气锅炉耗气量=2.1MW*3600s/32.7949MJ/Nm</w:t>
            </w:r>
            <w:r>
              <w:rPr>
                <w:rFonts w:hint="eastAsia" w:cs="Times New Roman"/>
                <w:b w:val="0"/>
                <w:bCs w:val="0"/>
                <w:color w:val="auto"/>
                <w:sz w:val="24"/>
                <w:szCs w:val="24"/>
                <w:highlight w:val="none"/>
                <w:vertAlign w:val="superscript"/>
                <w:lang w:val="en-US" w:eastAsia="zh-CN"/>
              </w:rPr>
              <w:t>3</w:t>
            </w:r>
            <w:r>
              <w:rPr>
                <w:rFonts w:hint="eastAsia" w:cs="Times New Roman"/>
                <w:b w:val="0"/>
                <w:bCs w:val="0"/>
                <w:color w:val="auto"/>
                <w:sz w:val="24"/>
                <w:szCs w:val="24"/>
                <w:highlight w:val="none"/>
                <w:lang w:val="en-US" w:eastAsia="zh-CN"/>
              </w:rPr>
              <w:t>/98.6%=233.8m</w:t>
            </w:r>
            <w:r>
              <w:rPr>
                <w:rFonts w:hint="eastAsia" w:cs="Times New Roman"/>
                <w:b w:val="0"/>
                <w:bCs w:val="0"/>
                <w:color w:val="auto"/>
                <w:sz w:val="24"/>
                <w:szCs w:val="24"/>
                <w:highlight w:val="none"/>
                <w:vertAlign w:val="superscript"/>
                <w:lang w:val="en-US" w:eastAsia="zh-CN"/>
              </w:rPr>
              <w:t>3</w:t>
            </w:r>
            <w:r>
              <w:rPr>
                <w:rFonts w:hint="eastAsia" w:cs="Times New Roman"/>
                <w:b w:val="0"/>
                <w:bCs w:val="0"/>
                <w:color w:val="auto"/>
                <w:sz w:val="24"/>
                <w:szCs w:val="24"/>
                <w:highlight w:val="none"/>
                <w:lang w:val="en-US" w:eastAsia="zh-CN"/>
              </w:rPr>
              <w:t>/h。</w:t>
            </w:r>
          </w:p>
          <w:p w14:paraId="24565483">
            <w:pPr>
              <w:adjustRightInd w:val="0"/>
              <w:snapToGrid w:val="0"/>
              <w:spacing w:line="360" w:lineRule="auto"/>
              <w:ind w:firstLine="480" w:firstLineChars="20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（2）主要原辅材料理化性质</w:t>
            </w:r>
          </w:p>
          <w:p w14:paraId="0899BCB6">
            <w:pPr>
              <w:adjustRightInd w:val="0"/>
              <w:snapToGrid w:val="0"/>
              <w:spacing w:line="360" w:lineRule="auto"/>
              <w:ind w:firstLine="480" w:firstLineChars="20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天然气：天然气是存在于地下岩石储集层中以烃为主体的混合气体的统称，比重约0.65，比空气轻，具有无色、无味之特性。</w:t>
            </w:r>
          </w:p>
          <w:p w14:paraId="0231D2DA">
            <w:pPr>
              <w:adjustRightInd w:val="0"/>
              <w:snapToGrid w:val="0"/>
              <w:spacing w:line="360" w:lineRule="auto"/>
              <w:ind w:firstLine="480" w:firstLineChars="20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rPr>
              <w:t>天然气不溶于水，密度为0.71</w:t>
            </w:r>
            <w:r>
              <w:rPr>
                <w:rFonts w:hint="eastAsia" w:cs="Times New Roman"/>
                <w:b w:val="0"/>
                <w:bCs w:val="0"/>
                <w:color w:val="auto"/>
                <w:sz w:val="24"/>
                <w:szCs w:val="24"/>
                <w:highlight w:val="none"/>
                <w:lang w:val="en-US" w:eastAsia="zh-CN"/>
              </w:rPr>
              <w:t>99</w:t>
            </w:r>
            <w:r>
              <w:rPr>
                <w:rFonts w:hint="default" w:ascii="Times New Roman" w:hAnsi="Times New Roman" w:eastAsia="宋体" w:cs="Times New Roman"/>
                <w:b w:val="0"/>
                <w:bCs w:val="0"/>
                <w:color w:val="auto"/>
                <w:sz w:val="24"/>
                <w:szCs w:val="24"/>
                <w:highlight w:val="none"/>
              </w:rPr>
              <w:t>kg/Nm</w:t>
            </w:r>
            <w:r>
              <w:rPr>
                <w:rFonts w:hint="default" w:ascii="Times New Roman" w:hAnsi="Times New Roman" w:eastAsia="宋体" w:cs="Times New Roman"/>
                <w:b w:val="0"/>
                <w:bCs w:val="0"/>
                <w:color w:val="auto"/>
                <w:sz w:val="24"/>
                <w:szCs w:val="24"/>
                <w:highlight w:val="none"/>
                <w:vertAlign w:val="superscript"/>
              </w:rPr>
              <w:t>3</w:t>
            </w:r>
            <w:r>
              <w:rPr>
                <w:rFonts w:hint="default" w:ascii="Times New Roman" w:hAnsi="Times New Roman" w:eastAsia="宋体" w:cs="Times New Roman"/>
                <w:b w:val="0"/>
                <w:bCs w:val="0"/>
                <w:color w:val="auto"/>
                <w:sz w:val="24"/>
                <w:szCs w:val="24"/>
                <w:highlight w:val="none"/>
              </w:rPr>
              <w:t>，相对密度（水）为约0.45（液化）燃点</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为650，爆炸极限</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V%</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为5-15。在标准状况下，甲烷至丁烷以气体状态存在，戊烷以上为液体。</w:t>
            </w:r>
            <w:r>
              <w:rPr>
                <w:rFonts w:hint="eastAsia" w:cs="Times New Roman"/>
                <w:b w:val="0"/>
                <w:bCs w:val="0"/>
                <w:color w:val="auto"/>
                <w:sz w:val="24"/>
                <w:szCs w:val="24"/>
                <w:highlight w:val="none"/>
                <w:lang w:val="en-US" w:eastAsia="zh-CN"/>
              </w:rPr>
              <w:t>根据建设单位提供</w:t>
            </w:r>
            <w:r>
              <w:rPr>
                <w:rFonts w:hint="eastAsia" w:ascii="Times New Roman" w:hAnsi="Times New Roman" w:eastAsia="宋体" w:cs="Times New Roman"/>
                <w:b w:val="0"/>
                <w:bCs w:val="0"/>
                <w:color w:val="auto"/>
                <w:sz w:val="24"/>
                <w:szCs w:val="24"/>
                <w:highlight w:val="none"/>
                <w:lang w:val="en-US" w:eastAsia="zh-CN"/>
              </w:rPr>
              <w:t>项目天然气成分见下表。</w:t>
            </w:r>
          </w:p>
          <w:p w14:paraId="7970B402">
            <w:pPr>
              <w:adjustRightInd w:val="0"/>
              <w:snapToGrid w:val="0"/>
              <w:spacing w:line="240" w:lineRule="auto"/>
              <w:ind w:firstLine="482" w:firstLineChars="20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表2-</w:t>
            </w:r>
            <w:r>
              <w:rPr>
                <w:rFonts w:hint="eastAsia"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 xml:space="preserve">    项目天然气组分表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860"/>
              <w:gridCol w:w="1002"/>
              <w:gridCol w:w="860"/>
              <w:gridCol w:w="1007"/>
              <w:gridCol w:w="916"/>
              <w:gridCol w:w="782"/>
              <w:gridCol w:w="782"/>
              <w:gridCol w:w="1412"/>
            </w:tblGrid>
            <w:tr w14:paraId="79E871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1" w:type="pct"/>
                  <w:tcBorders>
                    <w:tl2br w:val="nil"/>
                    <w:tr2bl w:val="nil"/>
                  </w:tcBorders>
                  <w:noWrap w:val="0"/>
                  <w:vAlign w:val="center"/>
                </w:tcPr>
                <w:p w14:paraId="56B4866A">
                  <w:pPr>
                    <w:pStyle w:val="177"/>
                    <w:rPr>
                      <w:b/>
                      <w:bCs w:val="0"/>
                      <w:color w:val="auto"/>
                      <w:sz w:val="21"/>
                      <w:szCs w:val="21"/>
                      <w:highlight w:val="none"/>
                    </w:rPr>
                  </w:pPr>
                  <w:r>
                    <w:rPr>
                      <w:rFonts w:hint="eastAsia"/>
                      <w:b/>
                      <w:bCs w:val="0"/>
                      <w:color w:val="auto"/>
                      <w:sz w:val="21"/>
                      <w:szCs w:val="21"/>
                      <w:highlight w:val="none"/>
                    </w:rPr>
                    <w:t>名称</w:t>
                  </w:r>
                </w:p>
              </w:tc>
              <w:tc>
                <w:tcPr>
                  <w:tcW w:w="4359" w:type="pct"/>
                  <w:gridSpan w:val="8"/>
                  <w:tcBorders>
                    <w:tl2br w:val="nil"/>
                    <w:tr2bl w:val="nil"/>
                  </w:tcBorders>
                  <w:noWrap w:val="0"/>
                  <w:vAlign w:val="center"/>
                </w:tcPr>
                <w:p w14:paraId="7E0698CD">
                  <w:pPr>
                    <w:pStyle w:val="177"/>
                    <w:rPr>
                      <w:b/>
                      <w:bCs w:val="0"/>
                      <w:color w:val="auto"/>
                      <w:sz w:val="21"/>
                      <w:szCs w:val="21"/>
                      <w:highlight w:val="none"/>
                    </w:rPr>
                  </w:pPr>
                  <w:r>
                    <w:rPr>
                      <w:rFonts w:hint="eastAsia"/>
                      <w:b/>
                      <w:bCs w:val="0"/>
                      <w:color w:val="auto"/>
                      <w:sz w:val="21"/>
                      <w:szCs w:val="21"/>
                      <w:highlight w:val="none"/>
                    </w:rPr>
                    <w:t>参数</w:t>
                  </w:r>
                </w:p>
              </w:tc>
            </w:tr>
            <w:tr w14:paraId="6E494D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1" w:type="pct"/>
                  <w:tcBorders>
                    <w:tl2br w:val="nil"/>
                    <w:tr2bl w:val="nil"/>
                  </w:tcBorders>
                  <w:noWrap w:val="0"/>
                  <w:vAlign w:val="center"/>
                </w:tcPr>
                <w:p w14:paraId="15D41C51">
                  <w:pPr>
                    <w:pStyle w:val="177"/>
                    <w:rPr>
                      <w:color w:val="auto"/>
                      <w:sz w:val="21"/>
                      <w:szCs w:val="21"/>
                      <w:highlight w:val="none"/>
                    </w:rPr>
                  </w:pPr>
                  <w:r>
                    <w:rPr>
                      <w:rFonts w:hint="eastAsia"/>
                      <w:color w:val="auto"/>
                      <w:sz w:val="21"/>
                      <w:szCs w:val="21"/>
                      <w:highlight w:val="none"/>
                    </w:rPr>
                    <w:t>组分</w:t>
                  </w:r>
                </w:p>
              </w:tc>
              <w:tc>
                <w:tcPr>
                  <w:tcW w:w="492" w:type="pct"/>
                  <w:tcBorders>
                    <w:tl2br w:val="nil"/>
                    <w:tr2bl w:val="nil"/>
                  </w:tcBorders>
                  <w:noWrap w:val="0"/>
                  <w:vAlign w:val="center"/>
                </w:tcPr>
                <w:p w14:paraId="48C96A9E">
                  <w:pPr>
                    <w:pStyle w:val="177"/>
                    <w:rPr>
                      <w:color w:val="auto"/>
                      <w:sz w:val="21"/>
                      <w:szCs w:val="21"/>
                      <w:highlight w:val="none"/>
                    </w:rPr>
                  </w:pPr>
                  <w:r>
                    <w:rPr>
                      <w:color w:val="auto"/>
                      <w:sz w:val="21"/>
                      <w:szCs w:val="21"/>
                      <w:highlight w:val="none"/>
                    </w:rPr>
                    <w:t>CH</w:t>
                  </w:r>
                  <w:r>
                    <w:rPr>
                      <w:color w:val="auto"/>
                      <w:sz w:val="21"/>
                      <w:szCs w:val="21"/>
                      <w:highlight w:val="none"/>
                      <w:vertAlign w:val="subscript"/>
                    </w:rPr>
                    <w:t>4</w:t>
                  </w:r>
                </w:p>
              </w:tc>
              <w:tc>
                <w:tcPr>
                  <w:tcW w:w="573" w:type="pct"/>
                  <w:tcBorders>
                    <w:tl2br w:val="nil"/>
                    <w:tr2bl w:val="nil"/>
                  </w:tcBorders>
                  <w:noWrap w:val="0"/>
                  <w:vAlign w:val="center"/>
                </w:tcPr>
                <w:p w14:paraId="3623ED23">
                  <w:pPr>
                    <w:pStyle w:val="177"/>
                    <w:rPr>
                      <w:color w:val="auto"/>
                      <w:sz w:val="21"/>
                      <w:szCs w:val="21"/>
                      <w:highlight w:val="none"/>
                    </w:rPr>
                  </w:pPr>
                  <w:r>
                    <w:rPr>
                      <w:color w:val="auto"/>
                      <w:sz w:val="21"/>
                      <w:szCs w:val="21"/>
                      <w:highlight w:val="none"/>
                    </w:rPr>
                    <w:t>C</w:t>
                  </w:r>
                  <w:r>
                    <w:rPr>
                      <w:color w:val="auto"/>
                      <w:sz w:val="21"/>
                      <w:szCs w:val="21"/>
                      <w:highlight w:val="none"/>
                      <w:vertAlign w:val="subscript"/>
                    </w:rPr>
                    <w:t>2</w:t>
                  </w:r>
                  <w:r>
                    <w:rPr>
                      <w:color w:val="auto"/>
                      <w:sz w:val="21"/>
                      <w:szCs w:val="21"/>
                      <w:highlight w:val="none"/>
                    </w:rPr>
                    <w:t>H</w:t>
                  </w:r>
                  <w:r>
                    <w:rPr>
                      <w:color w:val="auto"/>
                      <w:sz w:val="21"/>
                      <w:szCs w:val="21"/>
                      <w:highlight w:val="none"/>
                      <w:vertAlign w:val="subscript"/>
                    </w:rPr>
                    <w:t>6</w:t>
                  </w:r>
                </w:p>
              </w:tc>
              <w:tc>
                <w:tcPr>
                  <w:tcW w:w="492" w:type="pct"/>
                  <w:tcBorders>
                    <w:tl2br w:val="nil"/>
                    <w:tr2bl w:val="nil"/>
                  </w:tcBorders>
                  <w:noWrap w:val="0"/>
                  <w:vAlign w:val="center"/>
                </w:tcPr>
                <w:p w14:paraId="13AAE4DE">
                  <w:pPr>
                    <w:pStyle w:val="177"/>
                    <w:rPr>
                      <w:color w:val="auto"/>
                      <w:sz w:val="21"/>
                      <w:szCs w:val="21"/>
                      <w:highlight w:val="none"/>
                    </w:rPr>
                  </w:pPr>
                  <w:r>
                    <w:rPr>
                      <w:color w:val="auto"/>
                      <w:sz w:val="21"/>
                      <w:szCs w:val="21"/>
                      <w:highlight w:val="none"/>
                    </w:rPr>
                    <w:t>C</w:t>
                  </w:r>
                  <w:r>
                    <w:rPr>
                      <w:color w:val="auto"/>
                      <w:sz w:val="21"/>
                      <w:szCs w:val="21"/>
                      <w:highlight w:val="none"/>
                      <w:vertAlign w:val="subscript"/>
                    </w:rPr>
                    <w:t>3</w:t>
                  </w:r>
                  <w:r>
                    <w:rPr>
                      <w:color w:val="auto"/>
                      <w:sz w:val="21"/>
                      <w:szCs w:val="21"/>
                      <w:highlight w:val="none"/>
                    </w:rPr>
                    <w:t>H</w:t>
                  </w:r>
                  <w:r>
                    <w:rPr>
                      <w:color w:val="auto"/>
                      <w:sz w:val="21"/>
                      <w:szCs w:val="21"/>
                      <w:highlight w:val="none"/>
                      <w:vertAlign w:val="subscript"/>
                    </w:rPr>
                    <w:t>8</w:t>
                  </w:r>
                </w:p>
              </w:tc>
              <w:tc>
                <w:tcPr>
                  <w:tcW w:w="576" w:type="pct"/>
                  <w:tcBorders>
                    <w:tl2br w:val="nil"/>
                    <w:tr2bl w:val="nil"/>
                  </w:tcBorders>
                  <w:noWrap w:val="0"/>
                  <w:vAlign w:val="center"/>
                </w:tcPr>
                <w:p w14:paraId="493812E9">
                  <w:pPr>
                    <w:pStyle w:val="177"/>
                    <w:rPr>
                      <w:rFonts w:hint="default" w:eastAsia="宋体"/>
                      <w:color w:val="auto"/>
                      <w:sz w:val="21"/>
                      <w:szCs w:val="21"/>
                      <w:highlight w:val="none"/>
                      <w:lang w:val="en-US" w:eastAsia="zh-CN"/>
                    </w:rPr>
                  </w:pPr>
                  <w:r>
                    <w:rPr>
                      <w:color w:val="auto"/>
                      <w:sz w:val="21"/>
                      <w:szCs w:val="21"/>
                      <w:highlight w:val="none"/>
                    </w:rPr>
                    <w:t>iC</w:t>
                  </w:r>
                  <w:r>
                    <w:rPr>
                      <w:color w:val="auto"/>
                      <w:sz w:val="21"/>
                      <w:szCs w:val="21"/>
                      <w:highlight w:val="none"/>
                      <w:vertAlign w:val="subscript"/>
                    </w:rPr>
                    <w:t>4</w:t>
                  </w:r>
                  <w:r>
                    <w:rPr>
                      <w:color w:val="auto"/>
                      <w:sz w:val="21"/>
                      <w:szCs w:val="21"/>
                      <w:highlight w:val="none"/>
                    </w:rPr>
                    <w:t>H</w:t>
                  </w:r>
                  <w:r>
                    <w:rPr>
                      <w:rFonts w:hint="eastAsia"/>
                      <w:color w:val="auto"/>
                      <w:sz w:val="21"/>
                      <w:szCs w:val="21"/>
                      <w:highlight w:val="none"/>
                      <w:vertAlign w:val="subscript"/>
                      <w:lang w:val="en-US" w:eastAsia="zh-CN"/>
                    </w:rPr>
                    <w:t>10</w:t>
                  </w:r>
                </w:p>
              </w:tc>
              <w:tc>
                <w:tcPr>
                  <w:tcW w:w="524" w:type="pct"/>
                  <w:tcBorders>
                    <w:tl2br w:val="nil"/>
                    <w:tr2bl w:val="nil"/>
                  </w:tcBorders>
                  <w:noWrap w:val="0"/>
                  <w:vAlign w:val="center"/>
                </w:tcPr>
                <w:p w14:paraId="255C09D8">
                  <w:pPr>
                    <w:pStyle w:val="177"/>
                    <w:rPr>
                      <w:color w:val="auto"/>
                      <w:sz w:val="21"/>
                      <w:szCs w:val="21"/>
                      <w:highlight w:val="none"/>
                    </w:rPr>
                  </w:pPr>
                  <w:r>
                    <w:rPr>
                      <w:color w:val="auto"/>
                      <w:sz w:val="21"/>
                      <w:szCs w:val="21"/>
                      <w:highlight w:val="none"/>
                    </w:rPr>
                    <w:t>nC</w:t>
                  </w:r>
                  <w:r>
                    <w:rPr>
                      <w:color w:val="auto"/>
                      <w:sz w:val="21"/>
                      <w:szCs w:val="21"/>
                      <w:highlight w:val="none"/>
                      <w:vertAlign w:val="subscript"/>
                    </w:rPr>
                    <w:t>4</w:t>
                  </w:r>
                  <w:r>
                    <w:rPr>
                      <w:color w:val="auto"/>
                      <w:sz w:val="21"/>
                      <w:szCs w:val="21"/>
                      <w:highlight w:val="none"/>
                    </w:rPr>
                    <w:t>H</w:t>
                  </w:r>
                  <w:r>
                    <w:rPr>
                      <w:rFonts w:hint="eastAsia"/>
                      <w:color w:val="auto"/>
                      <w:sz w:val="21"/>
                      <w:szCs w:val="21"/>
                      <w:highlight w:val="none"/>
                      <w:vertAlign w:val="subscript"/>
                      <w:lang w:val="en-US" w:eastAsia="zh-CN"/>
                    </w:rPr>
                    <w:t>10</w:t>
                  </w:r>
                </w:p>
              </w:tc>
              <w:tc>
                <w:tcPr>
                  <w:tcW w:w="447" w:type="pct"/>
                  <w:tcBorders>
                    <w:tl2br w:val="nil"/>
                    <w:tr2bl w:val="nil"/>
                  </w:tcBorders>
                  <w:noWrap w:val="0"/>
                  <w:vAlign w:val="center"/>
                </w:tcPr>
                <w:p w14:paraId="309FE2F8">
                  <w:pPr>
                    <w:pStyle w:val="177"/>
                    <w:rPr>
                      <w:color w:val="auto"/>
                      <w:sz w:val="21"/>
                      <w:szCs w:val="21"/>
                      <w:highlight w:val="none"/>
                    </w:rPr>
                  </w:pPr>
                  <w:r>
                    <w:rPr>
                      <w:color w:val="auto"/>
                      <w:sz w:val="21"/>
                      <w:szCs w:val="21"/>
                      <w:highlight w:val="none"/>
                    </w:rPr>
                    <w:t>C</w:t>
                  </w:r>
                  <w:r>
                    <w:rPr>
                      <w:color w:val="auto"/>
                      <w:sz w:val="21"/>
                      <w:szCs w:val="21"/>
                      <w:highlight w:val="none"/>
                      <w:vertAlign w:val="subscript"/>
                    </w:rPr>
                    <w:t>5</w:t>
                  </w:r>
                </w:p>
              </w:tc>
              <w:tc>
                <w:tcPr>
                  <w:tcW w:w="447" w:type="pct"/>
                  <w:tcBorders>
                    <w:tl2br w:val="nil"/>
                    <w:tr2bl w:val="nil"/>
                  </w:tcBorders>
                  <w:noWrap w:val="0"/>
                  <w:vAlign w:val="center"/>
                </w:tcPr>
                <w:p w14:paraId="3BE1A277">
                  <w:pPr>
                    <w:pStyle w:val="177"/>
                    <w:rPr>
                      <w:color w:val="auto"/>
                      <w:sz w:val="21"/>
                      <w:szCs w:val="21"/>
                      <w:highlight w:val="none"/>
                    </w:rPr>
                  </w:pPr>
                  <w:r>
                    <w:rPr>
                      <w:color w:val="auto"/>
                      <w:sz w:val="21"/>
                      <w:szCs w:val="21"/>
                      <w:highlight w:val="none"/>
                    </w:rPr>
                    <w:t>CO</w:t>
                  </w:r>
                  <w:r>
                    <w:rPr>
                      <w:color w:val="auto"/>
                      <w:sz w:val="21"/>
                      <w:szCs w:val="21"/>
                      <w:highlight w:val="none"/>
                      <w:vertAlign w:val="subscript"/>
                    </w:rPr>
                    <w:t>2</w:t>
                  </w:r>
                </w:p>
              </w:tc>
              <w:tc>
                <w:tcPr>
                  <w:tcW w:w="807" w:type="pct"/>
                  <w:tcBorders>
                    <w:tl2br w:val="nil"/>
                    <w:tr2bl w:val="nil"/>
                  </w:tcBorders>
                  <w:noWrap w:val="0"/>
                  <w:vAlign w:val="center"/>
                </w:tcPr>
                <w:p w14:paraId="3450A957">
                  <w:pPr>
                    <w:pStyle w:val="177"/>
                    <w:rPr>
                      <w:color w:val="auto"/>
                      <w:sz w:val="21"/>
                      <w:szCs w:val="21"/>
                      <w:highlight w:val="none"/>
                    </w:rPr>
                  </w:pPr>
                  <w:r>
                    <w:rPr>
                      <w:color w:val="auto"/>
                      <w:sz w:val="21"/>
                      <w:szCs w:val="21"/>
                      <w:highlight w:val="none"/>
                    </w:rPr>
                    <w:t>H</w:t>
                  </w:r>
                  <w:r>
                    <w:rPr>
                      <w:color w:val="auto"/>
                      <w:sz w:val="21"/>
                      <w:szCs w:val="21"/>
                      <w:highlight w:val="none"/>
                      <w:vertAlign w:val="subscript"/>
                    </w:rPr>
                    <w:t>2</w:t>
                  </w:r>
                  <w:r>
                    <w:rPr>
                      <w:color w:val="auto"/>
                      <w:sz w:val="21"/>
                      <w:szCs w:val="21"/>
                      <w:highlight w:val="none"/>
                    </w:rPr>
                    <w:t>S</w:t>
                  </w:r>
                </w:p>
              </w:tc>
            </w:tr>
            <w:tr w14:paraId="44EDFD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1" w:type="pct"/>
                  <w:tcBorders>
                    <w:tl2br w:val="nil"/>
                    <w:tr2bl w:val="nil"/>
                  </w:tcBorders>
                  <w:noWrap w:val="0"/>
                  <w:vAlign w:val="center"/>
                </w:tcPr>
                <w:p w14:paraId="3C625E39">
                  <w:pPr>
                    <w:pStyle w:val="177"/>
                    <w:rPr>
                      <w:color w:val="auto"/>
                      <w:sz w:val="21"/>
                      <w:szCs w:val="21"/>
                      <w:highlight w:val="none"/>
                    </w:rPr>
                  </w:pPr>
                  <w:r>
                    <w:rPr>
                      <w:rFonts w:hint="eastAsia"/>
                      <w:color w:val="auto"/>
                      <w:sz w:val="21"/>
                      <w:szCs w:val="21"/>
                      <w:highlight w:val="none"/>
                    </w:rPr>
                    <w:t>体积（</w:t>
                  </w:r>
                  <w:r>
                    <w:rPr>
                      <w:color w:val="auto"/>
                      <w:sz w:val="21"/>
                      <w:szCs w:val="21"/>
                      <w:highlight w:val="none"/>
                    </w:rPr>
                    <w:t>%</w:t>
                  </w:r>
                  <w:r>
                    <w:rPr>
                      <w:rFonts w:hint="eastAsia"/>
                      <w:color w:val="auto"/>
                      <w:sz w:val="21"/>
                      <w:szCs w:val="21"/>
                      <w:highlight w:val="none"/>
                    </w:rPr>
                    <w:t>）</w:t>
                  </w:r>
                </w:p>
              </w:tc>
              <w:tc>
                <w:tcPr>
                  <w:tcW w:w="492" w:type="pct"/>
                  <w:tcBorders>
                    <w:tl2br w:val="nil"/>
                    <w:tr2bl w:val="nil"/>
                  </w:tcBorders>
                  <w:noWrap w:val="0"/>
                  <w:vAlign w:val="center"/>
                </w:tcPr>
                <w:p w14:paraId="09DD2F4B">
                  <w:pPr>
                    <w:pStyle w:val="177"/>
                    <w:rPr>
                      <w:rFonts w:hint="default" w:eastAsia="宋体"/>
                      <w:color w:val="auto"/>
                      <w:sz w:val="21"/>
                      <w:szCs w:val="21"/>
                      <w:highlight w:val="none"/>
                      <w:lang w:val="en-US" w:eastAsia="zh-CN"/>
                    </w:rPr>
                  </w:pPr>
                  <w:r>
                    <w:rPr>
                      <w:rFonts w:hint="eastAsia"/>
                      <w:color w:val="auto"/>
                      <w:sz w:val="21"/>
                      <w:szCs w:val="21"/>
                      <w:highlight w:val="none"/>
                      <w:lang w:val="en-US" w:eastAsia="zh-CN"/>
                    </w:rPr>
                    <w:t>95.344</w:t>
                  </w:r>
                </w:p>
              </w:tc>
              <w:tc>
                <w:tcPr>
                  <w:tcW w:w="573" w:type="pct"/>
                  <w:tcBorders>
                    <w:tl2br w:val="nil"/>
                    <w:tr2bl w:val="nil"/>
                  </w:tcBorders>
                  <w:noWrap w:val="0"/>
                  <w:vAlign w:val="center"/>
                </w:tcPr>
                <w:p w14:paraId="6CE9F858">
                  <w:pPr>
                    <w:pStyle w:val="177"/>
                    <w:rPr>
                      <w:rFonts w:hint="default" w:eastAsia="宋体"/>
                      <w:color w:val="auto"/>
                      <w:sz w:val="21"/>
                      <w:szCs w:val="21"/>
                      <w:highlight w:val="none"/>
                      <w:lang w:val="en-US" w:eastAsia="zh-CN"/>
                    </w:rPr>
                  </w:pPr>
                  <w:r>
                    <w:rPr>
                      <w:rFonts w:hint="eastAsia"/>
                      <w:color w:val="auto"/>
                      <w:sz w:val="21"/>
                      <w:szCs w:val="21"/>
                      <w:highlight w:val="none"/>
                      <w:lang w:val="en-US" w:eastAsia="zh-CN"/>
                    </w:rPr>
                    <w:t>1.163</w:t>
                  </w:r>
                </w:p>
              </w:tc>
              <w:tc>
                <w:tcPr>
                  <w:tcW w:w="492" w:type="pct"/>
                  <w:tcBorders>
                    <w:tl2br w:val="nil"/>
                    <w:tr2bl w:val="nil"/>
                  </w:tcBorders>
                  <w:noWrap w:val="0"/>
                  <w:vAlign w:val="center"/>
                </w:tcPr>
                <w:p w14:paraId="02E22077">
                  <w:pPr>
                    <w:pStyle w:val="177"/>
                    <w:rPr>
                      <w:rFonts w:hint="default" w:eastAsia="宋体"/>
                      <w:color w:val="auto"/>
                      <w:sz w:val="21"/>
                      <w:szCs w:val="21"/>
                      <w:highlight w:val="none"/>
                      <w:lang w:val="en-US" w:eastAsia="zh-CN"/>
                    </w:rPr>
                  </w:pPr>
                  <w:r>
                    <w:rPr>
                      <w:rFonts w:hint="eastAsia"/>
                      <w:color w:val="auto"/>
                      <w:sz w:val="21"/>
                      <w:szCs w:val="21"/>
                      <w:highlight w:val="none"/>
                      <w:lang w:val="en-US" w:eastAsia="zh-CN"/>
                    </w:rPr>
                    <w:t>0.160</w:t>
                  </w:r>
                </w:p>
              </w:tc>
              <w:tc>
                <w:tcPr>
                  <w:tcW w:w="576" w:type="pct"/>
                  <w:tcBorders>
                    <w:tl2br w:val="nil"/>
                    <w:tr2bl w:val="nil"/>
                  </w:tcBorders>
                  <w:noWrap w:val="0"/>
                  <w:vAlign w:val="center"/>
                </w:tcPr>
                <w:p w14:paraId="04AB5871">
                  <w:pPr>
                    <w:pStyle w:val="177"/>
                    <w:rPr>
                      <w:rFonts w:hint="eastAsia" w:eastAsia="宋体"/>
                      <w:color w:val="auto"/>
                      <w:sz w:val="21"/>
                      <w:szCs w:val="21"/>
                      <w:highlight w:val="none"/>
                      <w:lang w:val="en-US" w:eastAsia="zh-CN"/>
                    </w:rPr>
                  </w:pPr>
                  <w:r>
                    <w:rPr>
                      <w:color w:val="auto"/>
                      <w:sz w:val="21"/>
                      <w:szCs w:val="21"/>
                      <w:highlight w:val="none"/>
                    </w:rPr>
                    <w:t>0.02</w:t>
                  </w:r>
                  <w:r>
                    <w:rPr>
                      <w:rFonts w:hint="eastAsia"/>
                      <w:color w:val="auto"/>
                      <w:sz w:val="21"/>
                      <w:szCs w:val="21"/>
                      <w:highlight w:val="none"/>
                      <w:lang w:val="en-US" w:eastAsia="zh-CN"/>
                    </w:rPr>
                    <w:t>6</w:t>
                  </w:r>
                </w:p>
              </w:tc>
              <w:tc>
                <w:tcPr>
                  <w:tcW w:w="524" w:type="pct"/>
                  <w:tcBorders>
                    <w:tl2br w:val="nil"/>
                    <w:tr2bl w:val="nil"/>
                  </w:tcBorders>
                  <w:noWrap w:val="0"/>
                  <w:vAlign w:val="center"/>
                </w:tcPr>
                <w:p w14:paraId="51136B25">
                  <w:pPr>
                    <w:pStyle w:val="177"/>
                    <w:rPr>
                      <w:rFonts w:hint="default" w:eastAsia="宋体"/>
                      <w:color w:val="auto"/>
                      <w:sz w:val="21"/>
                      <w:szCs w:val="21"/>
                      <w:highlight w:val="none"/>
                      <w:lang w:val="en-US" w:eastAsia="zh-CN"/>
                    </w:rPr>
                  </w:pPr>
                  <w:r>
                    <w:rPr>
                      <w:color w:val="auto"/>
                      <w:sz w:val="21"/>
                      <w:szCs w:val="21"/>
                      <w:highlight w:val="none"/>
                    </w:rPr>
                    <w:t>0.0</w:t>
                  </w:r>
                  <w:r>
                    <w:rPr>
                      <w:rFonts w:hint="eastAsia"/>
                      <w:color w:val="auto"/>
                      <w:sz w:val="21"/>
                      <w:szCs w:val="21"/>
                      <w:highlight w:val="none"/>
                      <w:lang w:val="en-US" w:eastAsia="zh-CN"/>
                    </w:rPr>
                    <w:t>25</w:t>
                  </w:r>
                </w:p>
              </w:tc>
              <w:tc>
                <w:tcPr>
                  <w:tcW w:w="447" w:type="pct"/>
                  <w:tcBorders>
                    <w:tl2br w:val="nil"/>
                    <w:tr2bl w:val="nil"/>
                  </w:tcBorders>
                  <w:noWrap w:val="0"/>
                  <w:vAlign w:val="center"/>
                </w:tcPr>
                <w:p w14:paraId="28773A76">
                  <w:pPr>
                    <w:pStyle w:val="177"/>
                    <w:rPr>
                      <w:color w:val="auto"/>
                      <w:sz w:val="21"/>
                      <w:szCs w:val="21"/>
                      <w:highlight w:val="none"/>
                    </w:rPr>
                  </w:pPr>
                  <w:r>
                    <w:rPr>
                      <w:color w:val="auto"/>
                      <w:sz w:val="21"/>
                      <w:szCs w:val="21"/>
                      <w:highlight w:val="none"/>
                    </w:rPr>
                    <w:t>0.0</w:t>
                  </w:r>
                  <w:r>
                    <w:rPr>
                      <w:rFonts w:hint="eastAsia"/>
                      <w:color w:val="auto"/>
                      <w:sz w:val="21"/>
                      <w:szCs w:val="21"/>
                      <w:highlight w:val="none"/>
                      <w:lang w:val="en-US" w:eastAsia="zh-CN"/>
                    </w:rPr>
                    <w:t>16</w:t>
                  </w:r>
                </w:p>
              </w:tc>
              <w:tc>
                <w:tcPr>
                  <w:tcW w:w="447" w:type="pct"/>
                  <w:tcBorders>
                    <w:tl2br w:val="nil"/>
                    <w:tr2bl w:val="nil"/>
                  </w:tcBorders>
                  <w:noWrap w:val="0"/>
                  <w:vAlign w:val="center"/>
                </w:tcPr>
                <w:p w14:paraId="217F3D27">
                  <w:pPr>
                    <w:pStyle w:val="177"/>
                    <w:rPr>
                      <w:rFonts w:hint="default" w:eastAsia="宋体"/>
                      <w:color w:val="auto"/>
                      <w:sz w:val="21"/>
                      <w:szCs w:val="21"/>
                      <w:highlight w:val="none"/>
                      <w:lang w:val="en-US" w:eastAsia="zh-CN"/>
                    </w:rPr>
                  </w:pPr>
                  <w:r>
                    <w:rPr>
                      <w:rFonts w:hint="eastAsia"/>
                      <w:color w:val="auto"/>
                      <w:sz w:val="21"/>
                      <w:szCs w:val="21"/>
                      <w:highlight w:val="none"/>
                      <w:lang w:val="en-US" w:eastAsia="zh-CN"/>
                    </w:rPr>
                    <w:t>2.933</w:t>
                  </w:r>
                </w:p>
              </w:tc>
              <w:tc>
                <w:tcPr>
                  <w:tcW w:w="807" w:type="pct"/>
                  <w:tcBorders>
                    <w:tl2br w:val="nil"/>
                    <w:tr2bl w:val="nil"/>
                  </w:tcBorders>
                  <w:noWrap w:val="0"/>
                  <w:vAlign w:val="center"/>
                </w:tcPr>
                <w:p w14:paraId="2E4DAEEF">
                  <w:pPr>
                    <w:pStyle w:val="177"/>
                    <w:rPr>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20</w:t>
                  </w:r>
                  <w:r>
                    <w:rPr>
                      <w:color w:val="auto"/>
                      <w:sz w:val="21"/>
                      <w:szCs w:val="21"/>
                      <w:highlight w:val="none"/>
                    </w:rPr>
                    <w:t>mg/Nm</w:t>
                  </w:r>
                  <w:r>
                    <w:rPr>
                      <w:color w:val="auto"/>
                      <w:sz w:val="21"/>
                      <w:szCs w:val="21"/>
                      <w:highlight w:val="none"/>
                      <w:vertAlign w:val="superscript"/>
                    </w:rPr>
                    <w:t>3</w:t>
                  </w:r>
                </w:p>
              </w:tc>
            </w:tr>
            <w:tr w14:paraId="33DB49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641" w:type="pct"/>
                  <w:tcBorders>
                    <w:tl2br w:val="nil"/>
                    <w:tr2bl w:val="nil"/>
                  </w:tcBorders>
                  <w:noWrap w:val="0"/>
                  <w:vAlign w:val="center"/>
                </w:tcPr>
                <w:p w14:paraId="01922E84">
                  <w:pPr>
                    <w:pStyle w:val="177"/>
                    <w:rPr>
                      <w:color w:val="auto"/>
                      <w:sz w:val="21"/>
                      <w:szCs w:val="21"/>
                      <w:highlight w:val="none"/>
                    </w:rPr>
                  </w:pPr>
                  <w:r>
                    <w:rPr>
                      <w:rFonts w:hint="eastAsia"/>
                      <w:color w:val="auto"/>
                      <w:sz w:val="21"/>
                      <w:szCs w:val="21"/>
                      <w:highlight w:val="none"/>
                    </w:rPr>
                    <w:t>组分</w:t>
                  </w:r>
                </w:p>
              </w:tc>
              <w:tc>
                <w:tcPr>
                  <w:tcW w:w="492" w:type="pct"/>
                  <w:tcBorders>
                    <w:tl2br w:val="nil"/>
                    <w:tr2bl w:val="nil"/>
                  </w:tcBorders>
                  <w:noWrap w:val="0"/>
                  <w:vAlign w:val="center"/>
                </w:tcPr>
                <w:p w14:paraId="2560FC9B">
                  <w:pPr>
                    <w:pStyle w:val="177"/>
                    <w:rPr>
                      <w:color w:val="auto"/>
                      <w:sz w:val="21"/>
                      <w:szCs w:val="21"/>
                      <w:highlight w:val="none"/>
                    </w:rPr>
                  </w:pPr>
                  <w:r>
                    <w:rPr>
                      <w:color w:val="auto"/>
                      <w:sz w:val="21"/>
                      <w:szCs w:val="21"/>
                      <w:highlight w:val="none"/>
                    </w:rPr>
                    <w:t>N</w:t>
                  </w:r>
                  <w:r>
                    <w:rPr>
                      <w:color w:val="auto"/>
                      <w:sz w:val="21"/>
                      <w:szCs w:val="21"/>
                      <w:highlight w:val="none"/>
                      <w:vertAlign w:val="subscript"/>
                    </w:rPr>
                    <w:t>2</w:t>
                  </w:r>
                </w:p>
              </w:tc>
              <w:tc>
                <w:tcPr>
                  <w:tcW w:w="573" w:type="pct"/>
                  <w:tcBorders>
                    <w:tl2br w:val="nil"/>
                    <w:tr2bl w:val="nil"/>
                  </w:tcBorders>
                  <w:noWrap w:val="0"/>
                  <w:vAlign w:val="center"/>
                </w:tcPr>
                <w:p w14:paraId="4D7BB82F">
                  <w:pPr>
                    <w:pStyle w:val="177"/>
                    <w:rPr>
                      <w:color w:val="auto"/>
                      <w:sz w:val="21"/>
                      <w:szCs w:val="21"/>
                      <w:highlight w:val="none"/>
                    </w:rPr>
                  </w:pPr>
                  <w:r>
                    <w:rPr>
                      <w:color w:val="auto"/>
                      <w:sz w:val="21"/>
                      <w:szCs w:val="21"/>
                      <w:highlight w:val="none"/>
                    </w:rPr>
                    <w:t>H</w:t>
                  </w:r>
                  <w:r>
                    <w:rPr>
                      <w:color w:val="auto"/>
                      <w:sz w:val="21"/>
                      <w:szCs w:val="21"/>
                      <w:highlight w:val="none"/>
                      <w:vertAlign w:val="subscript"/>
                    </w:rPr>
                    <w:t>2</w:t>
                  </w:r>
                </w:p>
              </w:tc>
              <w:tc>
                <w:tcPr>
                  <w:tcW w:w="492" w:type="pct"/>
                  <w:tcBorders>
                    <w:tl2br w:val="nil"/>
                    <w:tr2bl w:val="nil"/>
                  </w:tcBorders>
                  <w:noWrap w:val="0"/>
                  <w:vAlign w:val="center"/>
                </w:tcPr>
                <w:p w14:paraId="59A8B847">
                  <w:pPr>
                    <w:pStyle w:val="177"/>
                    <w:rPr>
                      <w:rFonts w:hint="eastAsia" w:eastAsia="宋体"/>
                      <w:color w:val="auto"/>
                      <w:sz w:val="21"/>
                      <w:szCs w:val="21"/>
                      <w:highlight w:val="none"/>
                      <w:lang w:eastAsia="zh-CN"/>
                    </w:rPr>
                  </w:pPr>
                  <w:r>
                    <w:rPr>
                      <w:color w:val="auto"/>
                      <w:sz w:val="21"/>
                      <w:szCs w:val="21"/>
                      <w:highlight w:val="none"/>
                    </w:rPr>
                    <w:t>H</w:t>
                  </w:r>
                  <w:r>
                    <w:rPr>
                      <w:rFonts w:hint="eastAsia"/>
                      <w:color w:val="auto"/>
                      <w:sz w:val="21"/>
                      <w:szCs w:val="21"/>
                      <w:highlight w:val="none"/>
                      <w:vertAlign w:val="subscript"/>
                      <w:lang w:val="en-US" w:eastAsia="zh-CN"/>
                    </w:rPr>
                    <w:t>e</w:t>
                  </w:r>
                </w:p>
              </w:tc>
              <w:tc>
                <w:tcPr>
                  <w:tcW w:w="576" w:type="pct"/>
                  <w:tcBorders>
                    <w:tl2br w:val="nil"/>
                    <w:tr2bl w:val="nil"/>
                  </w:tcBorders>
                  <w:noWrap w:val="0"/>
                  <w:vAlign w:val="center"/>
                </w:tcPr>
                <w:p w14:paraId="79629FD6">
                  <w:pPr>
                    <w:pStyle w:val="177"/>
                    <w:rPr>
                      <w:rFonts w:hint="eastAsia" w:eastAsia="宋体"/>
                      <w:color w:val="auto"/>
                      <w:sz w:val="21"/>
                      <w:szCs w:val="21"/>
                      <w:highlight w:val="none"/>
                      <w:lang w:val="en-US" w:eastAsia="zh-CN"/>
                    </w:rPr>
                  </w:pPr>
                  <w:r>
                    <w:rPr>
                      <w:color w:val="auto"/>
                      <w:sz w:val="21"/>
                      <w:szCs w:val="21"/>
                      <w:highlight w:val="none"/>
                    </w:rPr>
                    <w:t>C</w:t>
                  </w:r>
                  <w:r>
                    <w:rPr>
                      <w:rFonts w:hint="eastAsia"/>
                      <w:color w:val="auto"/>
                      <w:sz w:val="21"/>
                      <w:szCs w:val="21"/>
                      <w:highlight w:val="none"/>
                      <w:vertAlign w:val="subscript"/>
                      <w:lang w:val="en-US" w:eastAsia="zh-CN"/>
                    </w:rPr>
                    <w:t>6</w:t>
                  </w:r>
                </w:p>
              </w:tc>
              <w:tc>
                <w:tcPr>
                  <w:tcW w:w="524" w:type="pct"/>
                  <w:tcBorders>
                    <w:tl2br w:val="nil"/>
                    <w:tr2bl w:val="nil"/>
                  </w:tcBorders>
                  <w:noWrap w:val="0"/>
                  <w:vAlign w:val="center"/>
                </w:tcPr>
                <w:p w14:paraId="41B2949E">
                  <w:pPr>
                    <w:pStyle w:val="177"/>
                    <w:rPr>
                      <w:color w:val="auto"/>
                      <w:sz w:val="21"/>
                      <w:szCs w:val="21"/>
                      <w:highlight w:val="none"/>
                    </w:rPr>
                  </w:pPr>
                  <w:r>
                    <w:rPr>
                      <w:color w:val="auto"/>
                      <w:sz w:val="21"/>
                      <w:szCs w:val="21"/>
                      <w:highlight w:val="none"/>
                    </w:rPr>
                    <w:t>/</w:t>
                  </w:r>
                </w:p>
              </w:tc>
              <w:tc>
                <w:tcPr>
                  <w:tcW w:w="447" w:type="pct"/>
                  <w:tcBorders>
                    <w:tl2br w:val="nil"/>
                    <w:tr2bl w:val="nil"/>
                  </w:tcBorders>
                  <w:noWrap w:val="0"/>
                  <w:vAlign w:val="center"/>
                </w:tcPr>
                <w:p w14:paraId="7CF5BC96">
                  <w:pPr>
                    <w:pStyle w:val="177"/>
                    <w:rPr>
                      <w:color w:val="auto"/>
                      <w:sz w:val="21"/>
                      <w:szCs w:val="21"/>
                      <w:highlight w:val="none"/>
                    </w:rPr>
                  </w:pPr>
                  <w:r>
                    <w:rPr>
                      <w:color w:val="auto"/>
                      <w:sz w:val="21"/>
                      <w:szCs w:val="21"/>
                      <w:highlight w:val="none"/>
                    </w:rPr>
                    <w:t>/</w:t>
                  </w:r>
                </w:p>
              </w:tc>
              <w:tc>
                <w:tcPr>
                  <w:tcW w:w="447" w:type="pct"/>
                  <w:tcBorders>
                    <w:tl2br w:val="nil"/>
                    <w:tr2bl w:val="nil"/>
                  </w:tcBorders>
                  <w:noWrap w:val="0"/>
                  <w:vAlign w:val="center"/>
                </w:tcPr>
                <w:p w14:paraId="19C2CB73">
                  <w:pPr>
                    <w:pStyle w:val="177"/>
                    <w:rPr>
                      <w:color w:val="auto"/>
                      <w:sz w:val="21"/>
                      <w:szCs w:val="21"/>
                      <w:highlight w:val="none"/>
                    </w:rPr>
                  </w:pPr>
                  <w:r>
                    <w:rPr>
                      <w:color w:val="auto"/>
                      <w:sz w:val="21"/>
                      <w:szCs w:val="21"/>
                      <w:highlight w:val="none"/>
                    </w:rPr>
                    <w:t>/</w:t>
                  </w:r>
                </w:p>
              </w:tc>
              <w:tc>
                <w:tcPr>
                  <w:tcW w:w="807" w:type="pct"/>
                  <w:tcBorders>
                    <w:tl2br w:val="nil"/>
                    <w:tr2bl w:val="nil"/>
                  </w:tcBorders>
                  <w:noWrap w:val="0"/>
                  <w:vAlign w:val="center"/>
                </w:tcPr>
                <w:p w14:paraId="1B829496">
                  <w:pPr>
                    <w:pStyle w:val="177"/>
                    <w:rPr>
                      <w:color w:val="auto"/>
                      <w:sz w:val="21"/>
                      <w:szCs w:val="21"/>
                      <w:highlight w:val="none"/>
                    </w:rPr>
                  </w:pPr>
                  <w:r>
                    <w:rPr>
                      <w:color w:val="auto"/>
                      <w:sz w:val="21"/>
                      <w:szCs w:val="21"/>
                      <w:highlight w:val="none"/>
                    </w:rPr>
                    <w:t>/</w:t>
                  </w:r>
                </w:p>
              </w:tc>
            </w:tr>
            <w:tr w14:paraId="05A6B0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1" w:type="pct"/>
                  <w:tcBorders>
                    <w:tl2br w:val="nil"/>
                    <w:tr2bl w:val="nil"/>
                  </w:tcBorders>
                  <w:noWrap w:val="0"/>
                  <w:vAlign w:val="center"/>
                </w:tcPr>
                <w:p w14:paraId="02BD7F8B">
                  <w:pPr>
                    <w:pStyle w:val="177"/>
                    <w:rPr>
                      <w:color w:val="auto"/>
                      <w:sz w:val="21"/>
                      <w:szCs w:val="21"/>
                      <w:highlight w:val="none"/>
                    </w:rPr>
                  </w:pPr>
                  <w:r>
                    <w:rPr>
                      <w:rFonts w:hint="eastAsia"/>
                      <w:color w:val="auto"/>
                      <w:sz w:val="21"/>
                      <w:szCs w:val="21"/>
                      <w:highlight w:val="none"/>
                    </w:rPr>
                    <w:t>体积（</w:t>
                  </w:r>
                  <w:r>
                    <w:rPr>
                      <w:color w:val="auto"/>
                      <w:sz w:val="21"/>
                      <w:szCs w:val="21"/>
                      <w:highlight w:val="none"/>
                    </w:rPr>
                    <w:t>%</w:t>
                  </w:r>
                  <w:r>
                    <w:rPr>
                      <w:rFonts w:hint="eastAsia"/>
                      <w:color w:val="auto"/>
                      <w:sz w:val="21"/>
                      <w:szCs w:val="21"/>
                      <w:highlight w:val="none"/>
                    </w:rPr>
                    <w:t>）</w:t>
                  </w:r>
                </w:p>
              </w:tc>
              <w:tc>
                <w:tcPr>
                  <w:tcW w:w="492" w:type="pct"/>
                  <w:tcBorders>
                    <w:tl2br w:val="nil"/>
                    <w:tr2bl w:val="nil"/>
                  </w:tcBorders>
                  <w:noWrap w:val="0"/>
                  <w:vAlign w:val="center"/>
                </w:tcPr>
                <w:p w14:paraId="0F0BC5D4">
                  <w:pPr>
                    <w:pStyle w:val="177"/>
                    <w:rPr>
                      <w:rFonts w:hint="default" w:eastAsia="宋体"/>
                      <w:color w:val="auto"/>
                      <w:sz w:val="21"/>
                      <w:szCs w:val="21"/>
                      <w:highlight w:val="none"/>
                      <w:lang w:val="en-US" w:eastAsia="zh-CN"/>
                    </w:rPr>
                  </w:pPr>
                  <w:r>
                    <w:rPr>
                      <w:color w:val="auto"/>
                      <w:sz w:val="21"/>
                      <w:szCs w:val="21"/>
                      <w:highlight w:val="none"/>
                    </w:rPr>
                    <w:t>0.</w:t>
                  </w:r>
                  <w:r>
                    <w:rPr>
                      <w:rFonts w:hint="eastAsia"/>
                      <w:color w:val="auto"/>
                      <w:sz w:val="21"/>
                      <w:szCs w:val="21"/>
                      <w:highlight w:val="none"/>
                      <w:lang w:val="en-US" w:eastAsia="zh-CN"/>
                    </w:rPr>
                    <w:t>815</w:t>
                  </w:r>
                </w:p>
              </w:tc>
              <w:tc>
                <w:tcPr>
                  <w:tcW w:w="573" w:type="pct"/>
                  <w:tcBorders>
                    <w:tl2br w:val="nil"/>
                    <w:tr2bl w:val="nil"/>
                  </w:tcBorders>
                  <w:noWrap w:val="0"/>
                  <w:vAlign w:val="center"/>
                </w:tcPr>
                <w:p w14:paraId="171FC32D">
                  <w:pPr>
                    <w:pStyle w:val="177"/>
                    <w:rPr>
                      <w:rFonts w:hint="eastAsia" w:eastAsia="宋体"/>
                      <w:color w:val="auto"/>
                      <w:sz w:val="21"/>
                      <w:szCs w:val="21"/>
                      <w:highlight w:val="none"/>
                      <w:lang w:eastAsia="zh-CN"/>
                    </w:rPr>
                  </w:pPr>
                  <w:r>
                    <w:rPr>
                      <w:color w:val="auto"/>
                      <w:sz w:val="21"/>
                      <w:szCs w:val="21"/>
                      <w:highlight w:val="none"/>
                    </w:rPr>
                    <w:t>0.00</w:t>
                  </w:r>
                  <w:r>
                    <w:rPr>
                      <w:rFonts w:hint="eastAsia"/>
                      <w:color w:val="auto"/>
                      <w:sz w:val="21"/>
                      <w:szCs w:val="21"/>
                      <w:highlight w:val="none"/>
                      <w:lang w:val="en-US" w:eastAsia="zh-CN"/>
                    </w:rPr>
                    <w:t>8</w:t>
                  </w:r>
                </w:p>
              </w:tc>
              <w:tc>
                <w:tcPr>
                  <w:tcW w:w="492" w:type="pct"/>
                  <w:tcBorders>
                    <w:tl2br w:val="nil"/>
                    <w:tr2bl w:val="nil"/>
                  </w:tcBorders>
                  <w:noWrap w:val="0"/>
                  <w:vAlign w:val="center"/>
                </w:tcPr>
                <w:p w14:paraId="42FB41C2">
                  <w:pPr>
                    <w:pStyle w:val="177"/>
                    <w:rPr>
                      <w:rFonts w:hint="default" w:eastAsia="宋体"/>
                      <w:color w:val="auto"/>
                      <w:sz w:val="21"/>
                      <w:szCs w:val="21"/>
                      <w:highlight w:val="none"/>
                      <w:lang w:val="en-US" w:eastAsia="zh-CN"/>
                    </w:rPr>
                  </w:pPr>
                  <w:r>
                    <w:rPr>
                      <w:rFonts w:hint="eastAsia"/>
                      <w:color w:val="auto"/>
                      <w:sz w:val="21"/>
                      <w:szCs w:val="21"/>
                      <w:highlight w:val="none"/>
                      <w:lang w:val="en-US" w:eastAsia="zh-CN"/>
                    </w:rPr>
                    <w:t>0.049</w:t>
                  </w:r>
                </w:p>
              </w:tc>
              <w:tc>
                <w:tcPr>
                  <w:tcW w:w="576" w:type="pct"/>
                  <w:tcBorders>
                    <w:tl2br w:val="nil"/>
                    <w:tr2bl w:val="nil"/>
                  </w:tcBorders>
                  <w:noWrap w:val="0"/>
                  <w:vAlign w:val="center"/>
                </w:tcPr>
                <w:p w14:paraId="1F8F90FF">
                  <w:pPr>
                    <w:pStyle w:val="177"/>
                    <w:rPr>
                      <w:rFonts w:hint="default" w:eastAsia="宋体"/>
                      <w:color w:val="auto"/>
                      <w:sz w:val="21"/>
                      <w:szCs w:val="21"/>
                      <w:highlight w:val="none"/>
                      <w:lang w:val="en-US" w:eastAsia="zh-CN"/>
                    </w:rPr>
                  </w:pPr>
                  <w:r>
                    <w:rPr>
                      <w:rFonts w:hint="eastAsia"/>
                      <w:color w:val="auto"/>
                      <w:sz w:val="21"/>
                      <w:szCs w:val="21"/>
                      <w:highlight w:val="none"/>
                      <w:lang w:val="en-US" w:eastAsia="zh-CN"/>
                    </w:rPr>
                    <w:t>0.002</w:t>
                  </w:r>
                </w:p>
              </w:tc>
              <w:tc>
                <w:tcPr>
                  <w:tcW w:w="524" w:type="pct"/>
                  <w:tcBorders>
                    <w:tl2br w:val="nil"/>
                    <w:tr2bl w:val="nil"/>
                  </w:tcBorders>
                  <w:noWrap w:val="0"/>
                  <w:vAlign w:val="center"/>
                </w:tcPr>
                <w:p w14:paraId="6246319F">
                  <w:pPr>
                    <w:pStyle w:val="177"/>
                    <w:rPr>
                      <w:color w:val="auto"/>
                      <w:sz w:val="21"/>
                      <w:szCs w:val="21"/>
                      <w:highlight w:val="none"/>
                    </w:rPr>
                  </w:pPr>
                  <w:r>
                    <w:rPr>
                      <w:color w:val="auto"/>
                      <w:sz w:val="21"/>
                      <w:szCs w:val="21"/>
                      <w:highlight w:val="none"/>
                    </w:rPr>
                    <w:t>/</w:t>
                  </w:r>
                </w:p>
              </w:tc>
              <w:tc>
                <w:tcPr>
                  <w:tcW w:w="447" w:type="pct"/>
                  <w:tcBorders>
                    <w:tl2br w:val="nil"/>
                    <w:tr2bl w:val="nil"/>
                  </w:tcBorders>
                  <w:noWrap w:val="0"/>
                  <w:vAlign w:val="center"/>
                </w:tcPr>
                <w:p w14:paraId="2D8EC69C">
                  <w:pPr>
                    <w:pStyle w:val="177"/>
                    <w:rPr>
                      <w:color w:val="auto"/>
                      <w:sz w:val="21"/>
                      <w:szCs w:val="21"/>
                      <w:highlight w:val="none"/>
                    </w:rPr>
                  </w:pPr>
                  <w:r>
                    <w:rPr>
                      <w:color w:val="auto"/>
                      <w:sz w:val="21"/>
                      <w:szCs w:val="21"/>
                      <w:highlight w:val="none"/>
                    </w:rPr>
                    <w:t>/</w:t>
                  </w:r>
                </w:p>
              </w:tc>
              <w:tc>
                <w:tcPr>
                  <w:tcW w:w="447" w:type="pct"/>
                  <w:tcBorders>
                    <w:tl2br w:val="nil"/>
                    <w:tr2bl w:val="nil"/>
                  </w:tcBorders>
                  <w:noWrap w:val="0"/>
                  <w:vAlign w:val="center"/>
                </w:tcPr>
                <w:p w14:paraId="43E1515E">
                  <w:pPr>
                    <w:pStyle w:val="177"/>
                    <w:rPr>
                      <w:color w:val="auto"/>
                      <w:sz w:val="21"/>
                      <w:szCs w:val="21"/>
                      <w:highlight w:val="none"/>
                    </w:rPr>
                  </w:pPr>
                  <w:r>
                    <w:rPr>
                      <w:color w:val="auto"/>
                      <w:sz w:val="21"/>
                      <w:szCs w:val="21"/>
                      <w:highlight w:val="none"/>
                    </w:rPr>
                    <w:t>/</w:t>
                  </w:r>
                </w:p>
              </w:tc>
              <w:tc>
                <w:tcPr>
                  <w:tcW w:w="807" w:type="pct"/>
                  <w:tcBorders>
                    <w:tl2br w:val="nil"/>
                    <w:tr2bl w:val="nil"/>
                  </w:tcBorders>
                  <w:noWrap w:val="0"/>
                  <w:vAlign w:val="center"/>
                </w:tcPr>
                <w:p w14:paraId="6F54939E">
                  <w:pPr>
                    <w:pStyle w:val="177"/>
                    <w:rPr>
                      <w:color w:val="auto"/>
                      <w:sz w:val="21"/>
                      <w:szCs w:val="21"/>
                      <w:highlight w:val="none"/>
                    </w:rPr>
                  </w:pPr>
                  <w:r>
                    <w:rPr>
                      <w:color w:val="auto"/>
                      <w:sz w:val="21"/>
                      <w:szCs w:val="21"/>
                      <w:highlight w:val="none"/>
                    </w:rPr>
                    <w:t>/</w:t>
                  </w:r>
                </w:p>
              </w:tc>
            </w:tr>
            <w:tr w14:paraId="238A9C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1" w:type="pct"/>
                  <w:tcBorders>
                    <w:tl2br w:val="nil"/>
                    <w:tr2bl w:val="nil"/>
                  </w:tcBorders>
                  <w:noWrap w:val="0"/>
                  <w:vAlign w:val="center"/>
                </w:tcPr>
                <w:p w14:paraId="4D462D6F">
                  <w:pPr>
                    <w:pStyle w:val="177"/>
                    <w:rPr>
                      <w:color w:val="auto"/>
                      <w:sz w:val="21"/>
                      <w:szCs w:val="21"/>
                      <w:highlight w:val="none"/>
                    </w:rPr>
                  </w:pPr>
                  <w:r>
                    <w:rPr>
                      <w:rFonts w:hint="eastAsia"/>
                      <w:color w:val="auto"/>
                      <w:sz w:val="21"/>
                      <w:szCs w:val="21"/>
                      <w:highlight w:val="none"/>
                    </w:rPr>
                    <w:t>高位热值</w:t>
                  </w:r>
                </w:p>
              </w:tc>
              <w:tc>
                <w:tcPr>
                  <w:tcW w:w="2133" w:type="pct"/>
                  <w:gridSpan w:val="4"/>
                  <w:tcBorders>
                    <w:tl2br w:val="nil"/>
                    <w:tr2bl w:val="nil"/>
                  </w:tcBorders>
                  <w:noWrap w:val="0"/>
                  <w:vAlign w:val="center"/>
                </w:tcPr>
                <w:p w14:paraId="2B98467E">
                  <w:pPr>
                    <w:pStyle w:val="177"/>
                    <w:rPr>
                      <w:color w:val="auto"/>
                      <w:sz w:val="21"/>
                      <w:szCs w:val="21"/>
                      <w:highlight w:val="none"/>
                    </w:rPr>
                  </w:pPr>
                  <w:r>
                    <w:rPr>
                      <w:rFonts w:hint="eastAsia"/>
                      <w:color w:val="auto"/>
                      <w:sz w:val="21"/>
                      <w:szCs w:val="21"/>
                      <w:highlight w:val="none"/>
                      <w:lang w:val="en-US" w:eastAsia="zh-CN"/>
                    </w:rPr>
                    <w:t>36.3803</w:t>
                  </w:r>
                  <w:r>
                    <w:rPr>
                      <w:color w:val="auto"/>
                      <w:sz w:val="21"/>
                      <w:szCs w:val="21"/>
                      <w:highlight w:val="none"/>
                    </w:rPr>
                    <w:t>MJ/m</w:t>
                  </w:r>
                  <w:r>
                    <w:rPr>
                      <w:color w:val="auto"/>
                      <w:sz w:val="21"/>
                      <w:szCs w:val="21"/>
                      <w:highlight w:val="none"/>
                      <w:vertAlign w:val="superscript"/>
                    </w:rPr>
                    <w:t>3</w:t>
                  </w:r>
                </w:p>
              </w:tc>
              <w:tc>
                <w:tcPr>
                  <w:tcW w:w="2226" w:type="pct"/>
                  <w:gridSpan w:val="4"/>
                  <w:tcBorders>
                    <w:tl2br w:val="nil"/>
                    <w:tr2bl w:val="nil"/>
                  </w:tcBorders>
                  <w:noWrap w:val="0"/>
                  <w:vAlign w:val="center"/>
                </w:tcPr>
                <w:p w14:paraId="0FE5DD8E">
                  <w:pPr>
                    <w:pStyle w:val="177"/>
                    <w:rPr>
                      <w:color w:val="auto"/>
                      <w:sz w:val="21"/>
                      <w:szCs w:val="21"/>
                      <w:highlight w:val="none"/>
                    </w:rPr>
                  </w:pPr>
                  <w:r>
                    <w:rPr>
                      <w:color w:val="auto"/>
                      <w:sz w:val="21"/>
                      <w:szCs w:val="21"/>
                      <w:highlight w:val="none"/>
                    </w:rPr>
                    <w:t>9245kcal/m</w:t>
                  </w:r>
                  <w:r>
                    <w:rPr>
                      <w:color w:val="auto"/>
                      <w:sz w:val="21"/>
                      <w:szCs w:val="21"/>
                      <w:highlight w:val="none"/>
                      <w:vertAlign w:val="superscript"/>
                    </w:rPr>
                    <w:t>3</w:t>
                  </w:r>
                </w:p>
              </w:tc>
            </w:tr>
            <w:tr w14:paraId="754D14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1" w:type="pct"/>
                  <w:tcBorders>
                    <w:tl2br w:val="nil"/>
                    <w:tr2bl w:val="nil"/>
                  </w:tcBorders>
                  <w:noWrap w:val="0"/>
                  <w:vAlign w:val="center"/>
                </w:tcPr>
                <w:p w14:paraId="658D654F">
                  <w:pPr>
                    <w:pStyle w:val="177"/>
                    <w:rPr>
                      <w:color w:val="auto"/>
                      <w:sz w:val="21"/>
                      <w:szCs w:val="21"/>
                      <w:highlight w:val="none"/>
                    </w:rPr>
                  </w:pPr>
                  <w:r>
                    <w:rPr>
                      <w:rFonts w:hint="eastAsia"/>
                      <w:color w:val="auto"/>
                      <w:sz w:val="21"/>
                      <w:szCs w:val="21"/>
                      <w:highlight w:val="none"/>
                    </w:rPr>
                    <w:t>低位热值</w:t>
                  </w:r>
                </w:p>
              </w:tc>
              <w:tc>
                <w:tcPr>
                  <w:tcW w:w="2133" w:type="pct"/>
                  <w:gridSpan w:val="4"/>
                  <w:tcBorders>
                    <w:tl2br w:val="nil"/>
                    <w:tr2bl w:val="nil"/>
                  </w:tcBorders>
                  <w:noWrap w:val="0"/>
                  <w:vAlign w:val="center"/>
                </w:tcPr>
                <w:p w14:paraId="115F45C7">
                  <w:pPr>
                    <w:pStyle w:val="177"/>
                    <w:rPr>
                      <w:color w:val="auto"/>
                      <w:sz w:val="21"/>
                      <w:szCs w:val="21"/>
                      <w:highlight w:val="none"/>
                    </w:rPr>
                  </w:pPr>
                  <w:r>
                    <w:rPr>
                      <w:color w:val="auto"/>
                      <w:sz w:val="21"/>
                      <w:szCs w:val="21"/>
                      <w:highlight w:val="none"/>
                    </w:rPr>
                    <w:t>3</w:t>
                  </w:r>
                  <w:r>
                    <w:rPr>
                      <w:rFonts w:hint="eastAsia"/>
                      <w:color w:val="auto"/>
                      <w:sz w:val="21"/>
                      <w:szCs w:val="21"/>
                      <w:highlight w:val="none"/>
                      <w:lang w:val="en-US" w:eastAsia="zh-CN"/>
                    </w:rPr>
                    <w:t>2</w:t>
                  </w:r>
                  <w:r>
                    <w:rPr>
                      <w:color w:val="auto"/>
                      <w:sz w:val="21"/>
                      <w:szCs w:val="21"/>
                      <w:highlight w:val="none"/>
                    </w:rPr>
                    <w:t>.</w:t>
                  </w:r>
                  <w:r>
                    <w:rPr>
                      <w:rFonts w:hint="eastAsia"/>
                      <w:color w:val="auto"/>
                      <w:sz w:val="21"/>
                      <w:szCs w:val="21"/>
                      <w:highlight w:val="none"/>
                      <w:lang w:val="en-US" w:eastAsia="zh-CN"/>
                    </w:rPr>
                    <w:t>7849</w:t>
                  </w:r>
                  <w:r>
                    <w:rPr>
                      <w:color w:val="auto"/>
                      <w:sz w:val="21"/>
                      <w:szCs w:val="21"/>
                      <w:highlight w:val="none"/>
                    </w:rPr>
                    <w:t>MJ/m</w:t>
                  </w:r>
                  <w:r>
                    <w:rPr>
                      <w:color w:val="auto"/>
                      <w:sz w:val="21"/>
                      <w:szCs w:val="21"/>
                      <w:highlight w:val="none"/>
                      <w:vertAlign w:val="superscript"/>
                    </w:rPr>
                    <w:t>3</w:t>
                  </w:r>
                </w:p>
              </w:tc>
              <w:tc>
                <w:tcPr>
                  <w:tcW w:w="2226" w:type="pct"/>
                  <w:gridSpan w:val="4"/>
                  <w:tcBorders>
                    <w:tl2br w:val="nil"/>
                    <w:tr2bl w:val="nil"/>
                  </w:tcBorders>
                  <w:noWrap w:val="0"/>
                  <w:vAlign w:val="center"/>
                </w:tcPr>
                <w:p w14:paraId="3F1D3BA0">
                  <w:pPr>
                    <w:pStyle w:val="177"/>
                    <w:rPr>
                      <w:color w:val="auto"/>
                      <w:sz w:val="21"/>
                      <w:szCs w:val="21"/>
                      <w:highlight w:val="none"/>
                    </w:rPr>
                  </w:pPr>
                  <w:r>
                    <w:rPr>
                      <w:color w:val="auto"/>
                      <w:sz w:val="21"/>
                      <w:szCs w:val="21"/>
                      <w:highlight w:val="none"/>
                    </w:rPr>
                    <w:t>8330kcal/m</w:t>
                  </w:r>
                  <w:r>
                    <w:rPr>
                      <w:color w:val="auto"/>
                      <w:sz w:val="21"/>
                      <w:szCs w:val="21"/>
                      <w:highlight w:val="none"/>
                      <w:vertAlign w:val="superscript"/>
                    </w:rPr>
                    <w:t>3</w:t>
                  </w:r>
                </w:p>
              </w:tc>
            </w:tr>
            <w:tr w14:paraId="0B393E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641" w:type="pct"/>
                  <w:tcBorders>
                    <w:tl2br w:val="nil"/>
                    <w:tr2bl w:val="nil"/>
                  </w:tcBorders>
                  <w:noWrap w:val="0"/>
                  <w:vAlign w:val="center"/>
                </w:tcPr>
                <w:p w14:paraId="6EB6B473">
                  <w:pPr>
                    <w:pStyle w:val="177"/>
                    <w:rPr>
                      <w:color w:val="auto"/>
                      <w:sz w:val="21"/>
                      <w:szCs w:val="21"/>
                      <w:highlight w:val="none"/>
                    </w:rPr>
                  </w:pPr>
                  <w:r>
                    <w:rPr>
                      <w:rFonts w:hint="eastAsia"/>
                      <w:color w:val="auto"/>
                      <w:sz w:val="21"/>
                      <w:szCs w:val="21"/>
                      <w:highlight w:val="none"/>
                    </w:rPr>
                    <w:t>密度</w:t>
                  </w:r>
                </w:p>
              </w:tc>
              <w:tc>
                <w:tcPr>
                  <w:tcW w:w="2133" w:type="pct"/>
                  <w:gridSpan w:val="4"/>
                  <w:tcBorders>
                    <w:tl2br w:val="nil"/>
                    <w:tr2bl w:val="nil"/>
                  </w:tcBorders>
                  <w:noWrap w:val="0"/>
                  <w:vAlign w:val="center"/>
                </w:tcPr>
                <w:p w14:paraId="4A8DB004">
                  <w:pPr>
                    <w:pStyle w:val="177"/>
                    <w:rPr>
                      <w:color w:val="auto"/>
                      <w:sz w:val="21"/>
                      <w:szCs w:val="21"/>
                      <w:highlight w:val="none"/>
                    </w:rPr>
                  </w:pPr>
                  <w:r>
                    <w:rPr>
                      <w:color w:val="auto"/>
                      <w:sz w:val="21"/>
                      <w:szCs w:val="21"/>
                      <w:highlight w:val="none"/>
                    </w:rPr>
                    <w:t>0.7</w:t>
                  </w:r>
                  <w:r>
                    <w:rPr>
                      <w:rFonts w:hint="eastAsia"/>
                      <w:color w:val="auto"/>
                      <w:sz w:val="21"/>
                      <w:szCs w:val="21"/>
                      <w:highlight w:val="none"/>
                      <w:lang w:val="en-US" w:eastAsia="zh-CN"/>
                    </w:rPr>
                    <w:t>199</w:t>
                  </w:r>
                  <w:r>
                    <w:rPr>
                      <w:color w:val="auto"/>
                      <w:sz w:val="21"/>
                      <w:szCs w:val="21"/>
                      <w:highlight w:val="none"/>
                    </w:rPr>
                    <w:t>kg/Nm</w:t>
                  </w:r>
                  <w:r>
                    <w:rPr>
                      <w:color w:val="auto"/>
                      <w:sz w:val="21"/>
                      <w:szCs w:val="21"/>
                      <w:highlight w:val="none"/>
                      <w:vertAlign w:val="superscript"/>
                    </w:rPr>
                    <w:t>3</w:t>
                  </w:r>
                </w:p>
              </w:tc>
              <w:tc>
                <w:tcPr>
                  <w:tcW w:w="2226" w:type="pct"/>
                  <w:gridSpan w:val="4"/>
                  <w:tcBorders>
                    <w:tl2br w:val="nil"/>
                    <w:tr2bl w:val="nil"/>
                  </w:tcBorders>
                  <w:noWrap w:val="0"/>
                  <w:vAlign w:val="center"/>
                </w:tcPr>
                <w:p w14:paraId="4619E1EB">
                  <w:pPr>
                    <w:pStyle w:val="177"/>
                    <w:rPr>
                      <w:color w:val="auto"/>
                      <w:sz w:val="21"/>
                      <w:szCs w:val="21"/>
                      <w:highlight w:val="none"/>
                    </w:rPr>
                  </w:pPr>
                  <w:r>
                    <w:rPr>
                      <w:color w:val="auto"/>
                      <w:sz w:val="21"/>
                      <w:szCs w:val="21"/>
                      <w:highlight w:val="none"/>
                    </w:rPr>
                    <w:t>/</w:t>
                  </w:r>
                </w:p>
              </w:tc>
            </w:tr>
            <w:tr w14:paraId="00AC0B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1" w:type="pct"/>
                  <w:tcBorders>
                    <w:tl2br w:val="nil"/>
                    <w:tr2bl w:val="nil"/>
                  </w:tcBorders>
                  <w:noWrap w:val="0"/>
                  <w:vAlign w:val="center"/>
                </w:tcPr>
                <w:p w14:paraId="7BAFBCA5">
                  <w:pPr>
                    <w:pStyle w:val="177"/>
                    <w:rPr>
                      <w:rFonts w:hint="default" w:eastAsia="宋体"/>
                      <w:color w:val="auto"/>
                      <w:sz w:val="21"/>
                      <w:szCs w:val="21"/>
                      <w:highlight w:val="none"/>
                      <w:lang w:val="en-US" w:eastAsia="zh-CN"/>
                    </w:rPr>
                  </w:pPr>
                  <w:r>
                    <w:rPr>
                      <w:rFonts w:hint="eastAsia"/>
                      <w:color w:val="auto"/>
                      <w:sz w:val="21"/>
                      <w:szCs w:val="21"/>
                      <w:highlight w:val="none"/>
                      <w:lang w:val="en-US" w:eastAsia="zh-CN"/>
                    </w:rPr>
                    <w:t>相对密度</w:t>
                  </w:r>
                </w:p>
              </w:tc>
              <w:tc>
                <w:tcPr>
                  <w:tcW w:w="2133" w:type="pct"/>
                  <w:gridSpan w:val="4"/>
                  <w:tcBorders>
                    <w:tl2br w:val="nil"/>
                    <w:tr2bl w:val="nil"/>
                  </w:tcBorders>
                  <w:noWrap w:val="0"/>
                  <w:vAlign w:val="center"/>
                </w:tcPr>
                <w:p w14:paraId="7FDA7401">
                  <w:pPr>
                    <w:pStyle w:val="177"/>
                    <w:rPr>
                      <w:rFonts w:hint="default" w:eastAsia="宋体"/>
                      <w:color w:val="auto"/>
                      <w:sz w:val="21"/>
                      <w:szCs w:val="21"/>
                      <w:highlight w:val="none"/>
                      <w:lang w:val="en-US" w:eastAsia="zh-CN"/>
                    </w:rPr>
                  </w:pPr>
                  <w:r>
                    <w:rPr>
                      <w:color w:val="auto"/>
                      <w:sz w:val="21"/>
                      <w:szCs w:val="21"/>
                      <w:highlight w:val="none"/>
                    </w:rPr>
                    <w:t>0.5</w:t>
                  </w:r>
                  <w:r>
                    <w:rPr>
                      <w:rFonts w:hint="eastAsia"/>
                      <w:color w:val="auto"/>
                      <w:sz w:val="21"/>
                      <w:szCs w:val="21"/>
                      <w:highlight w:val="none"/>
                      <w:lang w:val="en-US" w:eastAsia="zh-CN"/>
                    </w:rPr>
                    <w:t>976</w:t>
                  </w:r>
                </w:p>
              </w:tc>
              <w:tc>
                <w:tcPr>
                  <w:tcW w:w="2226" w:type="pct"/>
                  <w:gridSpan w:val="4"/>
                  <w:tcBorders>
                    <w:tl2br w:val="nil"/>
                    <w:tr2bl w:val="nil"/>
                  </w:tcBorders>
                  <w:noWrap w:val="0"/>
                  <w:vAlign w:val="center"/>
                </w:tcPr>
                <w:p w14:paraId="7ED5D87C">
                  <w:pPr>
                    <w:pStyle w:val="177"/>
                    <w:rPr>
                      <w:color w:val="auto"/>
                      <w:sz w:val="21"/>
                      <w:szCs w:val="21"/>
                      <w:highlight w:val="none"/>
                    </w:rPr>
                  </w:pPr>
                  <w:r>
                    <w:rPr>
                      <w:color w:val="auto"/>
                      <w:sz w:val="21"/>
                      <w:szCs w:val="21"/>
                      <w:highlight w:val="none"/>
                    </w:rPr>
                    <w:t>/</w:t>
                  </w:r>
                </w:p>
              </w:tc>
            </w:tr>
            <w:tr w14:paraId="383BD8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1" w:type="pct"/>
                  <w:tcBorders>
                    <w:tl2br w:val="nil"/>
                    <w:tr2bl w:val="nil"/>
                  </w:tcBorders>
                  <w:noWrap w:val="0"/>
                  <w:vAlign w:val="center"/>
                </w:tcPr>
                <w:p w14:paraId="1267A28C">
                  <w:pPr>
                    <w:pStyle w:val="177"/>
                    <w:rPr>
                      <w:rFonts w:hint="eastAsia" w:eastAsia="宋体"/>
                      <w:color w:val="auto"/>
                      <w:sz w:val="21"/>
                      <w:szCs w:val="21"/>
                      <w:highlight w:val="none"/>
                      <w:lang w:eastAsia="zh-CN"/>
                    </w:rPr>
                  </w:pPr>
                  <w:r>
                    <w:rPr>
                      <w:rFonts w:hint="eastAsia"/>
                      <w:color w:val="auto"/>
                      <w:sz w:val="21"/>
                      <w:szCs w:val="21"/>
                      <w:highlight w:val="none"/>
                      <w:lang w:val="en-US" w:eastAsia="zh-CN"/>
                    </w:rPr>
                    <w:t>总烃</w:t>
                  </w:r>
                </w:p>
              </w:tc>
              <w:tc>
                <w:tcPr>
                  <w:tcW w:w="2133" w:type="pct"/>
                  <w:gridSpan w:val="4"/>
                  <w:tcBorders>
                    <w:tl2br w:val="nil"/>
                    <w:tr2bl w:val="nil"/>
                  </w:tcBorders>
                  <w:noWrap w:val="0"/>
                  <w:vAlign w:val="center"/>
                </w:tcPr>
                <w:p w14:paraId="347ED47C">
                  <w:pPr>
                    <w:pStyle w:val="177"/>
                    <w:rPr>
                      <w:rFonts w:hint="default" w:eastAsia="宋体"/>
                      <w:color w:val="auto"/>
                      <w:sz w:val="21"/>
                      <w:szCs w:val="21"/>
                      <w:highlight w:val="none"/>
                      <w:lang w:val="en-US" w:eastAsia="zh-CN"/>
                    </w:rPr>
                  </w:pPr>
                  <w:r>
                    <w:rPr>
                      <w:rFonts w:hint="eastAsia"/>
                      <w:color w:val="auto"/>
                      <w:sz w:val="21"/>
                      <w:szCs w:val="21"/>
                      <w:highlight w:val="none"/>
                      <w:lang w:val="en-US" w:eastAsia="zh-CN"/>
                    </w:rPr>
                    <w:t>96.735%</w:t>
                  </w:r>
                </w:p>
              </w:tc>
              <w:tc>
                <w:tcPr>
                  <w:tcW w:w="2226" w:type="pct"/>
                  <w:gridSpan w:val="4"/>
                  <w:tcBorders>
                    <w:tl2br w:val="nil"/>
                    <w:tr2bl w:val="nil"/>
                  </w:tcBorders>
                  <w:noWrap w:val="0"/>
                  <w:vAlign w:val="center"/>
                </w:tcPr>
                <w:p w14:paraId="4B974701">
                  <w:pPr>
                    <w:pStyle w:val="177"/>
                    <w:rPr>
                      <w:color w:val="auto"/>
                      <w:sz w:val="21"/>
                      <w:szCs w:val="21"/>
                      <w:highlight w:val="none"/>
                    </w:rPr>
                  </w:pPr>
                  <w:r>
                    <w:rPr>
                      <w:color w:val="auto"/>
                      <w:sz w:val="21"/>
                      <w:szCs w:val="21"/>
                      <w:highlight w:val="none"/>
                    </w:rPr>
                    <w:t>/</w:t>
                  </w:r>
                </w:p>
              </w:tc>
            </w:tr>
            <w:tr w14:paraId="6FA58B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1" w:type="pct"/>
                  <w:tcBorders>
                    <w:tl2br w:val="nil"/>
                    <w:tr2bl w:val="nil"/>
                  </w:tcBorders>
                  <w:noWrap w:val="0"/>
                  <w:vAlign w:val="center"/>
                </w:tcPr>
                <w:p w14:paraId="44757D50">
                  <w:pPr>
                    <w:pStyle w:val="177"/>
                    <w:rPr>
                      <w:rFonts w:hint="default" w:eastAsia="宋体"/>
                      <w:color w:val="auto"/>
                      <w:sz w:val="21"/>
                      <w:szCs w:val="21"/>
                      <w:highlight w:val="none"/>
                      <w:lang w:val="en-US" w:eastAsia="zh-CN"/>
                    </w:rPr>
                  </w:pPr>
                  <w:r>
                    <w:rPr>
                      <w:rFonts w:hint="eastAsia"/>
                      <w:color w:val="auto"/>
                      <w:sz w:val="21"/>
                      <w:szCs w:val="21"/>
                      <w:highlight w:val="none"/>
                      <w:lang w:val="en-US" w:eastAsia="zh-CN"/>
                    </w:rPr>
                    <w:t>非烃类</w:t>
                  </w:r>
                </w:p>
              </w:tc>
              <w:tc>
                <w:tcPr>
                  <w:tcW w:w="2133" w:type="pct"/>
                  <w:gridSpan w:val="4"/>
                  <w:tcBorders>
                    <w:tl2br w:val="nil"/>
                    <w:tr2bl w:val="nil"/>
                  </w:tcBorders>
                  <w:noWrap w:val="0"/>
                  <w:vAlign w:val="center"/>
                </w:tcPr>
                <w:p w14:paraId="1977F300">
                  <w:pPr>
                    <w:pStyle w:val="177"/>
                    <w:rPr>
                      <w:color w:val="auto"/>
                      <w:sz w:val="21"/>
                      <w:szCs w:val="21"/>
                      <w:highlight w:val="none"/>
                    </w:rPr>
                  </w:pPr>
                  <w:r>
                    <w:rPr>
                      <w:rFonts w:hint="eastAsia"/>
                      <w:color w:val="auto"/>
                      <w:sz w:val="21"/>
                      <w:szCs w:val="21"/>
                      <w:highlight w:val="none"/>
                      <w:lang w:val="en-US" w:eastAsia="zh-CN"/>
                    </w:rPr>
                    <w:t>2.497</w:t>
                  </w:r>
                  <w:r>
                    <w:rPr>
                      <w:color w:val="auto"/>
                      <w:sz w:val="21"/>
                      <w:szCs w:val="21"/>
                      <w:highlight w:val="none"/>
                    </w:rPr>
                    <w:t>%</w:t>
                  </w:r>
                </w:p>
              </w:tc>
              <w:tc>
                <w:tcPr>
                  <w:tcW w:w="2226" w:type="pct"/>
                  <w:gridSpan w:val="4"/>
                  <w:tcBorders>
                    <w:tl2br w:val="nil"/>
                    <w:tr2bl w:val="nil"/>
                  </w:tcBorders>
                  <w:noWrap w:val="0"/>
                  <w:vAlign w:val="center"/>
                </w:tcPr>
                <w:p w14:paraId="3B263C63">
                  <w:pPr>
                    <w:pStyle w:val="177"/>
                    <w:rPr>
                      <w:color w:val="auto"/>
                      <w:sz w:val="21"/>
                      <w:szCs w:val="21"/>
                      <w:highlight w:val="none"/>
                    </w:rPr>
                  </w:pPr>
                  <w:r>
                    <w:rPr>
                      <w:color w:val="auto"/>
                      <w:sz w:val="21"/>
                      <w:szCs w:val="21"/>
                      <w:highlight w:val="none"/>
                    </w:rPr>
                    <w:t>/</w:t>
                  </w:r>
                </w:p>
              </w:tc>
            </w:tr>
          </w:tbl>
          <w:p w14:paraId="0EE8BD81">
            <w:pPr>
              <w:adjustRightInd w:val="0"/>
              <w:snapToGrid w:val="0"/>
              <w:spacing w:line="360" w:lineRule="auto"/>
              <w:ind w:firstLine="482" w:firstLineChars="200"/>
              <w:rPr>
                <w:b/>
                <w:bCs/>
                <w:color w:val="auto"/>
                <w:sz w:val="24"/>
                <w:szCs w:val="24"/>
                <w:highlight w:val="none"/>
              </w:rPr>
            </w:pPr>
            <w:r>
              <w:rPr>
                <w:rFonts w:hint="eastAsia"/>
                <w:b/>
                <w:bCs/>
                <w:color w:val="auto"/>
                <w:sz w:val="24"/>
                <w:szCs w:val="24"/>
                <w:highlight w:val="none"/>
                <w:lang w:val="en-US" w:eastAsia="zh-CN"/>
              </w:rPr>
              <w:t>5.</w:t>
            </w:r>
            <w:r>
              <w:rPr>
                <w:b/>
                <w:bCs/>
                <w:color w:val="auto"/>
                <w:sz w:val="24"/>
                <w:szCs w:val="24"/>
                <w:highlight w:val="none"/>
              </w:rPr>
              <w:t>主要</w:t>
            </w:r>
            <w:r>
              <w:rPr>
                <w:rFonts w:hint="eastAsia"/>
                <w:b/>
                <w:bCs/>
                <w:color w:val="auto"/>
                <w:sz w:val="24"/>
                <w:szCs w:val="24"/>
                <w:highlight w:val="none"/>
              </w:rPr>
              <w:t>生产设备</w:t>
            </w:r>
            <w:r>
              <w:rPr>
                <w:b/>
                <w:bCs/>
                <w:color w:val="auto"/>
                <w:sz w:val="24"/>
                <w:szCs w:val="24"/>
                <w:highlight w:val="none"/>
              </w:rPr>
              <w:t>及</w:t>
            </w:r>
            <w:r>
              <w:rPr>
                <w:rFonts w:hint="eastAsia"/>
                <w:b/>
                <w:bCs/>
                <w:color w:val="auto"/>
                <w:sz w:val="24"/>
                <w:szCs w:val="24"/>
                <w:highlight w:val="none"/>
              </w:rPr>
              <w:t>设备</w:t>
            </w:r>
            <w:r>
              <w:rPr>
                <w:b/>
                <w:bCs/>
                <w:color w:val="auto"/>
                <w:sz w:val="24"/>
                <w:szCs w:val="24"/>
                <w:highlight w:val="none"/>
              </w:rPr>
              <w:t>参数</w:t>
            </w:r>
          </w:p>
          <w:p w14:paraId="0E82CDED">
            <w:pPr>
              <w:adjustRightInd w:val="0"/>
              <w:snapToGrid w:val="0"/>
              <w:spacing w:line="360" w:lineRule="auto"/>
              <w:ind w:firstLine="480" w:firstLineChars="200"/>
              <w:rPr>
                <w:rFonts w:hint="default"/>
                <w:b w:val="0"/>
                <w:bCs w:val="0"/>
                <w:color w:val="auto"/>
                <w:sz w:val="24"/>
                <w:szCs w:val="24"/>
                <w:highlight w:val="none"/>
                <w:lang w:val="en-US" w:eastAsia="zh-CN"/>
              </w:rPr>
            </w:pPr>
            <w:r>
              <w:rPr>
                <w:rFonts w:hint="eastAsia"/>
                <w:b w:val="0"/>
                <w:bCs w:val="0"/>
                <w:color w:val="auto"/>
                <w:sz w:val="24"/>
                <w:szCs w:val="24"/>
                <w:highlight w:val="none"/>
                <w:lang w:eastAsia="zh-CN"/>
              </w:rPr>
              <w:t>（</w:t>
            </w:r>
            <w:r>
              <w:rPr>
                <w:rFonts w:hint="eastAsia"/>
                <w:b w:val="0"/>
                <w:bCs w:val="0"/>
                <w:color w:val="auto"/>
                <w:sz w:val="24"/>
                <w:szCs w:val="24"/>
                <w:highlight w:val="none"/>
                <w:lang w:val="en-US" w:eastAsia="zh-CN"/>
              </w:rPr>
              <w:t>1</w:t>
            </w:r>
            <w:r>
              <w:rPr>
                <w:rFonts w:hint="eastAsia"/>
                <w:b w:val="0"/>
                <w:bCs w:val="0"/>
                <w:color w:val="auto"/>
                <w:sz w:val="24"/>
                <w:szCs w:val="24"/>
                <w:highlight w:val="none"/>
                <w:lang w:eastAsia="zh-CN"/>
              </w:rPr>
              <w:t>）</w:t>
            </w:r>
            <w:r>
              <w:rPr>
                <w:rFonts w:hint="eastAsia"/>
                <w:b w:val="0"/>
                <w:bCs w:val="0"/>
                <w:color w:val="auto"/>
                <w:sz w:val="24"/>
                <w:szCs w:val="24"/>
                <w:highlight w:val="none"/>
                <w:lang w:val="en-US" w:eastAsia="zh-CN"/>
              </w:rPr>
              <w:t>供热站设备</w:t>
            </w:r>
          </w:p>
          <w:p w14:paraId="30C048A5">
            <w:pPr>
              <w:adjustRightInd w:val="0"/>
              <w:snapToGrid w:val="0"/>
              <w:spacing w:line="360" w:lineRule="auto"/>
              <w:ind w:firstLine="480" w:firstLineChars="200"/>
              <w:rPr>
                <w:bCs/>
                <w:color w:val="auto"/>
                <w:sz w:val="24"/>
                <w:szCs w:val="24"/>
                <w:highlight w:val="none"/>
              </w:rPr>
            </w:pPr>
            <w:r>
              <w:rPr>
                <w:b w:val="0"/>
                <w:bCs w:val="0"/>
                <w:color w:val="auto"/>
                <w:sz w:val="24"/>
                <w:szCs w:val="24"/>
                <w:highlight w:val="none"/>
              </w:rPr>
              <w:t>本项目</w:t>
            </w:r>
            <w:r>
              <w:rPr>
                <w:rFonts w:hint="eastAsia"/>
                <w:b w:val="0"/>
                <w:bCs w:val="0"/>
                <w:color w:val="auto"/>
                <w:sz w:val="24"/>
                <w:szCs w:val="24"/>
                <w:highlight w:val="none"/>
              </w:rPr>
              <w:t>主要生产设备为锅炉、水泵等，</w:t>
            </w:r>
            <w:r>
              <w:rPr>
                <w:b w:val="0"/>
                <w:bCs w:val="0"/>
                <w:color w:val="auto"/>
                <w:sz w:val="24"/>
                <w:szCs w:val="24"/>
                <w:highlight w:val="none"/>
              </w:rPr>
              <w:t>主要</w:t>
            </w:r>
            <w:r>
              <w:rPr>
                <w:rFonts w:hint="eastAsia"/>
                <w:b w:val="0"/>
                <w:bCs w:val="0"/>
                <w:color w:val="auto"/>
                <w:sz w:val="24"/>
                <w:szCs w:val="24"/>
                <w:highlight w:val="none"/>
              </w:rPr>
              <w:t>生产设施</w:t>
            </w:r>
            <w:r>
              <w:rPr>
                <w:b w:val="0"/>
                <w:bCs w:val="0"/>
                <w:color w:val="auto"/>
                <w:sz w:val="24"/>
                <w:szCs w:val="24"/>
                <w:highlight w:val="none"/>
              </w:rPr>
              <w:t>及设施参数见表</w:t>
            </w:r>
            <w:r>
              <w:rPr>
                <w:bCs/>
                <w:color w:val="auto"/>
                <w:sz w:val="24"/>
                <w:szCs w:val="24"/>
                <w:highlight w:val="none"/>
              </w:rPr>
              <w:t>2</w:t>
            </w:r>
            <w:r>
              <w:rPr>
                <w:rFonts w:hint="eastAsia"/>
                <w:bCs/>
                <w:color w:val="auto"/>
                <w:sz w:val="24"/>
                <w:szCs w:val="24"/>
                <w:highlight w:val="none"/>
              </w:rPr>
              <w:t>-</w:t>
            </w:r>
            <w:r>
              <w:rPr>
                <w:rFonts w:hint="eastAsia"/>
                <w:bCs/>
                <w:color w:val="auto"/>
                <w:sz w:val="24"/>
                <w:szCs w:val="24"/>
                <w:highlight w:val="none"/>
                <w:lang w:val="en-US" w:eastAsia="zh-CN"/>
              </w:rPr>
              <w:t>4</w:t>
            </w:r>
            <w:r>
              <w:rPr>
                <w:bCs/>
                <w:color w:val="auto"/>
                <w:sz w:val="24"/>
                <w:szCs w:val="24"/>
                <w:highlight w:val="none"/>
              </w:rPr>
              <w:t>。</w:t>
            </w:r>
          </w:p>
          <w:p w14:paraId="74BE42F7">
            <w:pPr>
              <w:adjustRightInd w:val="0"/>
              <w:snapToGrid w:val="0"/>
              <w:ind w:firstLine="482" w:firstLineChars="200"/>
              <w:jc w:val="center"/>
              <w:rPr>
                <w:b/>
                <w:bCs/>
                <w:color w:val="auto"/>
                <w:sz w:val="24"/>
                <w:szCs w:val="24"/>
                <w:highlight w:val="none"/>
              </w:rPr>
            </w:pPr>
            <w:r>
              <w:rPr>
                <w:rFonts w:hint="eastAsia"/>
                <w:b/>
                <w:bCs/>
                <w:color w:val="auto"/>
                <w:sz w:val="24"/>
                <w:szCs w:val="24"/>
                <w:highlight w:val="none"/>
              </w:rPr>
              <w:t>表2-</w:t>
            </w:r>
            <w:r>
              <w:rPr>
                <w:rFonts w:hint="eastAsia"/>
                <w:b/>
                <w:bCs/>
                <w:color w:val="auto"/>
                <w:sz w:val="24"/>
                <w:szCs w:val="24"/>
                <w:highlight w:val="none"/>
                <w:lang w:val="en-US" w:eastAsia="zh-CN"/>
              </w:rPr>
              <w:t xml:space="preserve">4 </w:t>
            </w:r>
            <w:r>
              <w:rPr>
                <w:rFonts w:hint="eastAsia"/>
                <w:b/>
                <w:bCs/>
                <w:color w:val="auto"/>
                <w:sz w:val="24"/>
                <w:szCs w:val="24"/>
                <w:highlight w:val="none"/>
              </w:rPr>
              <w:t xml:space="preserve">  </w:t>
            </w:r>
            <w:r>
              <w:rPr>
                <w:rFonts w:hint="eastAsia"/>
                <w:b/>
                <w:bCs/>
                <w:color w:val="auto"/>
                <w:sz w:val="24"/>
                <w:szCs w:val="24"/>
                <w:highlight w:val="none"/>
                <w:lang w:eastAsia="zh-CN"/>
              </w:rPr>
              <w:t>项目</w:t>
            </w:r>
            <w:r>
              <w:rPr>
                <w:rFonts w:hint="eastAsia"/>
                <w:b/>
                <w:bCs/>
                <w:color w:val="auto"/>
                <w:sz w:val="24"/>
                <w:szCs w:val="24"/>
                <w:highlight w:val="none"/>
              </w:rPr>
              <w:t>主要生产设施及设施参数一览表</w:t>
            </w:r>
          </w:p>
          <w:tbl>
            <w:tblPr>
              <w:tblStyle w:val="37"/>
              <w:tblW w:w="4982"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715"/>
              <w:gridCol w:w="1788"/>
              <w:gridCol w:w="1893"/>
              <w:gridCol w:w="1361"/>
              <w:gridCol w:w="1546"/>
              <w:gridCol w:w="1408"/>
            </w:tblGrid>
            <w:tr w14:paraId="0BC060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10" w:type="pct"/>
                  <w:tcBorders>
                    <w:tl2br w:val="nil"/>
                    <w:tr2bl w:val="nil"/>
                  </w:tcBorders>
                  <w:noWrap w:val="0"/>
                  <w:vAlign w:val="center"/>
                </w:tcPr>
                <w:p w14:paraId="11CB533A">
                  <w:pPr>
                    <w:keepNext w:val="0"/>
                    <w:keepLines w:val="0"/>
                    <w:suppressLineNumbers w:val="0"/>
                    <w:autoSpaceDE w:val="0"/>
                    <w:autoSpaceDN w:val="0"/>
                    <w:spacing w:before="0" w:beforeAutospacing="0" w:after="0" w:afterAutospacing="0" w:line="240" w:lineRule="auto"/>
                    <w:ind w:left="0" w:right="0"/>
                    <w:jc w:val="center"/>
                    <w:rPr>
                      <w:rFonts w:hint="eastAsia" w:ascii="Times New Roman" w:hAnsi="Times New Roman" w:eastAsia="宋体" w:cs="Times New Roman"/>
                      <w:b/>
                      <w:color w:val="auto"/>
                      <w:sz w:val="21"/>
                      <w:szCs w:val="21"/>
                      <w:highlight w:val="none"/>
                      <w:lang w:eastAsia="zh-CN"/>
                    </w:rPr>
                  </w:pPr>
                  <w:r>
                    <w:rPr>
                      <w:rFonts w:hint="eastAsia" w:cs="Times New Roman"/>
                      <w:b/>
                      <w:color w:val="auto"/>
                      <w:sz w:val="21"/>
                      <w:szCs w:val="21"/>
                      <w:highlight w:val="none"/>
                      <w:lang w:val="en-US" w:eastAsia="zh-CN"/>
                    </w:rPr>
                    <w:t>序号</w:t>
                  </w:r>
                </w:p>
              </w:tc>
              <w:tc>
                <w:tcPr>
                  <w:tcW w:w="1026" w:type="pct"/>
                  <w:tcBorders>
                    <w:tl2br w:val="nil"/>
                    <w:tr2bl w:val="nil"/>
                  </w:tcBorders>
                  <w:shd w:val="clear" w:color="auto" w:fill="auto"/>
                  <w:noWrap w:val="0"/>
                  <w:vAlign w:val="center"/>
                </w:tcPr>
                <w:p w14:paraId="6417A080">
                  <w:pPr>
                    <w:keepNext w:val="0"/>
                    <w:keepLines w:val="0"/>
                    <w:suppressLineNumbers w:val="0"/>
                    <w:autoSpaceDE w:val="0"/>
                    <w:autoSpaceDN w:val="0"/>
                    <w:spacing w:before="0" w:beforeAutospacing="0" w:after="0" w:afterAutospacing="0" w:line="240" w:lineRule="auto"/>
                    <w:ind w:left="0" w:leftChars="0" w:right="0" w:rightChars="0"/>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auto"/>
                      <w:sz w:val="21"/>
                      <w:szCs w:val="21"/>
                      <w:highlight w:val="none"/>
                    </w:rPr>
                    <w:t>设备名称</w:t>
                  </w:r>
                </w:p>
              </w:tc>
              <w:tc>
                <w:tcPr>
                  <w:tcW w:w="1086" w:type="pct"/>
                  <w:tcBorders>
                    <w:tl2br w:val="nil"/>
                    <w:tr2bl w:val="nil"/>
                  </w:tcBorders>
                  <w:noWrap w:val="0"/>
                  <w:vAlign w:val="center"/>
                </w:tcPr>
                <w:p w14:paraId="71FB5B38">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规格型号</w:t>
                  </w:r>
                </w:p>
              </w:tc>
              <w:tc>
                <w:tcPr>
                  <w:tcW w:w="781" w:type="pct"/>
                  <w:tcBorders>
                    <w:tl2br w:val="nil"/>
                    <w:tr2bl w:val="nil"/>
                  </w:tcBorders>
                  <w:noWrap w:val="0"/>
                  <w:vAlign w:val="center"/>
                </w:tcPr>
                <w:p w14:paraId="63BBD94E">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单位</w:t>
                  </w:r>
                </w:p>
              </w:tc>
              <w:tc>
                <w:tcPr>
                  <w:tcW w:w="887" w:type="pct"/>
                  <w:tcBorders>
                    <w:tl2br w:val="nil"/>
                    <w:tr2bl w:val="nil"/>
                  </w:tcBorders>
                  <w:noWrap w:val="0"/>
                  <w:vAlign w:val="center"/>
                </w:tcPr>
                <w:p w14:paraId="4ED6A3D0">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eastAsia="宋体" w:cs="Times New Roman"/>
                      <w:b/>
                      <w:color w:val="auto"/>
                      <w:sz w:val="21"/>
                      <w:szCs w:val="21"/>
                      <w:highlight w:val="none"/>
                      <w:lang w:val="en-US" w:eastAsia="zh-CN"/>
                    </w:rPr>
                  </w:pPr>
                  <w:r>
                    <w:rPr>
                      <w:rFonts w:hint="eastAsia" w:ascii="Times New Roman" w:hAnsi="Times New Roman" w:cs="Times New Roman"/>
                      <w:b/>
                      <w:color w:val="auto"/>
                      <w:sz w:val="21"/>
                      <w:szCs w:val="21"/>
                      <w:highlight w:val="none"/>
                      <w:lang w:val="en-US" w:eastAsia="zh-CN"/>
                    </w:rPr>
                    <w:t>实际数量</w:t>
                  </w:r>
                </w:p>
              </w:tc>
              <w:tc>
                <w:tcPr>
                  <w:tcW w:w="808" w:type="pct"/>
                  <w:tcBorders>
                    <w:tl2br w:val="nil"/>
                    <w:tr2bl w:val="nil"/>
                  </w:tcBorders>
                  <w:noWrap w:val="0"/>
                  <w:vAlign w:val="center"/>
                </w:tcPr>
                <w:p w14:paraId="49D21E54">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eastAsia="宋体" w:cs="Times New Roman"/>
                      <w:b/>
                      <w:color w:val="auto"/>
                      <w:sz w:val="21"/>
                      <w:szCs w:val="21"/>
                      <w:highlight w:val="none"/>
                      <w:lang w:val="en-US" w:eastAsia="zh-CN"/>
                    </w:rPr>
                  </w:pPr>
                  <w:r>
                    <w:rPr>
                      <w:rFonts w:hint="eastAsia" w:ascii="Times New Roman" w:hAnsi="Times New Roman" w:cs="Times New Roman"/>
                      <w:b/>
                      <w:color w:val="auto"/>
                      <w:sz w:val="21"/>
                      <w:szCs w:val="21"/>
                      <w:highlight w:val="none"/>
                      <w:lang w:val="en-US" w:eastAsia="zh-CN"/>
                    </w:rPr>
                    <w:t>备注</w:t>
                  </w:r>
                </w:p>
              </w:tc>
            </w:tr>
            <w:tr w14:paraId="23B053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10" w:type="pct"/>
                  <w:tcBorders>
                    <w:tl2br w:val="nil"/>
                    <w:tr2bl w:val="nil"/>
                  </w:tcBorders>
                  <w:noWrap w:val="0"/>
                  <w:vAlign w:val="center"/>
                </w:tcPr>
                <w:p w14:paraId="7A6E7BD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026" w:type="pct"/>
                  <w:tcBorders>
                    <w:tl2br w:val="nil"/>
                    <w:tr2bl w:val="nil"/>
                  </w:tcBorders>
                  <w:shd w:val="clear" w:color="auto" w:fill="auto"/>
                  <w:noWrap w:val="0"/>
                  <w:vAlign w:val="center"/>
                </w:tcPr>
                <w:p w14:paraId="1878DC0A">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模块锅炉</w:t>
                  </w:r>
                </w:p>
              </w:tc>
              <w:tc>
                <w:tcPr>
                  <w:tcW w:w="1086" w:type="pct"/>
                  <w:tcBorders>
                    <w:tl2br w:val="nil"/>
                    <w:tr2bl w:val="nil"/>
                  </w:tcBorders>
                  <w:noWrap w:val="0"/>
                  <w:vAlign w:val="center"/>
                </w:tcPr>
                <w:p w14:paraId="0DE74E6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额定供热量：1400kW</w:t>
                  </w:r>
                </w:p>
              </w:tc>
              <w:tc>
                <w:tcPr>
                  <w:tcW w:w="781" w:type="pct"/>
                  <w:tcBorders>
                    <w:tl2br w:val="nil"/>
                    <w:tr2bl w:val="nil"/>
                  </w:tcBorders>
                  <w:noWrap w:val="0"/>
                  <w:vAlign w:val="center"/>
                </w:tcPr>
                <w:p w14:paraId="570B3D1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组</w:t>
                  </w:r>
                </w:p>
              </w:tc>
              <w:tc>
                <w:tcPr>
                  <w:tcW w:w="887" w:type="pct"/>
                  <w:tcBorders>
                    <w:tl2br w:val="nil"/>
                    <w:tr2bl w:val="nil"/>
                  </w:tcBorders>
                  <w:noWrap w:val="0"/>
                  <w:vAlign w:val="center"/>
                </w:tcPr>
                <w:p w14:paraId="1600BF4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808" w:type="pct"/>
                  <w:tcBorders>
                    <w:tl2br w:val="nil"/>
                    <w:tr2bl w:val="nil"/>
                  </w:tcBorders>
                  <w:noWrap w:val="0"/>
                  <w:vAlign w:val="center"/>
                </w:tcPr>
                <w:p w14:paraId="303104F2">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2.0</w:t>
                  </w:r>
                  <w:r>
                    <w:rPr>
                      <w:rFonts w:hint="eastAsia" w:ascii="Times New Roman" w:hAnsi="Times New Roman" w:cs="Times New Roman"/>
                      <w:color w:val="auto"/>
                      <w:sz w:val="21"/>
                      <w:szCs w:val="21"/>
                      <w:highlight w:val="none"/>
                      <w:lang w:val="en-US" w:eastAsia="zh-CN"/>
                    </w:rPr>
                    <w:t>t/h</w:t>
                  </w:r>
                </w:p>
              </w:tc>
            </w:tr>
            <w:tr w14:paraId="3EEF8C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10" w:type="pct"/>
                  <w:tcBorders>
                    <w:tl2br w:val="nil"/>
                    <w:tr2bl w:val="nil"/>
                  </w:tcBorders>
                  <w:shd w:val="clear" w:color="auto" w:fill="auto"/>
                  <w:noWrap w:val="0"/>
                  <w:vAlign w:val="center"/>
                </w:tcPr>
                <w:p w14:paraId="159CEE4B">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w:t>
                  </w:r>
                </w:p>
              </w:tc>
              <w:tc>
                <w:tcPr>
                  <w:tcW w:w="1026" w:type="pct"/>
                  <w:tcBorders>
                    <w:tl2br w:val="nil"/>
                    <w:tr2bl w:val="nil"/>
                  </w:tcBorders>
                  <w:shd w:val="clear" w:color="auto" w:fill="auto"/>
                  <w:noWrap w:val="0"/>
                  <w:vAlign w:val="center"/>
                </w:tcPr>
                <w:p w14:paraId="01B67B8F">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模块锅炉</w:t>
                  </w:r>
                </w:p>
              </w:tc>
              <w:tc>
                <w:tcPr>
                  <w:tcW w:w="1086" w:type="pct"/>
                  <w:tcBorders>
                    <w:tl2br w:val="nil"/>
                    <w:tr2bl w:val="nil"/>
                  </w:tcBorders>
                  <w:shd w:val="clear" w:color="auto" w:fill="auto"/>
                  <w:noWrap w:val="0"/>
                  <w:vAlign w:val="center"/>
                </w:tcPr>
                <w:p w14:paraId="662A4F36">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额定供热量：700kW</w:t>
                  </w:r>
                </w:p>
              </w:tc>
              <w:tc>
                <w:tcPr>
                  <w:tcW w:w="781" w:type="pct"/>
                  <w:tcBorders>
                    <w:tl2br w:val="nil"/>
                    <w:tr2bl w:val="nil"/>
                  </w:tcBorders>
                  <w:shd w:val="clear" w:color="auto" w:fill="auto"/>
                  <w:noWrap w:val="0"/>
                  <w:vAlign w:val="center"/>
                </w:tcPr>
                <w:p w14:paraId="79A2996E">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组</w:t>
                  </w:r>
                </w:p>
              </w:tc>
              <w:tc>
                <w:tcPr>
                  <w:tcW w:w="887" w:type="pct"/>
                  <w:tcBorders>
                    <w:tl2br w:val="nil"/>
                    <w:tr2bl w:val="nil"/>
                  </w:tcBorders>
                  <w:shd w:val="clear" w:color="auto" w:fill="auto"/>
                  <w:noWrap w:val="0"/>
                  <w:vAlign w:val="center"/>
                </w:tcPr>
                <w:p w14:paraId="6CB7DE4A">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808" w:type="pct"/>
                  <w:tcBorders>
                    <w:tl2br w:val="nil"/>
                    <w:tr2bl w:val="nil"/>
                  </w:tcBorders>
                  <w:noWrap w:val="0"/>
                  <w:vAlign w:val="center"/>
                </w:tcPr>
                <w:p w14:paraId="5BFED40A">
                  <w:pPr>
                    <w:keepNext w:val="0"/>
                    <w:keepLines w:val="0"/>
                    <w:suppressLineNumbers w:val="0"/>
                    <w:spacing w:before="0" w:beforeAutospacing="0" w:after="0" w:afterAutospacing="0" w:line="240" w:lineRule="auto"/>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w:t>
                  </w:r>
                  <w:r>
                    <w:rPr>
                      <w:rFonts w:hint="eastAsia" w:ascii="Times New Roman" w:hAnsi="Times New Roman" w:cs="Times New Roman"/>
                      <w:color w:val="auto"/>
                      <w:sz w:val="21"/>
                      <w:szCs w:val="21"/>
                      <w:highlight w:val="none"/>
                      <w:lang w:val="en-US" w:eastAsia="zh-CN"/>
                    </w:rPr>
                    <w:t>t/h</w:t>
                  </w:r>
                </w:p>
              </w:tc>
            </w:tr>
            <w:tr w14:paraId="3DA58E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10" w:type="pct"/>
                  <w:tcBorders>
                    <w:tl2br w:val="nil"/>
                    <w:tr2bl w:val="nil"/>
                  </w:tcBorders>
                  <w:shd w:val="clear" w:color="auto" w:fill="auto"/>
                  <w:noWrap w:val="0"/>
                  <w:vAlign w:val="center"/>
                </w:tcPr>
                <w:p w14:paraId="6D44CAFA">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w:t>
                  </w:r>
                </w:p>
              </w:tc>
              <w:tc>
                <w:tcPr>
                  <w:tcW w:w="1026" w:type="pct"/>
                  <w:tcBorders>
                    <w:tl2br w:val="nil"/>
                    <w:tr2bl w:val="nil"/>
                  </w:tcBorders>
                  <w:shd w:val="clear" w:color="auto" w:fill="auto"/>
                  <w:noWrap w:val="0"/>
                  <w:vAlign w:val="center"/>
                </w:tcPr>
                <w:p w14:paraId="61F2BC93">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板式换热器</w:t>
                  </w:r>
                </w:p>
              </w:tc>
              <w:tc>
                <w:tcPr>
                  <w:tcW w:w="1086" w:type="pct"/>
                  <w:tcBorders>
                    <w:tl2br w:val="nil"/>
                    <w:tr2bl w:val="nil"/>
                  </w:tcBorders>
                  <w:noWrap w:val="0"/>
                  <w:vAlign w:val="center"/>
                </w:tcPr>
                <w:p w14:paraId="6627158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换热量：1835kW</w:t>
                  </w:r>
                </w:p>
              </w:tc>
              <w:tc>
                <w:tcPr>
                  <w:tcW w:w="781" w:type="pct"/>
                  <w:tcBorders>
                    <w:tl2br w:val="nil"/>
                    <w:tr2bl w:val="nil"/>
                  </w:tcBorders>
                  <w:shd w:val="clear" w:color="auto" w:fill="auto"/>
                  <w:noWrap w:val="0"/>
                  <w:vAlign w:val="center"/>
                </w:tcPr>
                <w:p w14:paraId="15B50788">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组</w:t>
                  </w:r>
                </w:p>
              </w:tc>
              <w:tc>
                <w:tcPr>
                  <w:tcW w:w="887" w:type="pct"/>
                  <w:tcBorders>
                    <w:tl2br w:val="nil"/>
                    <w:tr2bl w:val="nil"/>
                  </w:tcBorders>
                  <w:shd w:val="clear" w:color="auto" w:fill="auto"/>
                  <w:noWrap w:val="0"/>
                  <w:vAlign w:val="center"/>
                </w:tcPr>
                <w:p w14:paraId="6748652F">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w:t>
                  </w:r>
                </w:p>
              </w:tc>
              <w:tc>
                <w:tcPr>
                  <w:tcW w:w="808" w:type="pct"/>
                  <w:tcBorders>
                    <w:tl2br w:val="nil"/>
                    <w:tr2bl w:val="nil"/>
                  </w:tcBorders>
                  <w:noWrap w:val="0"/>
                  <w:vAlign w:val="center"/>
                </w:tcPr>
                <w:p w14:paraId="079CF6C9">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14:paraId="247DDE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410" w:type="pct"/>
                  <w:tcBorders>
                    <w:tl2br w:val="nil"/>
                    <w:tr2bl w:val="nil"/>
                  </w:tcBorders>
                  <w:shd w:val="clear" w:color="auto" w:fill="auto"/>
                  <w:noWrap w:val="0"/>
                  <w:vAlign w:val="center"/>
                </w:tcPr>
                <w:p w14:paraId="745907BF">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4</w:t>
                  </w:r>
                </w:p>
              </w:tc>
              <w:tc>
                <w:tcPr>
                  <w:tcW w:w="1026" w:type="pct"/>
                  <w:tcBorders>
                    <w:tl2br w:val="nil"/>
                    <w:tr2bl w:val="nil"/>
                  </w:tcBorders>
                  <w:shd w:val="clear" w:color="auto" w:fill="auto"/>
                  <w:noWrap w:val="0"/>
                  <w:vAlign w:val="center"/>
                </w:tcPr>
                <w:p w14:paraId="6A60C2F7">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一次热水循环泵</w:t>
                  </w:r>
                </w:p>
              </w:tc>
              <w:tc>
                <w:tcPr>
                  <w:tcW w:w="1086" w:type="pct"/>
                  <w:tcBorders>
                    <w:tl2br w:val="nil"/>
                    <w:tr2bl w:val="nil"/>
                  </w:tcBorders>
                  <w:noWrap w:val="0"/>
                  <w:vAlign w:val="center"/>
                </w:tcPr>
                <w:p w14:paraId="53568E3A">
                  <w:pPr>
                    <w:keepNext w:val="0"/>
                    <w:keepLines w:val="0"/>
                    <w:suppressLineNumbers w:val="0"/>
                    <w:spacing w:before="0" w:beforeAutospacing="0" w:after="0" w:afterAutospacing="0" w:line="240" w:lineRule="auto"/>
                    <w:ind w:left="0" w:right="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流量</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90m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/h</w:t>
                  </w:r>
                </w:p>
              </w:tc>
              <w:tc>
                <w:tcPr>
                  <w:tcW w:w="781" w:type="pct"/>
                  <w:tcBorders>
                    <w:tl2br w:val="nil"/>
                    <w:tr2bl w:val="nil"/>
                  </w:tcBorders>
                  <w:shd w:val="clear" w:color="auto" w:fill="auto"/>
                  <w:noWrap w:val="0"/>
                  <w:vAlign w:val="center"/>
                </w:tcPr>
                <w:p w14:paraId="38DDFFBC">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台</w:t>
                  </w:r>
                </w:p>
              </w:tc>
              <w:tc>
                <w:tcPr>
                  <w:tcW w:w="887" w:type="pct"/>
                  <w:tcBorders>
                    <w:tl2br w:val="nil"/>
                    <w:tr2bl w:val="nil"/>
                  </w:tcBorders>
                  <w:shd w:val="clear" w:color="auto" w:fill="auto"/>
                  <w:noWrap w:val="0"/>
                  <w:vAlign w:val="center"/>
                </w:tcPr>
                <w:p w14:paraId="7C14339A">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2</w:t>
                  </w:r>
                </w:p>
              </w:tc>
              <w:tc>
                <w:tcPr>
                  <w:tcW w:w="808" w:type="pct"/>
                  <w:tcBorders>
                    <w:tl2br w:val="nil"/>
                    <w:tr2bl w:val="nil"/>
                  </w:tcBorders>
                  <w:noWrap w:val="0"/>
                  <w:vAlign w:val="center"/>
                </w:tcPr>
                <w:p w14:paraId="04E1C3F7">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1用1备</w:t>
                  </w:r>
                </w:p>
              </w:tc>
            </w:tr>
            <w:tr w14:paraId="6DC89C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10" w:type="pct"/>
                  <w:tcBorders>
                    <w:tl2br w:val="nil"/>
                    <w:tr2bl w:val="nil"/>
                  </w:tcBorders>
                  <w:shd w:val="clear" w:color="auto" w:fill="auto"/>
                  <w:noWrap w:val="0"/>
                  <w:vAlign w:val="center"/>
                </w:tcPr>
                <w:p w14:paraId="5A5BC692">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5</w:t>
                  </w:r>
                </w:p>
              </w:tc>
              <w:tc>
                <w:tcPr>
                  <w:tcW w:w="1026" w:type="pct"/>
                  <w:tcBorders>
                    <w:tl2br w:val="nil"/>
                    <w:tr2bl w:val="nil"/>
                  </w:tcBorders>
                  <w:shd w:val="clear" w:color="auto" w:fill="auto"/>
                  <w:noWrap w:val="0"/>
                  <w:vAlign w:val="center"/>
                </w:tcPr>
                <w:p w14:paraId="58E0EBB7">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二次热水循环泵</w:t>
                  </w:r>
                </w:p>
              </w:tc>
              <w:tc>
                <w:tcPr>
                  <w:tcW w:w="1086" w:type="pct"/>
                  <w:tcBorders>
                    <w:tl2br w:val="nil"/>
                    <w:tr2bl w:val="nil"/>
                  </w:tcBorders>
                  <w:shd w:val="clear" w:color="auto" w:fill="auto"/>
                  <w:noWrap w:val="0"/>
                  <w:vAlign w:val="center"/>
                </w:tcPr>
                <w:p w14:paraId="2656D92E">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流量</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158m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/h</w:t>
                  </w:r>
                </w:p>
              </w:tc>
              <w:tc>
                <w:tcPr>
                  <w:tcW w:w="781" w:type="pct"/>
                  <w:tcBorders>
                    <w:tl2br w:val="nil"/>
                    <w:tr2bl w:val="nil"/>
                  </w:tcBorders>
                  <w:shd w:val="clear" w:color="auto" w:fill="auto"/>
                  <w:noWrap w:val="0"/>
                  <w:vAlign w:val="center"/>
                </w:tcPr>
                <w:p w14:paraId="2FDF0491">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台</w:t>
                  </w:r>
                </w:p>
              </w:tc>
              <w:tc>
                <w:tcPr>
                  <w:tcW w:w="887" w:type="pct"/>
                  <w:tcBorders>
                    <w:tl2br w:val="nil"/>
                    <w:tr2bl w:val="nil"/>
                  </w:tcBorders>
                  <w:shd w:val="clear" w:color="auto" w:fill="auto"/>
                  <w:noWrap w:val="0"/>
                  <w:vAlign w:val="center"/>
                </w:tcPr>
                <w:p w14:paraId="725B64E6">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2</w:t>
                  </w:r>
                </w:p>
              </w:tc>
              <w:tc>
                <w:tcPr>
                  <w:tcW w:w="808" w:type="pct"/>
                  <w:tcBorders>
                    <w:tl2br w:val="nil"/>
                    <w:tr2bl w:val="nil"/>
                  </w:tcBorders>
                  <w:noWrap w:val="0"/>
                  <w:vAlign w:val="center"/>
                </w:tcPr>
                <w:p w14:paraId="0C6B14FD">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1用1备</w:t>
                  </w:r>
                </w:p>
              </w:tc>
            </w:tr>
            <w:tr w14:paraId="0265BE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10" w:type="pct"/>
                  <w:tcBorders>
                    <w:tl2br w:val="nil"/>
                    <w:tr2bl w:val="nil"/>
                  </w:tcBorders>
                  <w:shd w:val="clear" w:color="auto" w:fill="auto"/>
                  <w:noWrap w:val="0"/>
                  <w:vAlign w:val="center"/>
                </w:tcPr>
                <w:p w14:paraId="5BE3CAAA">
                  <w:pPr>
                    <w:keepNext w:val="0"/>
                    <w:keepLines w:val="0"/>
                    <w:widowControl/>
                    <w:suppressLineNumbers w:val="0"/>
                    <w:spacing w:before="0" w:beforeAutospacing="0" w:after="0" w:afterAutospacing="0"/>
                    <w:ind w:left="0" w:leftChars="0" w:right="0" w:rightChars="0"/>
                    <w:jc w:val="center"/>
                    <w:textAlignment w:val="bottom"/>
                    <w:rPr>
                      <w:rFonts w:hint="eastAsia"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6</w:t>
                  </w:r>
                </w:p>
              </w:tc>
              <w:tc>
                <w:tcPr>
                  <w:tcW w:w="1026" w:type="pct"/>
                  <w:tcBorders>
                    <w:tl2br w:val="nil"/>
                    <w:tr2bl w:val="nil"/>
                  </w:tcBorders>
                  <w:shd w:val="clear" w:color="auto" w:fill="auto"/>
                  <w:noWrap w:val="0"/>
                  <w:vAlign w:val="center"/>
                </w:tcPr>
                <w:p w14:paraId="10FA697C">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补水泵</w:t>
                  </w:r>
                </w:p>
              </w:tc>
              <w:tc>
                <w:tcPr>
                  <w:tcW w:w="1086" w:type="pct"/>
                  <w:tcBorders>
                    <w:tl2br w:val="nil"/>
                    <w:tr2bl w:val="nil"/>
                  </w:tcBorders>
                  <w:shd w:val="clear" w:color="auto" w:fill="auto"/>
                  <w:noWrap w:val="0"/>
                  <w:vAlign w:val="center"/>
                </w:tcPr>
                <w:p w14:paraId="5E17768A">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流量</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3.2m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/h</w:t>
                  </w:r>
                </w:p>
              </w:tc>
              <w:tc>
                <w:tcPr>
                  <w:tcW w:w="781" w:type="pct"/>
                  <w:tcBorders>
                    <w:tl2br w:val="nil"/>
                    <w:tr2bl w:val="nil"/>
                  </w:tcBorders>
                  <w:shd w:val="clear" w:color="auto" w:fill="auto"/>
                  <w:noWrap w:val="0"/>
                  <w:vAlign w:val="center"/>
                </w:tcPr>
                <w:p w14:paraId="5662972D">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台</w:t>
                  </w:r>
                </w:p>
              </w:tc>
              <w:tc>
                <w:tcPr>
                  <w:tcW w:w="887" w:type="pct"/>
                  <w:tcBorders>
                    <w:tl2br w:val="nil"/>
                    <w:tr2bl w:val="nil"/>
                  </w:tcBorders>
                  <w:shd w:val="clear" w:color="auto" w:fill="auto"/>
                  <w:noWrap w:val="0"/>
                  <w:vAlign w:val="center"/>
                </w:tcPr>
                <w:p w14:paraId="238E8384">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2</w:t>
                  </w:r>
                </w:p>
              </w:tc>
              <w:tc>
                <w:tcPr>
                  <w:tcW w:w="808" w:type="pct"/>
                  <w:tcBorders>
                    <w:tl2br w:val="nil"/>
                    <w:tr2bl w:val="nil"/>
                  </w:tcBorders>
                  <w:noWrap w:val="0"/>
                  <w:vAlign w:val="center"/>
                </w:tcPr>
                <w:p w14:paraId="4D2DA0F6">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1用1备</w:t>
                  </w:r>
                </w:p>
              </w:tc>
            </w:tr>
            <w:tr w14:paraId="756306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10" w:type="pct"/>
                  <w:tcBorders>
                    <w:tl2br w:val="nil"/>
                    <w:tr2bl w:val="nil"/>
                  </w:tcBorders>
                  <w:shd w:val="clear" w:color="auto" w:fill="auto"/>
                  <w:noWrap w:val="0"/>
                  <w:vAlign w:val="center"/>
                </w:tcPr>
                <w:p w14:paraId="07AFD989">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7</w:t>
                  </w:r>
                </w:p>
              </w:tc>
              <w:tc>
                <w:tcPr>
                  <w:tcW w:w="1026" w:type="pct"/>
                  <w:tcBorders>
                    <w:tl2br w:val="nil"/>
                    <w:tr2bl w:val="nil"/>
                  </w:tcBorders>
                  <w:shd w:val="clear" w:color="auto" w:fill="auto"/>
                  <w:noWrap w:val="0"/>
                  <w:vAlign w:val="center"/>
                </w:tcPr>
                <w:p w14:paraId="43F06927">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软水系统</w:t>
                  </w:r>
                </w:p>
              </w:tc>
              <w:tc>
                <w:tcPr>
                  <w:tcW w:w="1086" w:type="pct"/>
                  <w:tcBorders>
                    <w:tl2br w:val="nil"/>
                    <w:tr2bl w:val="nil"/>
                  </w:tcBorders>
                  <w:noWrap w:val="0"/>
                  <w:vAlign w:val="center"/>
                </w:tcPr>
                <w:p w14:paraId="14F60929">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生产能力：</w:t>
                  </w:r>
                  <w:r>
                    <w:rPr>
                      <w:rFonts w:hint="eastAsia" w:cs="Times New Roman"/>
                      <w:color w:val="auto"/>
                      <w:sz w:val="21"/>
                      <w:szCs w:val="21"/>
                      <w:highlight w:val="none"/>
                      <w:lang w:val="en-US" w:eastAsia="zh-CN"/>
                    </w:rPr>
                    <w:t>3</w:t>
                  </w:r>
                  <w:r>
                    <w:rPr>
                      <w:rFonts w:hint="eastAsia" w:ascii="Times New Roman" w:hAnsi="Times New Roman" w:cs="Times New Roman"/>
                      <w:color w:val="auto"/>
                      <w:sz w:val="21"/>
                      <w:szCs w:val="21"/>
                      <w:highlight w:val="none"/>
                      <w:lang w:val="en-US" w:eastAsia="zh-CN"/>
                    </w:rPr>
                    <w:t>t/h</w:t>
                  </w:r>
                </w:p>
              </w:tc>
              <w:tc>
                <w:tcPr>
                  <w:tcW w:w="781" w:type="pct"/>
                  <w:tcBorders>
                    <w:tl2br w:val="nil"/>
                    <w:tr2bl w:val="nil"/>
                  </w:tcBorders>
                  <w:noWrap w:val="0"/>
                  <w:vAlign w:val="center"/>
                </w:tcPr>
                <w:p w14:paraId="37C610EC">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套</w:t>
                  </w:r>
                </w:p>
              </w:tc>
              <w:tc>
                <w:tcPr>
                  <w:tcW w:w="887" w:type="pct"/>
                  <w:tcBorders>
                    <w:tl2br w:val="nil"/>
                    <w:tr2bl w:val="nil"/>
                  </w:tcBorders>
                  <w:noWrap w:val="0"/>
                  <w:vAlign w:val="center"/>
                </w:tcPr>
                <w:p w14:paraId="230D1E51">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p>
              </w:tc>
              <w:tc>
                <w:tcPr>
                  <w:tcW w:w="808" w:type="pct"/>
                  <w:tcBorders>
                    <w:tl2br w:val="nil"/>
                    <w:tr2bl w:val="nil"/>
                  </w:tcBorders>
                  <w:noWrap w:val="0"/>
                  <w:vAlign w:val="center"/>
                </w:tcPr>
                <w:p w14:paraId="333DEA2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14:paraId="548C73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10" w:type="pct"/>
                  <w:tcBorders>
                    <w:tl2br w:val="nil"/>
                    <w:tr2bl w:val="nil"/>
                  </w:tcBorders>
                  <w:shd w:val="clear" w:color="auto" w:fill="auto"/>
                  <w:noWrap w:val="0"/>
                  <w:vAlign w:val="center"/>
                </w:tcPr>
                <w:p w14:paraId="15FAE19E">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8</w:t>
                  </w:r>
                </w:p>
              </w:tc>
              <w:tc>
                <w:tcPr>
                  <w:tcW w:w="1026" w:type="pct"/>
                  <w:tcBorders>
                    <w:tl2br w:val="nil"/>
                    <w:tr2bl w:val="nil"/>
                  </w:tcBorders>
                  <w:shd w:val="clear" w:color="auto" w:fill="auto"/>
                  <w:noWrap w:val="0"/>
                  <w:vAlign w:val="center"/>
                </w:tcPr>
                <w:p w14:paraId="51760F32">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净水器</w:t>
                  </w:r>
                </w:p>
              </w:tc>
              <w:tc>
                <w:tcPr>
                  <w:tcW w:w="1086" w:type="pct"/>
                  <w:tcBorders>
                    <w:tl2br w:val="nil"/>
                    <w:tr2bl w:val="nil"/>
                  </w:tcBorders>
                  <w:shd w:val="clear" w:color="auto" w:fill="auto"/>
                  <w:noWrap w:val="0"/>
                  <w:vAlign w:val="center"/>
                </w:tcPr>
                <w:p w14:paraId="419796E7">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生产能力：</w:t>
                  </w:r>
                  <w:r>
                    <w:rPr>
                      <w:rFonts w:hint="eastAsia"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val="en-US" w:eastAsia="zh-CN"/>
                    </w:rPr>
                    <w:t>t/h</w:t>
                  </w:r>
                </w:p>
              </w:tc>
              <w:tc>
                <w:tcPr>
                  <w:tcW w:w="781" w:type="pct"/>
                  <w:tcBorders>
                    <w:tl2br w:val="nil"/>
                    <w:tr2bl w:val="nil"/>
                  </w:tcBorders>
                  <w:shd w:val="clear" w:color="auto" w:fill="auto"/>
                  <w:noWrap w:val="0"/>
                  <w:vAlign w:val="center"/>
                </w:tcPr>
                <w:p w14:paraId="2A2C6176">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套</w:t>
                  </w:r>
                </w:p>
              </w:tc>
              <w:tc>
                <w:tcPr>
                  <w:tcW w:w="887" w:type="pct"/>
                  <w:tcBorders>
                    <w:tl2br w:val="nil"/>
                    <w:tr2bl w:val="nil"/>
                  </w:tcBorders>
                  <w:shd w:val="clear" w:color="auto" w:fill="auto"/>
                  <w:noWrap w:val="0"/>
                  <w:vAlign w:val="center"/>
                </w:tcPr>
                <w:p w14:paraId="42DC195D">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1</w:t>
                  </w:r>
                </w:p>
              </w:tc>
              <w:tc>
                <w:tcPr>
                  <w:tcW w:w="808" w:type="pct"/>
                  <w:tcBorders>
                    <w:tl2br w:val="nil"/>
                    <w:tr2bl w:val="nil"/>
                  </w:tcBorders>
                  <w:noWrap w:val="0"/>
                  <w:vAlign w:val="center"/>
                </w:tcPr>
                <w:p w14:paraId="386E7259">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14:paraId="309FCE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10" w:type="pct"/>
                  <w:tcBorders>
                    <w:tl2br w:val="nil"/>
                    <w:tr2bl w:val="nil"/>
                  </w:tcBorders>
                  <w:shd w:val="clear" w:color="auto" w:fill="auto"/>
                  <w:noWrap w:val="0"/>
                  <w:vAlign w:val="center"/>
                </w:tcPr>
                <w:p w14:paraId="40F3368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9</w:t>
                  </w:r>
                </w:p>
              </w:tc>
              <w:tc>
                <w:tcPr>
                  <w:tcW w:w="1026" w:type="pct"/>
                  <w:tcBorders>
                    <w:tl2br w:val="nil"/>
                    <w:tr2bl w:val="nil"/>
                  </w:tcBorders>
                  <w:shd w:val="clear" w:color="auto" w:fill="auto"/>
                  <w:noWrap w:val="0"/>
                  <w:vAlign w:val="center"/>
                </w:tcPr>
                <w:p w14:paraId="445A3C6A">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一次膨胀水箱</w:t>
                  </w:r>
                </w:p>
              </w:tc>
              <w:tc>
                <w:tcPr>
                  <w:tcW w:w="1086" w:type="pct"/>
                  <w:tcBorders>
                    <w:tl2br w:val="nil"/>
                    <w:tr2bl w:val="nil"/>
                  </w:tcBorders>
                  <w:shd w:val="clear" w:color="auto" w:fill="auto"/>
                  <w:noWrap w:val="0"/>
                  <w:vAlign w:val="center"/>
                </w:tcPr>
                <w:p w14:paraId="008217C0">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体积：</w:t>
                  </w:r>
                  <w:r>
                    <w:rPr>
                      <w:rFonts w:hint="eastAsia" w:cs="Times New Roman"/>
                      <w:color w:val="auto"/>
                      <w:sz w:val="21"/>
                      <w:szCs w:val="21"/>
                      <w:highlight w:val="none"/>
                      <w:lang w:val="en-US" w:eastAsia="zh-CN"/>
                    </w:rPr>
                    <w:t>0.25</w:t>
                  </w:r>
                  <w:r>
                    <w:rPr>
                      <w:rFonts w:hint="eastAsia" w:ascii="Times New Roman" w:hAnsi="Times New Roman" w:cs="Times New Roman"/>
                      <w:color w:val="auto"/>
                      <w:sz w:val="21"/>
                      <w:szCs w:val="21"/>
                      <w:highlight w:val="none"/>
                      <w:lang w:val="en-US" w:eastAsia="zh-CN"/>
                    </w:rPr>
                    <w:t>m</w:t>
                  </w:r>
                  <w:r>
                    <w:rPr>
                      <w:rFonts w:hint="eastAsia" w:ascii="Times New Roman" w:hAnsi="Times New Roman" w:cs="Times New Roman"/>
                      <w:color w:val="auto"/>
                      <w:sz w:val="21"/>
                      <w:szCs w:val="21"/>
                      <w:highlight w:val="none"/>
                      <w:vertAlign w:val="superscript"/>
                      <w:lang w:val="en-US" w:eastAsia="zh-CN"/>
                    </w:rPr>
                    <w:t>3</w:t>
                  </w:r>
                </w:p>
              </w:tc>
              <w:tc>
                <w:tcPr>
                  <w:tcW w:w="781" w:type="pct"/>
                  <w:tcBorders>
                    <w:tl2br w:val="nil"/>
                    <w:tr2bl w:val="nil"/>
                  </w:tcBorders>
                  <w:shd w:val="clear" w:color="auto" w:fill="auto"/>
                  <w:noWrap w:val="0"/>
                  <w:vAlign w:val="center"/>
                </w:tcPr>
                <w:p w14:paraId="7187DA86">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个</w:t>
                  </w:r>
                </w:p>
              </w:tc>
              <w:tc>
                <w:tcPr>
                  <w:tcW w:w="887" w:type="pct"/>
                  <w:tcBorders>
                    <w:tl2br w:val="nil"/>
                    <w:tr2bl w:val="nil"/>
                  </w:tcBorders>
                  <w:shd w:val="clear" w:color="auto" w:fill="auto"/>
                  <w:noWrap w:val="0"/>
                  <w:vAlign w:val="center"/>
                </w:tcPr>
                <w:p w14:paraId="63C1EB7F">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1</w:t>
                  </w:r>
                </w:p>
              </w:tc>
              <w:tc>
                <w:tcPr>
                  <w:tcW w:w="808" w:type="pct"/>
                  <w:tcBorders>
                    <w:tl2br w:val="nil"/>
                    <w:tr2bl w:val="nil"/>
                  </w:tcBorders>
                  <w:shd w:val="clear" w:color="auto" w:fill="auto"/>
                  <w:noWrap w:val="0"/>
                  <w:vAlign w:val="center"/>
                </w:tcPr>
                <w:p w14:paraId="470B1B03">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14:paraId="2F5456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10" w:type="pct"/>
                  <w:tcBorders>
                    <w:tl2br w:val="nil"/>
                    <w:tr2bl w:val="nil"/>
                  </w:tcBorders>
                  <w:shd w:val="clear" w:color="auto" w:fill="auto"/>
                  <w:noWrap w:val="0"/>
                  <w:vAlign w:val="center"/>
                </w:tcPr>
                <w:p w14:paraId="3A2C2E70">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10</w:t>
                  </w:r>
                </w:p>
              </w:tc>
              <w:tc>
                <w:tcPr>
                  <w:tcW w:w="1026" w:type="pct"/>
                  <w:tcBorders>
                    <w:tl2br w:val="nil"/>
                    <w:tr2bl w:val="nil"/>
                  </w:tcBorders>
                  <w:shd w:val="clear" w:color="auto" w:fill="auto"/>
                  <w:noWrap w:val="0"/>
                  <w:vAlign w:val="center"/>
                </w:tcPr>
                <w:p w14:paraId="0DC5E2BD">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软化水箱</w:t>
                  </w:r>
                </w:p>
              </w:tc>
              <w:tc>
                <w:tcPr>
                  <w:tcW w:w="1086" w:type="pct"/>
                  <w:tcBorders>
                    <w:tl2br w:val="nil"/>
                    <w:tr2bl w:val="nil"/>
                  </w:tcBorders>
                  <w:noWrap w:val="0"/>
                  <w:vAlign w:val="center"/>
                </w:tcPr>
                <w:p w14:paraId="56DDED2B">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体积：</w:t>
                  </w:r>
                  <w:r>
                    <w:rPr>
                      <w:rFonts w:hint="eastAsia" w:cs="Times New Roman"/>
                      <w:color w:val="auto"/>
                      <w:sz w:val="21"/>
                      <w:szCs w:val="21"/>
                      <w:highlight w:val="none"/>
                      <w:lang w:val="en-US" w:eastAsia="zh-CN"/>
                    </w:rPr>
                    <w:t>3.0</w:t>
                  </w:r>
                  <w:r>
                    <w:rPr>
                      <w:rFonts w:hint="eastAsia" w:ascii="Times New Roman" w:hAnsi="Times New Roman" w:cs="Times New Roman"/>
                      <w:color w:val="auto"/>
                      <w:sz w:val="21"/>
                      <w:szCs w:val="21"/>
                      <w:highlight w:val="none"/>
                      <w:lang w:val="en-US" w:eastAsia="zh-CN"/>
                    </w:rPr>
                    <w:t>m</w:t>
                  </w:r>
                  <w:r>
                    <w:rPr>
                      <w:rFonts w:hint="eastAsia" w:ascii="Times New Roman" w:hAnsi="Times New Roman" w:cs="Times New Roman"/>
                      <w:color w:val="auto"/>
                      <w:sz w:val="21"/>
                      <w:szCs w:val="21"/>
                      <w:highlight w:val="none"/>
                      <w:vertAlign w:val="superscript"/>
                      <w:lang w:val="en-US" w:eastAsia="zh-CN"/>
                    </w:rPr>
                    <w:t>3</w:t>
                  </w:r>
                </w:p>
              </w:tc>
              <w:tc>
                <w:tcPr>
                  <w:tcW w:w="781" w:type="pct"/>
                  <w:tcBorders>
                    <w:tl2br w:val="nil"/>
                    <w:tr2bl w:val="nil"/>
                  </w:tcBorders>
                  <w:noWrap w:val="0"/>
                  <w:vAlign w:val="center"/>
                </w:tcPr>
                <w:p w14:paraId="395A8370">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个</w:t>
                  </w:r>
                </w:p>
              </w:tc>
              <w:tc>
                <w:tcPr>
                  <w:tcW w:w="887" w:type="pct"/>
                  <w:tcBorders>
                    <w:tl2br w:val="nil"/>
                    <w:tr2bl w:val="nil"/>
                  </w:tcBorders>
                  <w:noWrap w:val="0"/>
                  <w:vAlign w:val="center"/>
                </w:tcPr>
                <w:p w14:paraId="7478E0E2">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p>
              </w:tc>
              <w:tc>
                <w:tcPr>
                  <w:tcW w:w="808" w:type="pct"/>
                  <w:tcBorders>
                    <w:tl2br w:val="nil"/>
                    <w:tr2bl w:val="nil"/>
                  </w:tcBorders>
                  <w:noWrap w:val="0"/>
                  <w:vAlign w:val="center"/>
                </w:tcPr>
                <w:p w14:paraId="3421DD83">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14:paraId="773E10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10" w:type="pct"/>
                  <w:tcBorders>
                    <w:tl2br w:val="nil"/>
                    <w:tr2bl w:val="nil"/>
                  </w:tcBorders>
                  <w:shd w:val="clear" w:color="auto" w:fill="auto"/>
                  <w:noWrap w:val="0"/>
                  <w:vAlign w:val="center"/>
                </w:tcPr>
                <w:p w14:paraId="2854E7B8">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11</w:t>
                  </w:r>
                </w:p>
              </w:tc>
              <w:tc>
                <w:tcPr>
                  <w:tcW w:w="1026" w:type="pct"/>
                  <w:tcBorders>
                    <w:tl2br w:val="nil"/>
                    <w:tr2bl w:val="nil"/>
                  </w:tcBorders>
                  <w:shd w:val="clear" w:color="auto" w:fill="auto"/>
                  <w:noWrap w:val="0"/>
                  <w:vAlign w:val="center"/>
                </w:tcPr>
                <w:p w14:paraId="68DEDD7B">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排气筒</w:t>
                  </w:r>
                </w:p>
              </w:tc>
              <w:tc>
                <w:tcPr>
                  <w:tcW w:w="1086" w:type="pct"/>
                  <w:tcBorders>
                    <w:tl2br w:val="nil"/>
                    <w:tr2bl w:val="nil"/>
                  </w:tcBorders>
                  <w:noWrap w:val="0"/>
                  <w:vAlign w:val="center"/>
                </w:tcPr>
                <w:p w14:paraId="1324784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高度</w:t>
                  </w:r>
                  <w:r>
                    <w:rPr>
                      <w:rFonts w:hint="eastAsia" w:cs="Times New Roman"/>
                      <w:color w:val="auto"/>
                      <w:sz w:val="21"/>
                      <w:szCs w:val="21"/>
                      <w:highlight w:val="none"/>
                      <w:lang w:val="en-US" w:eastAsia="zh-CN"/>
                    </w:rPr>
                    <w:t>18m</w:t>
                  </w:r>
                  <w:r>
                    <w:rPr>
                      <w:rFonts w:hint="eastAsia" w:ascii="Times New Roman" w:hAnsi="Times New Roman" w:cs="Times New Roman"/>
                      <w:color w:val="auto"/>
                      <w:sz w:val="21"/>
                      <w:szCs w:val="21"/>
                      <w:highlight w:val="none"/>
                      <w:lang w:val="en-US" w:eastAsia="zh-CN"/>
                    </w:rPr>
                    <w:t>直径0.</w:t>
                  </w:r>
                  <w:r>
                    <w:rPr>
                      <w:rFonts w:hint="eastAsia" w:cs="Times New Roman"/>
                      <w:color w:val="auto"/>
                      <w:sz w:val="21"/>
                      <w:szCs w:val="21"/>
                      <w:highlight w:val="none"/>
                      <w:lang w:val="en-US" w:eastAsia="zh-CN"/>
                    </w:rPr>
                    <w:t>25</w:t>
                  </w:r>
                  <w:r>
                    <w:rPr>
                      <w:rFonts w:hint="eastAsia" w:ascii="Times New Roman" w:hAnsi="Times New Roman" w:cs="Times New Roman"/>
                      <w:color w:val="auto"/>
                      <w:sz w:val="21"/>
                      <w:szCs w:val="21"/>
                      <w:highlight w:val="none"/>
                      <w:lang w:val="en-US" w:eastAsia="zh-CN"/>
                    </w:rPr>
                    <w:t>m</w:t>
                  </w:r>
                </w:p>
              </w:tc>
              <w:tc>
                <w:tcPr>
                  <w:tcW w:w="781" w:type="pct"/>
                  <w:tcBorders>
                    <w:tl2br w:val="nil"/>
                    <w:tr2bl w:val="nil"/>
                  </w:tcBorders>
                  <w:noWrap w:val="0"/>
                  <w:vAlign w:val="center"/>
                </w:tcPr>
                <w:p w14:paraId="3C444B83">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台</w:t>
                  </w:r>
                </w:p>
              </w:tc>
              <w:tc>
                <w:tcPr>
                  <w:tcW w:w="887" w:type="pct"/>
                  <w:tcBorders>
                    <w:tl2br w:val="nil"/>
                    <w:tr2bl w:val="nil"/>
                  </w:tcBorders>
                  <w:noWrap w:val="0"/>
                  <w:vAlign w:val="center"/>
                </w:tcPr>
                <w:p w14:paraId="4BE6B771">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p>
              </w:tc>
              <w:tc>
                <w:tcPr>
                  <w:tcW w:w="808" w:type="pct"/>
                  <w:tcBorders>
                    <w:tl2br w:val="nil"/>
                    <w:tr2bl w:val="nil"/>
                  </w:tcBorders>
                  <w:noWrap w:val="0"/>
                  <w:vAlign w:val="center"/>
                </w:tcPr>
                <w:p w14:paraId="24823F92">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14:paraId="7DA01C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10" w:type="pct"/>
                  <w:tcBorders>
                    <w:tl2br w:val="nil"/>
                    <w:tr2bl w:val="nil"/>
                  </w:tcBorders>
                  <w:noWrap w:val="0"/>
                  <w:vAlign w:val="center"/>
                </w:tcPr>
                <w:p w14:paraId="1B482988">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12</w:t>
                  </w:r>
                </w:p>
              </w:tc>
              <w:tc>
                <w:tcPr>
                  <w:tcW w:w="1026" w:type="pct"/>
                  <w:tcBorders>
                    <w:tl2br w:val="nil"/>
                    <w:tr2bl w:val="nil"/>
                  </w:tcBorders>
                  <w:shd w:val="clear" w:color="auto" w:fill="auto"/>
                  <w:noWrap w:val="0"/>
                  <w:vAlign w:val="center"/>
                </w:tcPr>
                <w:p w14:paraId="72F953AA">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可燃气泄漏报警装置</w:t>
                  </w:r>
                </w:p>
              </w:tc>
              <w:tc>
                <w:tcPr>
                  <w:tcW w:w="1086" w:type="pct"/>
                  <w:tcBorders>
                    <w:tl2br w:val="nil"/>
                    <w:tr2bl w:val="nil"/>
                  </w:tcBorders>
                  <w:noWrap w:val="0"/>
                  <w:vAlign w:val="center"/>
                </w:tcPr>
                <w:p w14:paraId="40B377CF">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功率：3</w:t>
                  </w:r>
                  <w:r>
                    <w:rPr>
                      <w:rFonts w:hint="eastAsia" w:cs="Times New Roman"/>
                      <w:color w:val="auto"/>
                      <w:sz w:val="21"/>
                      <w:szCs w:val="21"/>
                      <w:highlight w:val="none"/>
                      <w:lang w:val="en-US" w:eastAsia="zh-CN"/>
                    </w:rPr>
                    <w:t>kW</w:t>
                  </w:r>
                </w:p>
              </w:tc>
              <w:tc>
                <w:tcPr>
                  <w:tcW w:w="781" w:type="pct"/>
                  <w:tcBorders>
                    <w:tl2br w:val="nil"/>
                    <w:tr2bl w:val="nil"/>
                  </w:tcBorders>
                  <w:noWrap w:val="0"/>
                  <w:vAlign w:val="center"/>
                </w:tcPr>
                <w:p w14:paraId="03EB34A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台</w:t>
                  </w:r>
                </w:p>
              </w:tc>
              <w:tc>
                <w:tcPr>
                  <w:tcW w:w="887" w:type="pct"/>
                  <w:tcBorders>
                    <w:tl2br w:val="nil"/>
                    <w:tr2bl w:val="nil"/>
                  </w:tcBorders>
                  <w:noWrap w:val="0"/>
                  <w:vAlign w:val="center"/>
                </w:tcPr>
                <w:p w14:paraId="7DCA6189">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p>
              </w:tc>
              <w:tc>
                <w:tcPr>
                  <w:tcW w:w="808" w:type="pct"/>
                  <w:tcBorders>
                    <w:tl2br w:val="nil"/>
                    <w:tr2bl w:val="nil"/>
                  </w:tcBorders>
                  <w:noWrap w:val="0"/>
                  <w:vAlign w:val="center"/>
                </w:tcPr>
                <w:p w14:paraId="706B4174">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bl>
          <w:p w14:paraId="4E9DAE32">
            <w:pPr>
              <w:spacing w:line="360" w:lineRule="auto"/>
              <w:ind w:firstLine="482"/>
              <w:rPr>
                <w:b/>
                <w:color w:val="auto"/>
                <w:sz w:val="24"/>
                <w:szCs w:val="24"/>
                <w:highlight w:val="none"/>
              </w:rPr>
            </w:pPr>
            <w:r>
              <w:rPr>
                <w:rFonts w:hint="eastAsia"/>
                <w:b/>
                <w:color w:val="auto"/>
                <w:sz w:val="24"/>
                <w:szCs w:val="24"/>
                <w:highlight w:val="none"/>
                <w:lang w:val="en-US" w:eastAsia="zh-CN"/>
              </w:rPr>
              <w:t>6</w:t>
            </w:r>
            <w:r>
              <w:rPr>
                <w:rFonts w:hint="eastAsia"/>
                <w:b/>
                <w:color w:val="auto"/>
                <w:sz w:val="24"/>
                <w:szCs w:val="24"/>
                <w:highlight w:val="none"/>
                <w:lang w:eastAsia="zh-CN"/>
              </w:rPr>
              <w:t>.</w:t>
            </w:r>
            <w:r>
              <w:rPr>
                <w:rFonts w:hint="eastAsia" w:hAnsi="宋体"/>
                <w:b/>
                <w:color w:val="auto"/>
                <w:sz w:val="24"/>
                <w:szCs w:val="24"/>
                <w:highlight w:val="none"/>
                <w:lang w:eastAsia="zh-CN"/>
              </w:rPr>
              <w:t>项目</w:t>
            </w:r>
            <w:r>
              <w:rPr>
                <w:rFonts w:hint="eastAsia" w:hAnsi="宋体"/>
                <w:b/>
                <w:color w:val="auto"/>
                <w:sz w:val="24"/>
                <w:szCs w:val="24"/>
                <w:highlight w:val="none"/>
              </w:rPr>
              <w:t>水平衡</w:t>
            </w:r>
          </w:p>
          <w:p w14:paraId="4672B0B9">
            <w:pPr>
              <w:keepNext w:val="0"/>
              <w:keepLines w:val="0"/>
              <w:pageBreakBefore w:val="0"/>
              <w:widowControl w:val="0"/>
              <w:tabs>
                <w:tab w:val="left" w:pos="1260"/>
              </w:tabs>
              <w:kinsoku/>
              <w:wordWrap/>
              <w:overflowPunct/>
              <w:topLinePunct w:val="0"/>
              <w:autoSpaceDE/>
              <w:autoSpaceDN/>
              <w:bidi w:val="0"/>
              <w:adjustRightInd w:val="0"/>
              <w:snapToGrid w:val="0"/>
              <w:spacing w:line="360" w:lineRule="auto"/>
              <w:ind w:left="0" w:leftChars="0" w:firstLine="480" w:firstLineChars="200"/>
              <w:jc w:val="both"/>
              <w:textAlignment w:val="auto"/>
              <w:rPr>
                <w:color w:val="auto"/>
                <w:sz w:val="24"/>
                <w:szCs w:val="24"/>
                <w:highlight w:val="none"/>
              </w:rPr>
            </w:pPr>
            <w:r>
              <w:rPr>
                <w:color w:val="auto"/>
                <w:sz w:val="24"/>
                <w:szCs w:val="24"/>
                <w:highlight w:val="none"/>
              </w:rPr>
              <w:t>⑴给水</w:t>
            </w:r>
          </w:p>
          <w:p w14:paraId="21EFEAF4">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color w:val="auto"/>
                <w:sz w:val="24"/>
                <w:szCs w:val="24"/>
                <w:highlight w:val="none"/>
              </w:rPr>
            </w:pPr>
            <w:r>
              <w:rPr>
                <w:rFonts w:hint="eastAsia"/>
                <w:color w:val="auto"/>
                <w:sz w:val="24"/>
                <w:szCs w:val="24"/>
                <w:highlight w:val="none"/>
              </w:rPr>
              <w:t>本项目水源为自来水，</w:t>
            </w:r>
            <w:r>
              <w:rPr>
                <w:rFonts w:hint="eastAsia"/>
                <w:color w:val="auto"/>
                <w:sz w:val="24"/>
                <w:szCs w:val="24"/>
                <w:highlight w:val="none"/>
                <w:lang w:val="en-US" w:eastAsia="zh-CN"/>
              </w:rPr>
              <w:t>项目锅炉房定期进行巡检，无人员常住，因此用水主要</w:t>
            </w:r>
            <w:r>
              <w:rPr>
                <w:rFonts w:hint="eastAsia"/>
                <w:color w:val="auto"/>
                <w:sz w:val="24"/>
                <w:szCs w:val="24"/>
                <w:highlight w:val="none"/>
              </w:rPr>
              <w:t>为锅炉用水</w:t>
            </w:r>
            <w:r>
              <w:rPr>
                <w:rFonts w:hint="eastAsia"/>
                <w:color w:val="auto"/>
                <w:sz w:val="24"/>
                <w:szCs w:val="24"/>
                <w:highlight w:val="none"/>
                <w:lang w:val="en-US" w:eastAsia="zh-CN"/>
              </w:rPr>
              <w:t>及软化水设备用水</w:t>
            </w:r>
            <w:r>
              <w:rPr>
                <w:rFonts w:hint="eastAsia"/>
                <w:color w:val="auto"/>
                <w:sz w:val="24"/>
                <w:szCs w:val="24"/>
                <w:highlight w:val="none"/>
              </w:rPr>
              <w:t>。</w:t>
            </w:r>
          </w:p>
          <w:p w14:paraId="1DE34C0E">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①</w:t>
            </w:r>
            <w:r>
              <w:rPr>
                <w:rFonts w:hint="default" w:ascii="Times New Roman" w:hAnsi="Times New Roman" w:eastAsia="宋体" w:cs="Times New Roman"/>
                <w:color w:val="auto"/>
                <w:sz w:val="24"/>
                <w:szCs w:val="24"/>
                <w:highlight w:val="none"/>
              </w:rPr>
              <w:t>锅炉</w:t>
            </w:r>
            <w:r>
              <w:rPr>
                <w:rFonts w:hint="default" w:ascii="Times New Roman" w:hAnsi="Times New Roman" w:eastAsia="宋体" w:cs="Times New Roman"/>
                <w:color w:val="auto"/>
                <w:sz w:val="24"/>
                <w:szCs w:val="24"/>
                <w:highlight w:val="none"/>
                <w:lang w:val="en-US" w:eastAsia="zh-CN"/>
              </w:rPr>
              <w:t>补水量</w:t>
            </w:r>
          </w:p>
          <w:p w14:paraId="6973E84F">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本项目生产用水中</w:t>
            </w:r>
            <w:r>
              <w:rPr>
                <w:rFonts w:hint="eastAsia" w:cs="Times New Roman"/>
                <w:color w:val="auto"/>
                <w:sz w:val="24"/>
                <w:szCs w:val="24"/>
                <w:highlight w:val="none"/>
                <w:lang w:val="en-US" w:eastAsia="zh-CN"/>
              </w:rPr>
              <w:t>供热站</w:t>
            </w:r>
            <w:r>
              <w:rPr>
                <w:rFonts w:hint="default" w:ascii="Times New Roman" w:hAnsi="Times New Roman" w:eastAsia="宋体" w:cs="Times New Roman"/>
                <w:color w:val="auto"/>
                <w:sz w:val="24"/>
                <w:szCs w:val="24"/>
                <w:highlight w:val="none"/>
                <w:lang w:val="en-US" w:eastAsia="zh-CN"/>
              </w:rPr>
              <w:t>热力网循环系统补水采用软化、除氧处理后的自来水。</w:t>
            </w:r>
          </w:p>
          <w:p w14:paraId="0F1A0CE1">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锅炉热力网循环系统补水</w:t>
            </w:r>
            <w:r>
              <w:rPr>
                <w:rFonts w:hint="eastAsia" w:ascii="Times New Roman" w:hAnsi="Times New Roman" w:eastAsia="宋体" w:cs="Times New Roman"/>
                <w:color w:val="auto"/>
                <w:sz w:val="24"/>
                <w:szCs w:val="24"/>
                <w:highlight w:val="none"/>
                <w:lang w:val="en-US" w:eastAsia="zh-CN"/>
              </w:rPr>
              <w:t>量计算公式如下：</w:t>
            </w:r>
          </w:p>
          <w:p w14:paraId="230A7957">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热水锅炉循环水量G=0.86×Q/△T</w:t>
            </w:r>
          </w:p>
          <w:p w14:paraId="144D21D1">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式中G</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循环水流量（t/h）</w:t>
            </w:r>
          </w:p>
          <w:p w14:paraId="5814ECC8">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Q</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热负荷（</w:t>
            </w:r>
            <w:r>
              <w:rPr>
                <w:rFonts w:hint="eastAsia" w:cs="Times New Roman"/>
                <w:color w:val="auto"/>
                <w:sz w:val="24"/>
                <w:szCs w:val="24"/>
                <w:highlight w:val="none"/>
                <w:lang w:val="en-US" w:eastAsia="zh-CN"/>
              </w:rPr>
              <w:t>kW</w:t>
            </w:r>
            <w:r>
              <w:rPr>
                <w:rFonts w:hint="default" w:ascii="Times New Roman" w:hAnsi="Times New Roman" w:eastAsia="宋体" w:cs="Times New Roman"/>
                <w:color w:val="auto"/>
                <w:sz w:val="24"/>
                <w:szCs w:val="24"/>
                <w:highlight w:val="none"/>
                <w:lang w:val="en-US" w:eastAsia="zh-CN"/>
              </w:rPr>
              <w:t>）</w:t>
            </w:r>
          </w:p>
          <w:p w14:paraId="15DF04D5">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△T</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供回水温差（摄氏度）</w:t>
            </w:r>
          </w:p>
          <w:p w14:paraId="6B57E28F">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本项目热力管网温度差为</w:t>
            </w:r>
            <w:r>
              <w:rPr>
                <w:rFonts w:hint="eastAsia" w:ascii="Times New Roman" w:hAnsi="Times New Roman" w:eastAsia="宋体" w:cs="Times New Roman"/>
                <w:color w:val="auto"/>
                <w:sz w:val="24"/>
                <w:szCs w:val="24"/>
                <w:highlight w:val="none"/>
                <w:lang w:val="en-US" w:eastAsia="zh-CN"/>
              </w:rPr>
              <w:t>20</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，最大热负荷为2100kW</w:t>
            </w:r>
            <w:r>
              <w:rPr>
                <w:rFonts w:hint="eastAsia" w:ascii="Times New Roman" w:hAnsi="Times New Roman" w:eastAsia="宋体" w:cs="Times New Roman"/>
                <w:color w:val="auto"/>
                <w:sz w:val="24"/>
                <w:szCs w:val="24"/>
                <w:highlight w:val="none"/>
                <w:lang w:val="en-US" w:eastAsia="zh-CN"/>
              </w:rPr>
              <w:t>，则项目供热站热水锅炉循环水量为</w:t>
            </w:r>
            <w:r>
              <w:rPr>
                <w:rFonts w:hint="eastAsia" w:cs="Times New Roman"/>
                <w:color w:val="auto"/>
                <w:sz w:val="24"/>
                <w:szCs w:val="24"/>
                <w:highlight w:val="none"/>
                <w:lang w:val="en-US" w:eastAsia="zh-CN"/>
              </w:rPr>
              <w:t>2167.2</w:t>
            </w:r>
            <w:r>
              <w:rPr>
                <w:rFonts w:hint="eastAsia" w:ascii="Times New Roman" w:hAnsi="Times New Roman" w:eastAsia="宋体" w:cs="Times New Roman"/>
                <w:color w:val="auto"/>
                <w:sz w:val="24"/>
                <w:szCs w:val="24"/>
                <w:highlight w:val="none"/>
                <w:lang w:val="en-US" w:eastAsia="zh-CN"/>
              </w:rPr>
              <w:t>t/d、</w:t>
            </w:r>
            <w:r>
              <w:rPr>
                <w:rFonts w:hint="eastAsia" w:cs="Times New Roman"/>
                <w:color w:val="auto"/>
                <w:sz w:val="24"/>
                <w:szCs w:val="24"/>
                <w:highlight w:val="none"/>
                <w:lang w:val="en-US" w:eastAsia="zh-CN"/>
              </w:rPr>
              <w:t>281736.0</w:t>
            </w:r>
            <w:r>
              <w:rPr>
                <w:rFonts w:hint="eastAsia" w:ascii="Times New Roman" w:hAnsi="Times New Roman" w:eastAsia="宋体" w:cs="Times New Roman"/>
                <w:color w:val="auto"/>
                <w:sz w:val="24"/>
                <w:szCs w:val="24"/>
                <w:highlight w:val="none"/>
                <w:lang w:val="en-US" w:eastAsia="zh-CN"/>
              </w:rPr>
              <w:t>t/a</w:t>
            </w:r>
            <w:r>
              <w:rPr>
                <w:rFonts w:hint="default" w:ascii="Times New Roman" w:hAnsi="Times New Roman" w:eastAsia="宋体" w:cs="Times New Roman"/>
                <w:color w:val="auto"/>
                <w:sz w:val="24"/>
                <w:szCs w:val="24"/>
                <w:highlight w:val="none"/>
                <w:lang w:val="en-US" w:eastAsia="zh-CN"/>
              </w:rPr>
              <w:t>。</w:t>
            </w:r>
          </w:p>
          <w:p w14:paraId="3DD31512">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val="en-US" w:eastAsia="zh-CN"/>
              </w:rPr>
              <w:t>根据《锅炉节能环保技术规程》（TSG91-2021）中“2.6.3.2循环泵及补（给）水泵”中“热水锅炉补水泵的选择应当能适应系统补水的需要，补水量一般不大于系统循环水量的1%”，出于保守考虑，本项目取循环水量的1%</w:t>
            </w:r>
            <w:r>
              <w:rPr>
                <w:rFonts w:hint="eastAsia" w:ascii="Times New Roman" w:hAnsi="Times New Roman" w:eastAsia="宋体" w:cs="Times New Roman"/>
                <w:color w:val="auto"/>
                <w:sz w:val="24"/>
                <w:szCs w:val="24"/>
                <w:highlight w:val="none"/>
                <w:lang w:val="en-US" w:eastAsia="zh-CN"/>
              </w:rPr>
              <w:t>。则整个项目锅炉补水量为</w:t>
            </w:r>
            <w:r>
              <w:rPr>
                <w:rFonts w:hint="eastAsia" w:cs="Times New Roman"/>
                <w:color w:val="auto"/>
                <w:sz w:val="24"/>
                <w:szCs w:val="24"/>
                <w:highlight w:val="none"/>
                <w:lang w:val="en-US" w:eastAsia="zh-CN"/>
              </w:rPr>
              <w:t>21.67</w:t>
            </w:r>
            <w:r>
              <w:rPr>
                <w:rFonts w:hint="eastAsia"/>
                <w:color w:val="auto"/>
                <w:sz w:val="24"/>
                <w:szCs w:val="24"/>
                <w:highlight w:val="none"/>
              </w:rPr>
              <w:t>m</w:t>
            </w:r>
            <w:r>
              <w:rPr>
                <w:rFonts w:hint="eastAsia"/>
                <w:color w:val="auto"/>
                <w:sz w:val="24"/>
                <w:szCs w:val="24"/>
                <w:highlight w:val="none"/>
                <w:vertAlign w:val="superscript"/>
              </w:rPr>
              <w:t>3</w:t>
            </w:r>
            <w:r>
              <w:rPr>
                <w:rFonts w:hint="default" w:ascii="Times New Roman" w:hAnsi="Times New Roman" w:eastAsia="宋体" w:cs="Times New Roman"/>
                <w:color w:val="auto"/>
                <w:sz w:val="24"/>
                <w:szCs w:val="24"/>
                <w:highlight w:val="none"/>
                <w:lang w:val="en-US" w:eastAsia="zh-CN"/>
              </w:rPr>
              <w:t>/d，</w:t>
            </w:r>
            <w:r>
              <w:rPr>
                <w:rFonts w:hint="eastAsia" w:cs="Times New Roman"/>
                <w:color w:val="auto"/>
                <w:sz w:val="24"/>
                <w:szCs w:val="24"/>
                <w:highlight w:val="none"/>
                <w:lang w:val="en-US" w:eastAsia="zh-CN"/>
              </w:rPr>
              <w:t>2817.4</w:t>
            </w:r>
            <w:r>
              <w:rPr>
                <w:rFonts w:hint="eastAsia"/>
                <w:color w:val="auto"/>
                <w:sz w:val="24"/>
                <w:szCs w:val="24"/>
                <w:highlight w:val="none"/>
              </w:rPr>
              <w:t>m</w:t>
            </w:r>
            <w:r>
              <w:rPr>
                <w:rFonts w:hint="eastAsia"/>
                <w:color w:val="auto"/>
                <w:sz w:val="24"/>
                <w:szCs w:val="24"/>
                <w:highlight w:val="none"/>
                <w:vertAlign w:val="superscript"/>
              </w:rPr>
              <w:t>3</w:t>
            </w:r>
            <w:r>
              <w:rPr>
                <w:rFonts w:hint="default" w:ascii="Times New Roman" w:hAnsi="Times New Roman" w:eastAsia="宋体" w:cs="Times New Roman"/>
                <w:color w:val="auto"/>
                <w:sz w:val="24"/>
                <w:szCs w:val="24"/>
                <w:highlight w:val="none"/>
                <w:lang w:val="en-US" w:eastAsia="zh-CN"/>
              </w:rPr>
              <w:t>/a</w:t>
            </w:r>
            <w:r>
              <w:rPr>
                <w:rFonts w:hint="eastAsia"/>
                <w:color w:val="auto"/>
                <w:sz w:val="24"/>
                <w:szCs w:val="24"/>
                <w:highlight w:val="none"/>
              </w:rPr>
              <w:t>。</w:t>
            </w:r>
          </w:p>
          <w:p w14:paraId="75F31255">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color w:val="auto"/>
                <w:sz w:val="24"/>
                <w:szCs w:val="24"/>
                <w:highlight w:val="none"/>
                <w:lang w:val="en-US" w:eastAsia="zh-CN"/>
              </w:rPr>
            </w:pPr>
            <w:r>
              <w:rPr>
                <w:rFonts w:hint="eastAsia"/>
                <w:color w:val="auto"/>
                <w:sz w:val="24"/>
                <w:szCs w:val="24"/>
                <w:highlight w:val="none"/>
              </w:rPr>
              <w:t>②软化</w:t>
            </w:r>
            <w:r>
              <w:rPr>
                <w:rFonts w:hint="eastAsia"/>
                <w:color w:val="auto"/>
                <w:sz w:val="24"/>
                <w:szCs w:val="24"/>
                <w:highlight w:val="none"/>
                <w:lang w:val="en-US" w:eastAsia="zh-CN"/>
              </w:rPr>
              <w:t>水</w:t>
            </w:r>
            <w:r>
              <w:rPr>
                <w:rFonts w:hint="eastAsia"/>
                <w:color w:val="auto"/>
                <w:sz w:val="24"/>
                <w:szCs w:val="24"/>
                <w:highlight w:val="none"/>
              </w:rPr>
              <w:t>制备</w:t>
            </w:r>
            <w:r>
              <w:rPr>
                <w:rFonts w:hint="eastAsia"/>
                <w:color w:val="auto"/>
                <w:sz w:val="24"/>
                <w:szCs w:val="24"/>
                <w:highlight w:val="none"/>
                <w:lang w:val="en-US" w:eastAsia="zh-CN"/>
              </w:rPr>
              <w:t>用水</w:t>
            </w:r>
          </w:p>
          <w:p w14:paraId="0C1E15D5">
            <w:pPr>
              <w:pStyle w:val="30"/>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eastAsia="宋体"/>
                <w:color w:val="auto"/>
                <w:highlight w:val="green"/>
                <w:lang w:val="en-US" w:eastAsia="zh-CN"/>
              </w:rPr>
            </w:pPr>
            <w:r>
              <w:rPr>
                <w:rFonts w:hint="eastAsia" w:ascii="Times New Roman" w:hAnsi="Times New Roman" w:eastAsia="宋体"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lang w:val="en-US" w:eastAsia="zh-CN"/>
              </w:rPr>
              <w:t>燃气锅炉</w:t>
            </w:r>
            <w:r>
              <w:rPr>
                <w:rFonts w:hint="eastAsia" w:ascii="Times New Roman" w:hAnsi="Times New Roman" w:eastAsia="宋体" w:cs="Times New Roman"/>
                <w:color w:val="auto"/>
                <w:sz w:val="24"/>
                <w:szCs w:val="24"/>
                <w:highlight w:val="none"/>
                <w:lang w:val="en-US" w:eastAsia="zh-CN"/>
              </w:rPr>
              <w:t>运行时</w:t>
            </w:r>
            <w:r>
              <w:rPr>
                <w:rFonts w:hint="default" w:ascii="Times New Roman" w:hAnsi="Times New Roman" w:eastAsia="宋体" w:cs="Times New Roman"/>
                <w:color w:val="auto"/>
                <w:sz w:val="24"/>
                <w:szCs w:val="24"/>
                <w:highlight w:val="none"/>
              </w:rPr>
              <w:t>软水制备系统</w:t>
            </w:r>
            <w:r>
              <w:rPr>
                <w:rFonts w:hint="eastAsia" w:ascii="Times New Roman" w:hAnsi="Times New Roman" w:eastAsia="宋体" w:cs="Times New Roman"/>
                <w:color w:val="auto"/>
                <w:sz w:val="24"/>
                <w:szCs w:val="24"/>
                <w:highlight w:val="none"/>
                <w:lang w:val="en-US" w:eastAsia="zh-CN"/>
              </w:rPr>
              <w:t>制软水所需</w:t>
            </w:r>
            <w:r>
              <w:rPr>
                <w:rFonts w:hint="default" w:ascii="Times New Roman" w:hAnsi="Times New Roman" w:eastAsia="宋体" w:cs="Times New Roman"/>
                <w:color w:val="auto"/>
                <w:sz w:val="24"/>
                <w:szCs w:val="24"/>
                <w:highlight w:val="none"/>
                <w:lang w:val="en-US" w:eastAsia="zh-CN"/>
              </w:rPr>
              <w:t>水量为3536.7</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ascii="Times New Roman" w:hAnsi="Times New Roman" w:cs="Times New Roman"/>
                <w:color w:val="auto"/>
                <w:sz w:val="24"/>
                <w:szCs w:val="24"/>
                <w:highlight w:val="none"/>
                <w:lang w:val="en-US" w:eastAsia="zh-CN"/>
              </w:rPr>
              <w:t>27.2</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ascii="Times New Roman" w:hAnsi="Times New Roman" w:eastAsia="宋体" w:cs="Times New Roman"/>
                <w:color w:val="auto"/>
                <w:sz w:val="24"/>
                <w:szCs w:val="24"/>
                <w:highlight w:val="none"/>
                <w:lang w:eastAsia="zh-CN"/>
              </w:rPr>
              <w:t>。</w:t>
            </w:r>
          </w:p>
          <w:p w14:paraId="504B85A8">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fldChar w:fldCharType="begin"/>
            </w:r>
            <w:r>
              <w:rPr>
                <w:rFonts w:hint="eastAsia" w:ascii="Times New Roman" w:hAnsi="Times New Roman" w:eastAsia="宋体" w:cs="Times New Roman"/>
                <w:color w:val="auto"/>
                <w:sz w:val="24"/>
                <w:szCs w:val="24"/>
                <w:highlight w:val="none"/>
              </w:rPr>
              <w:instrText xml:space="preserve"> = 2 \* GB2 \* MERGEFORMAT </w:instrText>
            </w:r>
            <w:r>
              <w:rPr>
                <w:rFonts w:hint="eastAsia" w:ascii="Times New Roman" w:hAnsi="Times New Roman" w:eastAsia="宋体" w:cs="Times New Roman"/>
                <w:color w:val="auto"/>
                <w:sz w:val="24"/>
                <w:szCs w:val="24"/>
                <w:highlight w:val="none"/>
              </w:rPr>
              <w:fldChar w:fldCharType="separate"/>
            </w:r>
            <w:r>
              <w:rPr>
                <w:rFonts w:hint="eastAsia" w:ascii="Times New Roman" w:hAnsi="Times New Roman" w:eastAsia="宋体" w:cs="Times New Roman"/>
                <w:color w:val="auto"/>
                <w:sz w:val="24"/>
                <w:szCs w:val="24"/>
                <w:highlight w:val="none"/>
              </w:rPr>
              <w:t>⑵</w:t>
            </w:r>
            <w:r>
              <w:rPr>
                <w:rFonts w:hint="eastAsia" w:ascii="Times New Roman" w:hAnsi="Times New Roman" w:eastAsia="宋体" w:cs="Times New Roman"/>
                <w:color w:val="auto"/>
                <w:sz w:val="24"/>
                <w:szCs w:val="24"/>
                <w:highlight w:val="none"/>
              </w:rPr>
              <w:fldChar w:fldCharType="end"/>
            </w:r>
            <w:r>
              <w:rPr>
                <w:rFonts w:hint="eastAsia" w:ascii="Times New Roman" w:hAnsi="Times New Roman" w:eastAsia="宋体" w:cs="Times New Roman"/>
                <w:color w:val="auto"/>
                <w:sz w:val="24"/>
                <w:szCs w:val="24"/>
                <w:highlight w:val="none"/>
              </w:rPr>
              <w:t>排水</w:t>
            </w:r>
          </w:p>
          <w:p w14:paraId="0F06E8B0">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本项目废水主要包括锅炉定期</w:t>
            </w:r>
            <w:r>
              <w:rPr>
                <w:rFonts w:hint="default" w:ascii="Times New Roman" w:hAnsi="Times New Roman" w:eastAsia="宋体" w:cs="Times New Roman"/>
                <w:color w:val="auto"/>
                <w:sz w:val="24"/>
                <w:szCs w:val="24"/>
                <w:highlight w:val="none"/>
                <w:lang w:eastAsia="zh-CN"/>
              </w:rPr>
              <w:t>排污水</w:t>
            </w:r>
            <w:r>
              <w:rPr>
                <w:rFonts w:hint="default" w:ascii="Times New Roman" w:hAnsi="Times New Roman" w:eastAsia="宋体" w:cs="Times New Roman"/>
                <w:color w:val="auto"/>
                <w:sz w:val="24"/>
                <w:szCs w:val="24"/>
                <w:highlight w:val="none"/>
              </w:rPr>
              <w:t>以及软水</w:t>
            </w:r>
            <w:r>
              <w:rPr>
                <w:rFonts w:hint="eastAsia" w:ascii="Times New Roman" w:hAnsi="Times New Roman" w:eastAsia="宋体" w:cs="Times New Roman"/>
                <w:color w:val="auto"/>
                <w:sz w:val="24"/>
                <w:szCs w:val="24"/>
                <w:highlight w:val="none"/>
                <w:lang w:val="en-US" w:eastAsia="zh-CN"/>
              </w:rPr>
              <w:t>制备</w:t>
            </w:r>
            <w:r>
              <w:rPr>
                <w:rFonts w:hint="default" w:ascii="Times New Roman" w:hAnsi="Times New Roman" w:eastAsia="宋体" w:cs="Times New Roman"/>
                <w:color w:val="auto"/>
                <w:sz w:val="24"/>
                <w:szCs w:val="24"/>
                <w:highlight w:val="none"/>
              </w:rPr>
              <w:t>系统产生</w:t>
            </w:r>
            <w:r>
              <w:rPr>
                <w:rFonts w:hint="eastAsia" w:ascii="Times New Roman" w:hAnsi="Times New Roman" w:eastAsia="宋体" w:cs="Times New Roman"/>
                <w:color w:val="auto"/>
                <w:sz w:val="24"/>
                <w:szCs w:val="24"/>
                <w:highlight w:val="none"/>
                <w:lang w:val="en-US" w:eastAsia="zh-CN"/>
              </w:rPr>
              <w:t>软水制备</w:t>
            </w:r>
            <w:r>
              <w:rPr>
                <w:rFonts w:hint="default" w:ascii="Times New Roman" w:hAnsi="Times New Roman" w:eastAsia="宋体" w:cs="Times New Roman"/>
                <w:color w:val="auto"/>
                <w:sz w:val="24"/>
                <w:szCs w:val="24"/>
                <w:highlight w:val="none"/>
              </w:rPr>
              <w:t>废水。</w:t>
            </w:r>
          </w:p>
          <w:p w14:paraId="5F0137ED">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①锅炉排污水</w:t>
            </w:r>
          </w:p>
          <w:p w14:paraId="36ABB442">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根据生态环境部发布的《排放源统计调查产排污核算系数方法和系数手册》中“4430工业锅炉（热力生产和供应行业）产排污系数表－工业废水量和化学需氧量”燃气锅炉</w:t>
            </w:r>
            <w:r>
              <w:rPr>
                <w:rFonts w:hint="default" w:ascii="Times New Roman" w:hAnsi="Times New Roman" w:eastAsia="宋体" w:cs="Times New Roman"/>
                <w:color w:val="auto"/>
                <w:sz w:val="24"/>
                <w:szCs w:val="24"/>
                <w:highlight w:val="none"/>
                <w:lang w:val="en-US" w:eastAsia="zh-CN"/>
              </w:rPr>
              <w:t>(锅内水)</w:t>
            </w:r>
            <w:r>
              <w:rPr>
                <w:rFonts w:hint="default" w:ascii="Times New Roman" w:hAnsi="Times New Roman" w:eastAsia="宋体" w:cs="Times New Roman"/>
                <w:color w:val="auto"/>
                <w:sz w:val="24"/>
                <w:szCs w:val="24"/>
                <w:highlight w:val="none"/>
              </w:rPr>
              <w:t>排污工业废水量产污系数为9.86吨/万立方米－原料，</w:t>
            </w:r>
            <w:r>
              <w:rPr>
                <w:rFonts w:hint="eastAsia" w:ascii="Times New Roman" w:hAnsi="Times New Roman" w:eastAsia="宋体" w:cs="Times New Roman"/>
                <w:color w:val="auto"/>
                <w:sz w:val="24"/>
                <w:szCs w:val="24"/>
                <w:highlight w:val="none"/>
                <w:lang w:val="en-US" w:eastAsia="zh-CN"/>
              </w:rPr>
              <w:t>项目供热站燃气锅炉</w:t>
            </w:r>
            <w:r>
              <w:rPr>
                <w:rFonts w:hint="default" w:ascii="Times New Roman" w:hAnsi="Times New Roman" w:eastAsia="宋体" w:cs="Times New Roman"/>
                <w:color w:val="auto"/>
                <w:sz w:val="24"/>
                <w:szCs w:val="24"/>
                <w:highlight w:val="none"/>
              </w:rPr>
              <w:t>年天然气用量为</w:t>
            </w:r>
            <w:r>
              <w:rPr>
                <w:rFonts w:hint="eastAsia" w:cs="Times New Roman"/>
                <w:color w:val="auto"/>
                <w:sz w:val="24"/>
                <w:szCs w:val="24"/>
                <w:highlight w:val="none"/>
                <w:lang w:val="en-US" w:eastAsia="zh-CN"/>
              </w:rPr>
              <w:t>72.95</w:t>
            </w:r>
            <w:r>
              <w:rPr>
                <w:rFonts w:hint="default" w:ascii="Times New Roman" w:hAnsi="Times New Roman" w:eastAsia="宋体" w:cs="Times New Roman"/>
                <w:color w:val="auto"/>
                <w:sz w:val="24"/>
                <w:szCs w:val="24"/>
                <w:highlight w:val="none"/>
              </w:rPr>
              <w:t>万Nm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，则锅炉排污水产生量为</w:t>
            </w:r>
            <w:r>
              <w:rPr>
                <w:rFonts w:hint="eastAsia" w:cs="Times New Roman"/>
                <w:color w:val="auto"/>
                <w:sz w:val="24"/>
                <w:szCs w:val="24"/>
                <w:highlight w:val="none"/>
                <w:lang w:val="en-US" w:eastAsia="zh-CN"/>
              </w:rPr>
              <w:t>5.53</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cs="Times New Roman"/>
                <w:color w:val="auto"/>
                <w:sz w:val="24"/>
                <w:szCs w:val="24"/>
                <w:highlight w:val="none"/>
                <w:lang w:val="en-US" w:eastAsia="zh-CN"/>
              </w:rPr>
              <w:t>719.3</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该部分用水来自锅炉补水（排污量即用水量），该</w:t>
            </w:r>
            <w:r>
              <w:rPr>
                <w:rFonts w:hint="eastAsia" w:ascii="Times New Roman" w:hAnsi="Times New Roman" w:eastAsia="宋体" w:cs="Times New Roman"/>
                <w:color w:val="auto"/>
                <w:sz w:val="24"/>
                <w:szCs w:val="24"/>
                <w:highlight w:val="none"/>
                <w:lang w:val="en-US" w:eastAsia="zh-CN"/>
              </w:rPr>
              <w:t>废水经</w:t>
            </w:r>
            <w:r>
              <w:rPr>
                <w:rFonts w:hint="eastAsia" w:cs="Times New Roman"/>
                <w:color w:val="auto"/>
                <w:sz w:val="24"/>
                <w:szCs w:val="24"/>
                <w:highlight w:val="none"/>
                <w:lang w:val="en-US" w:eastAsia="zh-CN"/>
              </w:rPr>
              <w:t>冷却水槽</w:t>
            </w:r>
            <w:r>
              <w:rPr>
                <w:rFonts w:hint="eastAsia" w:ascii="Times New Roman" w:hAnsi="Times New Roman" w:eastAsia="宋体" w:cs="Times New Roman"/>
                <w:color w:val="auto"/>
                <w:sz w:val="24"/>
                <w:szCs w:val="24"/>
                <w:highlight w:val="none"/>
                <w:lang w:val="en-US" w:eastAsia="zh-CN"/>
              </w:rPr>
              <w:t>冷却后排入</w:t>
            </w:r>
            <w:r>
              <w:rPr>
                <w:rFonts w:hint="eastAsia" w:cs="Times New Roman"/>
                <w:color w:val="auto"/>
                <w:sz w:val="24"/>
                <w:szCs w:val="24"/>
                <w:highlight w:val="none"/>
                <w:lang w:val="en-US" w:eastAsia="zh-CN"/>
              </w:rPr>
              <w:t>小区化粪池，最终进入</w:t>
            </w:r>
            <w:r>
              <w:rPr>
                <w:rFonts w:hint="default" w:ascii="Times New Roman" w:hAnsi="Times New Roman" w:eastAsia="宋体" w:cs="Times New Roman"/>
                <w:color w:val="auto"/>
                <w:sz w:val="24"/>
                <w:szCs w:val="24"/>
                <w:highlight w:val="none"/>
              </w:rPr>
              <w:t>市政污水管网</w:t>
            </w:r>
            <w:r>
              <w:rPr>
                <w:rFonts w:hint="eastAsia" w:cs="Times New Roman"/>
                <w:color w:val="auto"/>
                <w:sz w:val="24"/>
                <w:szCs w:val="24"/>
                <w:highlight w:val="none"/>
                <w:lang w:val="en-US" w:eastAsia="zh-CN"/>
              </w:rPr>
              <w:t>经</w:t>
            </w:r>
            <w:r>
              <w:rPr>
                <w:rFonts w:hint="default" w:ascii="Times New Roman" w:hAnsi="Times New Roman" w:eastAsia="宋体" w:cs="Times New Roman"/>
                <w:color w:val="auto"/>
                <w:sz w:val="24"/>
                <w:szCs w:val="24"/>
                <w:highlight w:val="none"/>
                <w:lang w:eastAsia="zh-CN"/>
              </w:rPr>
              <w:t>太白县污水处理厂深度处理，最终排入红岩河。</w:t>
            </w:r>
          </w:p>
          <w:p w14:paraId="11711FE9">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②软水制备废水</w:t>
            </w:r>
          </w:p>
          <w:p w14:paraId="6BE22416">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生态环境部发布的《排放源统计调查产排污核算系数方法和系数手册》中“4430工业锅炉（热力生产和供应行业）产排污系数表－工业废水量和化学需氧量”燃气锅炉（锅外水处理）工业废水量产污系数为13.56吨/万立方米－原料，明确了该锅外废水主要包括锅炉排污水和软化处理废水，</w:t>
            </w:r>
            <w:r>
              <w:rPr>
                <w:rFonts w:hint="eastAsia" w:ascii="Times New Roman" w:hAnsi="Times New Roman" w:eastAsia="宋体" w:cs="Times New Roman"/>
                <w:color w:val="auto"/>
                <w:sz w:val="24"/>
                <w:szCs w:val="24"/>
                <w:highlight w:val="none"/>
                <w:lang w:val="en-US" w:eastAsia="zh-CN"/>
              </w:rPr>
              <w:t>项目供热站燃气锅炉</w:t>
            </w:r>
            <w:r>
              <w:rPr>
                <w:rFonts w:hint="default" w:ascii="Times New Roman" w:hAnsi="Times New Roman" w:eastAsia="宋体" w:cs="Times New Roman"/>
                <w:color w:val="auto"/>
                <w:sz w:val="24"/>
                <w:szCs w:val="24"/>
                <w:highlight w:val="none"/>
              </w:rPr>
              <w:t>年天然气用量为</w:t>
            </w:r>
            <w:r>
              <w:rPr>
                <w:rFonts w:hint="eastAsia" w:cs="Times New Roman"/>
                <w:color w:val="auto"/>
                <w:sz w:val="24"/>
                <w:szCs w:val="24"/>
                <w:highlight w:val="none"/>
                <w:lang w:val="en-US" w:eastAsia="zh-CN"/>
              </w:rPr>
              <w:t>72.95</w:t>
            </w:r>
            <w:r>
              <w:rPr>
                <w:rFonts w:hint="default" w:ascii="Times New Roman" w:hAnsi="Times New Roman" w:eastAsia="宋体" w:cs="Times New Roman"/>
                <w:color w:val="auto"/>
                <w:sz w:val="24"/>
                <w:szCs w:val="24"/>
                <w:highlight w:val="none"/>
              </w:rPr>
              <w:t>万Nm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，则锅外废水产生量为</w:t>
            </w:r>
            <w:r>
              <w:rPr>
                <w:rFonts w:hint="eastAsia" w:cs="Times New Roman"/>
                <w:color w:val="auto"/>
                <w:sz w:val="24"/>
                <w:szCs w:val="24"/>
                <w:highlight w:val="none"/>
                <w:lang w:val="en-US" w:eastAsia="zh-CN"/>
              </w:rPr>
              <w:t>7.61</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cs="Times New Roman"/>
                <w:color w:val="auto"/>
                <w:sz w:val="24"/>
                <w:szCs w:val="24"/>
                <w:highlight w:val="none"/>
                <w:lang w:val="en-US" w:eastAsia="zh-CN"/>
              </w:rPr>
              <w:t>989.2</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/a），则软水制备废水量为</w:t>
            </w:r>
            <w:r>
              <w:rPr>
                <w:rFonts w:hint="eastAsia" w:cs="Times New Roman"/>
                <w:color w:val="auto"/>
                <w:sz w:val="24"/>
                <w:szCs w:val="24"/>
                <w:highlight w:val="none"/>
                <w:lang w:val="en-US" w:eastAsia="zh-CN"/>
              </w:rPr>
              <w:t>2.08</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cs="Times New Roman"/>
                <w:color w:val="auto"/>
                <w:sz w:val="24"/>
                <w:szCs w:val="24"/>
                <w:highlight w:val="none"/>
                <w:lang w:val="en-US" w:eastAsia="zh-CN"/>
              </w:rPr>
              <w:t>269.9</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/a），该</w:t>
            </w:r>
            <w:r>
              <w:rPr>
                <w:rFonts w:hint="eastAsia" w:ascii="Times New Roman" w:hAnsi="Times New Roman" w:eastAsia="宋体" w:cs="Times New Roman"/>
                <w:color w:val="auto"/>
                <w:sz w:val="24"/>
                <w:szCs w:val="24"/>
                <w:highlight w:val="none"/>
                <w:lang w:val="en-US" w:eastAsia="zh-CN"/>
              </w:rPr>
              <w:t>废水经</w:t>
            </w:r>
            <w:r>
              <w:rPr>
                <w:rFonts w:hint="eastAsia" w:cs="Times New Roman"/>
                <w:color w:val="auto"/>
                <w:sz w:val="24"/>
                <w:szCs w:val="24"/>
                <w:highlight w:val="none"/>
                <w:lang w:val="en-US" w:eastAsia="zh-CN"/>
              </w:rPr>
              <w:t>冷却水槽</w:t>
            </w:r>
            <w:r>
              <w:rPr>
                <w:rFonts w:hint="eastAsia" w:ascii="Times New Roman" w:hAnsi="Times New Roman" w:eastAsia="宋体" w:cs="Times New Roman"/>
                <w:color w:val="auto"/>
                <w:sz w:val="24"/>
                <w:szCs w:val="24"/>
                <w:highlight w:val="none"/>
                <w:lang w:val="en-US" w:eastAsia="zh-CN"/>
              </w:rPr>
              <w:t>冷却后排入</w:t>
            </w:r>
            <w:r>
              <w:rPr>
                <w:rFonts w:hint="eastAsia" w:cs="Times New Roman"/>
                <w:color w:val="auto"/>
                <w:sz w:val="24"/>
                <w:szCs w:val="24"/>
                <w:highlight w:val="none"/>
                <w:lang w:val="en-US" w:eastAsia="zh-CN"/>
              </w:rPr>
              <w:t>小区化粪池，最终进入</w:t>
            </w:r>
            <w:r>
              <w:rPr>
                <w:rFonts w:hint="default" w:ascii="Times New Roman" w:hAnsi="Times New Roman" w:eastAsia="宋体" w:cs="Times New Roman"/>
                <w:color w:val="auto"/>
                <w:sz w:val="24"/>
                <w:szCs w:val="24"/>
                <w:highlight w:val="none"/>
              </w:rPr>
              <w:t>市政污水管网</w:t>
            </w:r>
            <w:r>
              <w:rPr>
                <w:rFonts w:hint="eastAsia" w:cs="Times New Roman"/>
                <w:color w:val="auto"/>
                <w:sz w:val="24"/>
                <w:szCs w:val="24"/>
                <w:highlight w:val="none"/>
                <w:lang w:val="en-US" w:eastAsia="zh-CN"/>
              </w:rPr>
              <w:t>经</w:t>
            </w:r>
            <w:r>
              <w:rPr>
                <w:rFonts w:hint="default" w:ascii="Times New Roman" w:hAnsi="Times New Roman" w:eastAsia="宋体" w:cs="Times New Roman"/>
                <w:color w:val="auto"/>
                <w:sz w:val="24"/>
                <w:szCs w:val="24"/>
                <w:highlight w:val="none"/>
                <w:lang w:eastAsia="zh-CN"/>
              </w:rPr>
              <w:t>太白县污水处理厂深度处理，最终排入红岩河。</w:t>
            </w:r>
          </w:p>
          <w:p w14:paraId="578FFC43">
            <w:pPr>
              <w:adjustRightInd w:val="0"/>
              <w:snapToGrid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项目用排水情况见</w:t>
            </w:r>
            <w:r>
              <w:rPr>
                <w:rFonts w:hint="default" w:ascii="Times New Roman" w:hAnsi="Times New Roman" w:eastAsia="宋体" w:cs="Times New Roman"/>
                <w:color w:val="auto"/>
                <w:sz w:val="24"/>
                <w:szCs w:val="24"/>
                <w:highlight w:val="none"/>
                <w:lang w:val="en-US" w:eastAsia="zh-CN"/>
              </w:rPr>
              <w:t>下</w:t>
            </w:r>
            <w:r>
              <w:rPr>
                <w:rFonts w:hint="default" w:ascii="Times New Roman" w:hAnsi="Times New Roman" w:eastAsia="宋体" w:cs="Times New Roman"/>
                <w:color w:val="auto"/>
                <w:sz w:val="24"/>
                <w:szCs w:val="24"/>
                <w:highlight w:val="none"/>
              </w:rPr>
              <w:t>表。</w:t>
            </w:r>
          </w:p>
          <w:p w14:paraId="2FD73854">
            <w:pPr>
              <w:spacing w:line="240" w:lineRule="auto"/>
              <w:ind w:firstLine="482" w:firstLineChars="200"/>
              <w:jc w:val="center"/>
              <w:rPr>
                <w:rFonts w:hint="eastAsia" w:ascii="Times New Roman" w:hAnsi="Times New Roman" w:eastAsia="宋体" w:cs="Times New Roman"/>
                <w:b/>
                <w:bCs/>
                <w:color w:val="auto"/>
                <w:sz w:val="24"/>
                <w:szCs w:val="24"/>
                <w:highlight w:val="none"/>
              </w:rPr>
            </w:pPr>
          </w:p>
          <w:p w14:paraId="1FF085F5">
            <w:pPr>
              <w:spacing w:line="240" w:lineRule="auto"/>
              <w:ind w:firstLine="482" w:firstLineChars="200"/>
              <w:jc w:val="center"/>
              <w:rPr>
                <w:rFonts w:hint="eastAsia" w:ascii="Times New Roman" w:hAnsi="Times New Roman" w:eastAsia="宋体" w:cs="Times New Roman"/>
                <w:b/>
                <w:bCs/>
                <w:color w:val="auto"/>
                <w:sz w:val="24"/>
                <w:szCs w:val="24"/>
                <w:highlight w:val="none"/>
              </w:rPr>
            </w:pPr>
          </w:p>
          <w:p w14:paraId="298625F3">
            <w:pPr>
              <w:spacing w:line="240" w:lineRule="auto"/>
              <w:ind w:firstLine="482" w:firstLineChars="200"/>
              <w:jc w:val="center"/>
              <w:rPr>
                <w:rFonts w:hint="eastAsia" w:ascii="Times New Roman" w:hAnsi="Times New Roman" w:eastAsia="宋体" w:cs="Times New Roman"/>
                <w:b/>
                <w:bCs/>
                <w:color w:val="auto"/>
                <w:sz w:val="24"/>
                <w:szCs w:val="24"/>
                <w:highlight w:val="none"/>
              </w:rPr>
            </w:pPr>
          </w:p>
          <w:p w14:paraId="7F9A4516">
            <w:pPr>
              <w:spacing w:line="240" w:lineRule="auto"/>
              <w:ind w:firstLine="482" w:firstLineChars="200"/>
              <w:jc w:val="center"/>
              <w:rPr>
                <w:rFonts w:hint="eastAsia" w:ascii="Times New Roman" w:hAnsi="Times New Roman" w:eastAsia="宋体" w:cs="Times New Roman"/>
                <w:b/>
                <w:bCs/>
                <w:color w:val="auto"/>
                <w:sz w:val="24"/>
                <w:szCs w:val="24"/>
                <w:highlight w:val="none"/>
              </w:rPr>
            </w:pPr>
          </w:p>
          <w:p w14:paraId="452DF754">
            <w:pPr>
              <w:spacing w:line="240" w:lineRule="auto"/>
              <w:ind w:firstLine="482" w:firstLineChars="200"/>
              <w:jc w:val="center"/>
              <w:rPr>
                <w:rFonts w:hint="eastAsia" w:ascii="Times New Roman" w:hAnsi="Times New Roman" w:eastAsia="宋体" w:cs="Times New Roman"/>
                <w:b/>
                <w:bCs/>
                <w:color w:val="auto"/>
                <w:sz w:val="24"/>
                <w:szCs w:val="24"/>
                <w:highlight w:val="none"/>
                <w:lang w:val="en-US"/>
              </w:rPr>
            </w:pPr>
            <w:r>
              <w:rPr>
                <w:rFonts w:hint="eastAsia" w:ascii="Times New Roman" w:hAnsi="Times New Roman" w:eastAsia="宋体" w:cs="Times New Roman"/>
                <w:b/>
                <w:bCs/>
                <w:color w:val="auto"/>
                <w:sz w:val="24"/>
                <w:szCs w:val="24"/>
                <w:highlight w:val="none"/>
              </w:rPr>
              <w:t>表</w:t>
            </w:r>
            <w:r>
              <w:rPr>
                <w:rFonts w:hint="eastAsia" w:ascii="Times New Roman" w:hAnsi="Times New Roman" w:eastAsia="宋体" w:cs="Times New Roman"/>
                <w:b/>
                <w:bCs/>
                <w:color w:val="auto"/>
                <w:sz w:val="24"/>
                <w:szCs w:val="24"/>
                <w:highlight w:val="none"/>
                <w:lang w:val="en-US"/>
              </w:rPr>
              <w:t>2-</w:t>
            </w:r>
            <w:r>
              <w:rPr>
                <w:rFonts w:hint="eastAsia" w:cs="Times New Roman"/>
                <w:b/>
                <w:bCs/>
                <w:color w:val="auto"/>
                <w:sz w:val="24"/>
                <w:szCs w:val="24"/>
                <w:highlight w:val="none"/>
                <w:lang w:val="en-US" w:eastAsia="zh-CN"/>
              </w:rPr>
              <w:t>5</w:t>
            </w:r>
            <w:r>
              <w:rPr>
                <w:rFonts w:hint="eastAsia" w:ascii="Times New Roman" w:hAnsi="Times New Roman" w:eastAsia="宋体" w:cs="Times New Roman"/>
                <w:b/>
                <w:bCs/>
                <w:color w:val="auto"/>
                <w:sz w:val="24"/>
                <w:szCs w:val="24"/>
                <w:highlight w:val="none"/>
              </w:rPr>
              <w:t xml:space="preserve">   项目</w:t>
            </w:r>
            <w:r>
              <w:rPr>
                <w:rFonts w:hint="eastAsia" w:ascii="Times New Roman" w:hAnsi="Times New Roman" w:eastAsia="宋体" w:cs="Times New Roman"/>
                <w:b/>
                <w:bCs/>
                <w:color w:val="auto"/>
                <w:sz w:val="24"/>
                <w:szCs w:val="24"/>
                <w:highlight w:val="none"/>
                <w:lang w:val="en-US" w:eastAsia="zh-CN"/>
              </w:rPr>
              <w:t>给排</w:t>
            </w:r>
            <w:r>
              <w:rPr>
                <w:rFonts w:hint="eastAsia" w:ascii="Times New Roman" w:hAnsi="Times New Roman" w:eastAsia="宋体" w:cs="Times New Roman"/>
                <w:b/>
                <w:bCs/>
                <w:color w:val="auto"/>
                <w:sz w:val="24"/>
                <w:szCs w:val="24"/>
                <w:highlight w:val="none"/>
              </w:rPr>
              <w:t>水一览表</w:t>
            </w:r>
            <w:r>
              <w:rPr>
                <w:rFonts w:hint="eastAsia" w:ascii="Times New Roman" w:hAnsi="Times New Roman" w:eastAsia="宋体" w:cs="Times New Roman"/>
                <w:b/>
                <w:bCs/>
                <w:color w:val="auto"/>
                <w:sz w:val="24"/>
                <w:szCs w:val="24"/>
                <w:highlight w:val="none"/>
                <w:lang w:val="en-US"/>
              </w:rPr>
              <w:t xml:space="preserve">  单位</w:t>
            </w:r>
            <w:r>
              <w:rPr>
                <w:rFonts w:hint="eastAsia" w:ascii="Times New Roman" w:hAnsi="Times New Roman" w:eastAsia="宋体" w:cs="Times New Roman"/>
                <w:b/>
                <w:bCs/>
                <w:color w:val="auto"/>
                <w:sz w:val="24"/>
                <w:szCs w:val="24"/>
                <w:highlight w:val="none"/>
                <w:lang w:val="en-US" w:eastAsia="zh-CN"/>
              </w:rPr>
              <w:t>：</w:t>
            </w:r>
            <w:r>
              <w:rPr>
                <w:rFonts w:hint="eastAsia" w:ascii="Times New Roman" w:hAnsi="Times New Roman" w:eastAsia="宋体" w:cs="Times New Roman"/>
                <w:b/>
                <w:bCs/>
                <w:color w:val="auto"/>
                <w:sz w:val="24"/>
                <w:szCs w:val="24"/>
                <w:highlight w:val="none"/>
                <w:lang w:val="en-US"/>
              </w:rPr>
              <w:t>m</w:t>
            </w:r>
            <w:r>
              <w:rPr>
                <w:rFonts w:hint="eastAsia" w:ascii="Times New Roman" w:hAnsi="Times New Roman" w:eastAsia="宋体" w:cs="Times New Roman"/>
                <w:b/>
                <w:bCs/>
                <w:color w:val="auto"/>
                <w:sz w:val="24"/>
                <w:szCs w:val="24"/>
                <w:highlight w:val="none"/>
                <w:vertAlign w:val="superscript"/>
                <w:lang w:val="en-US"/>
              </w:rPr>
              <w:t>3</w:t>
            </w:r>
            <w:r>
              <w:rPr>
                <w:rFonts w:hint="eastAsia" w:ascii="Times New Roman" w:hAnsi="Times New Roman" w:eastAsia="宋体" w:cs="Times New Roman"/>
                <w:b/>
                <w:bCs/>
                <w:color w:val="auto"/>
                <w:sz w:val="24"/>
                <w:szCs w:val="24"/>
                <w:highlight w:val="none"/>
                <w:lang w:val="en-US"/>
              </w:rPr>
              <w:t>/a</w:t>
            </w:r>
          </w:p>
          <w:tbl>
            <w:tblPr>
              <w:tblStyle w:val="37"/>
              <w:tblW w:w="4997"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2796"/>
              <w:gridCol w:w="1312"/>
              <w:gridCol w:w="1156"/>
              <w:gridCol w:w="1156"/>
              <w:gridCol w:w="1384"/>
              <w:gridCol w:w="934"/>
            </w:tblGrid>
            <w:tr w14:paraId="715852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599" w:type="pct"/>
                  <w:tcBorders>
                    <w:tl2br w:val="nil"/>
                    <w:tr2bl w:val="nil"/>
                  </w:tcBorders>
                  <w:noWrap/>
                  <w:tcMar>
                    <w:top w:w="15" w:type="dxa"/>
                    <w:left w:w="15" w:type="dxa"/>
                    <w:right w:w="15" w:type="dxa"/>
                  </w:tcMar>
                  <w:vAlign w:val="center"/>
                </w:tcPr>
                <w:p w14:paraId="352CE6A6">
                  <w:pPr>
                    <w:pStyle w:val="185"/>
                    <w:rPr>
                      <w:b/>
                      <w:bCs/>
                      <w:color w:val="auto"/>
                      <w:highlight w:val="none"/>
                    </w:rPr>
                  </w:pPr>
                  <w:r>
                    <w:rPr>
                      <w:rFonts w:hint="eastAsia"/>
                      <w:b/>
                      <w:bCs/>
                      <w:color w:val="auto"/>
                      <w:highlight w:val="none"/>
                    </w:rPr>
                    <w:t>用水性质</w:t>
                  </w:r>
                </w:p>
              </w:tc>
              <w:tc>
                <w:tcPr>
                  <w:tcW w:w="750" w:type="pct"/>
                  <w:tcBorders>
                    <w:tl2br w:val="nil"/>
                    <w:tr2bl w:val="nil"/>
                  </w:tcBorders>
                  <w:noWrap/>
                  <w:tcMar>
                    <w:top w:w="15" w:type="dxa"/>
                    <w:left w:w="15" w:type="dxa"/>
                    <w:right w:w="15" w:type="dxa"/>
                  </w:tcMar>
                  <w:vAlign w:val="center"/>
                </w:tcPr>
                <w:p w14:paraId="7126E915">
                  <w:pPr>
                    <w:pStyle w:val="185"/>
                    <w:rPr>
                      <w:b/>
                      <w:bCs/>
                      <w:color w:val="auto"/>
                      <w:highlight w:val="none"/>
                    </w:rPr>
                  </w:pPr>
                  <w:r>
                    <w:rPr>
                      <w:rFonts w:hint="eastAsia"/>
                      <w:b/>
                      <w:bCs/>
                      <w:color w:val="auto"/>
                      <w:highlight w:val="none"/>
                    </w:rPr>
                    <w:t>新鲜水</w:t>
                  </w:r>
                </w:p>
              </w:tc>
              <w:tc>
                <w:tcPr>
                  <w:tcW w:w="661" w:type="pct"/>
                  <w:tcBorders>
                    <w:tl2br w:val="nil"/>
                    <w:tr2bl w:val="nil"/>
                  </w:tcBorders>
                  <w:noWrap/>
                  <w:tcMar>
                    <w:top w:w="15" w:type="dxa"/>
                    <w:left w:w="15" w:type="dxa"/>
                    <w:right w:w="15" w:type="dxa"/>
                  </w:tcMar>
                  <w:vAlign w:val="center"/>
                </w:tcPr>
                <w:p w14:paraId="7DCA77F4">
                  <w:pPr>
                    <w:pStyle w:val="185"/>
                    <w:rPr>
                      <w:rFonts w:hint="eastAsia" w:eastAsia="宋体"/>
                      <w:b/>
                      <w:bCs/>
                      <w:color w:val="auto"/>
                      <w:highlight w:val="none"/>
                      <w:lang w:val="en-US" w:eastAsia="zh-CN"/>
                    </w:rPr>
                  </w:pPr>
                  <w:r>
                    <w:rPr>
                      <w:rFonts w:hint="eastAsia"/>
                      <w:b/>
                      <w:bCs/>
                      <w:color w:val="auto"/>
                      <w:highlight w:val="none"/>
                      <w:lang w:val="en-US" w:eastAsia="zh-CN"/>
                    </w:rPr>
                    <w:t>软水</w:t>
                  </w:r>
                </w:p>
              </w:tc>
              <w:tc>
                <w:tcPr>
                  <w:tcW w:w="661" w:type="pct"/>
                  <w:tcBorders>
                    <w:tl2br w:val="nil"/>
                    <w:tr2bl w:val="nil"/>
                  </w:tcBorders>
                  <w:noWrap/>
                  <w:tcMar>
                    <w:top w:w="15" w:type="dxa"/>
                    <w:left w:w="15" w:type="dxa"/>
                    <w:right w:w="15" w:type="dxa"/>
                  </w:tcMar>
                  <w:vAlign w:val="center"/>
                </w:tcPr>
                <w:p w14:paraId="54E2E060">
                  <w:pPr>
                    <w:pStyle w:val="185"/>
                    <w:rPr>
                      <w:rFonts w:hint="default" w:eastAsia="宋体"/>
                      <w:b/>
                      <w:bCs/>
                      <w:color w:val="auto"/>
                      <w:highlight w:val="none"/>
                      <w:lang w:val="en-US" w:eastAsia="zh-CN"/>
                    </w:rPr>
                  </w:pPr>
                  <w:r>
                    <w:rPr>
                      <w:rFonts w:hint="eastAsia"/>
                      <w:b/>
                      <w:bCs/>
                      <w:color w:val="auto"/>
                      <w:highlight w:val="none"/>
                      <w:lang w:val="en-US" w:eastAsia="zh-CN"/>
                    </w:rPr>
                    <w:t>损耗量</w:t>
                  </w:r>
                </w:p>
              </w:tc>
              <w:tc>
                <w:tcPr>
                  <w:tcW w:w="791" w:type="pct"/>
                  <w:tcBorders>
                    <w:tl2br w:val="nil"/>
                    <w:tr2bl w:val="nil"/>
                  </w:tcBorders>
                  <w:noWrap/>
                  <w:tcMar>
                    <w:top w:w="15" w:type="dxa"/>
                    <w:left w:w="15" w:type="dxa"/>
                    <w:right w:w="15" w:type="dxa"/>
                  </w:tcMar>
                  <w:vAlign w:val="center"/>
                </w:tcPr>
                <w:p w14:paraId="2224FC59">
                  <w:pPr>
                    <w:pStyle w:val="185"/>
                    <w:rPr>
                      <w:rFonts w:hint="default"/>
                      <w:b/>
                      <w:bCs/>
                      <w:color w:val="auto"/>
                      <w:highlight w:val="none"/>
                      <w:lang w:val="en-US" w:eastAsia="zh-CN"/>
                    </w:rPr>
                  </w:pPr>
                  <w:r>
                    <w:rPr>
                      <w:rFonts w:hint="default"/>
                      <w:b/>
                      <w:bCs/>
                      <w:color w:val="auto"/>
                      <w:highlight w:val="none"/>
                      <w:lang w:val="en-US" w:eastAsia="zh-CN"/>
                    </w:rPr>
                    <w:t>管网循环水量</w:t>
                  </w:r>
                </w:p>
              </w:tc>
              <w:tc>
                <w:tcPr>
                  <w:tcW w:w="534" w:type="pct"/>
                  <w:tcBorders>
                    <w:tl2br w:val="nil"/>
                    <w:tr2bl w:val="nil"/>
                  </w:tcBorders>
                  <w:noWrap/>
                  <w:tcMar>
                    <w:top w:w="15" w:type="dxa"/>
                    <w:left w:w="15" w:type="dxa"/>
                    <w:right w:w="15" w:type="dxa"/>
                  </w:tcMar>
                  <w:vAlign w:val="center"/>
                </w:tcPr>
                <w:p w14:paraId="40FBE79F">
                  <w:pPr>
                    <w:pStyle w:val="185"/>
                    <w:rPr>
                      <w:b/>
                      <w:bCs/>
                      <w:color w:val="auto"/>
                      <w:highlight w:val="none"/>
                    </w:rPr>
                  </w:pPr>
                  <w:r>
                    <w:rPr>
                      <w:rFonts w:hint="eastAsia"/>
                      <w:b/>
                      <w:bCs/>
                      <w:color w:val="auto"/>
                      <w:highlight w:val="none"/>
                    </w:rPr>
                    <w:t>废水</w:t>
                  </w:r>
                </w:p>
              </w:tc>
            </w:tr>
            <w:tr w14:paraId="458430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599" w:type="pct"/>
                  <w:tcBorders>
                    <w:tl2br w:val="nil"/>
                    <w:tr2bl w:val="nil"/>
                  </w:tcBorders>
                  <w:noWrap/>
                  <w:tcMar>
                    <w:top w:w="15" w:type="dxa"/>
                    <w:left w:w="15" w:type="dxa"/>
                    <w:right w:w="15" w:type="dxa"/>
                  </w:tcMar>
                  <w:vAlign w:val="center"/>
                </w:tcPr>
                <w:p w14:paraId="47E458DA">
                  <w:pPr>
                    <w:pStyle w:val="185"/>
                    <w:rPr>
                      <w:rFonts w:hint="default" w:eastAsia="宋体"/>
                      <w:color w:val="auto"/>
                      <w:highlight w:val="none"/>
                      <w:lang w:val="en-US" w:eastAsia="zh-CN"/>
                    </w:rPr>
                  </w:pPr>
                  <w:r>
                    <w:rPr>
                      <w:rFonts w:hint="eastAsia"/>
                      <w:color w:val="auto"/>
                      <w:highlight w:val="none"/>
                      <w:lang w:val="en-US" w:eastAsia="zh-CN"/>
                    </w:rPr>
                    <w:t>锅炉用水</w:t>
                  </w:r>
                </w:p>
              </w:tc>
              <w:tc>
                <w:tcPr>
                  <w:tcW w:w="750" w:type="pct"/>
                  <w:tcBorders>
                    <w:tl2br w:val="nil"/>
                    <w:tr2bl w:val="nil"/>
                  </w:tcBorders>
                  <w:noWrap/>
                  <w:tcMar>
                    <w:top w:w="15" w:type="dxa"/>
                    <w:left w:w="15" w:type="dxa"/>
                    <w:right w:w="15" w:type="dxa"/>
                  </w:tcMar>
                  <w:vAlign w:val="center"/>
                </w:tcPr>
                <w:p w14:paraId="6CE46774">
                  <w:pPr>
                    <w:pStyle w:val="185"/>
                    <w:rPr>
                      <w:rFonts w:hint="default" w:ascii="Times New Roman" w:hAnsi="Times New Roman" w:cs="Times New Roman"/>
                      <w:color w:val="auto"/>
                      <w:highlight w:val="none"/>
                      <w:lang w:val="en-US"/>
                    </w:rPr>
                  </w:pPr>
                  <w:r>
                    <w:rPr>
                      <w:rFonts w:hint="eastAsia" w:cs="Times New Roman"/>
                      <w:color w:val="auto"/>
                      <w:spacing w:val="-3"/>
                      <w:kern w:val="2"/>
                      <w:sz w:val="21"/>
                      <w:szCs w:val="24"/>
                      <w:highlight w:val="none"/>
                      <w:lang w:val="en-US" w:eastAsia="zh-CN" w:bidi="zh-CN"/>
                    </w:rPr>
                    <w:t>/</w:t>
                  </w:r>
                </w:p>
              </w:tc>
              <w:tc>
                <w:tcPr>
                  <w:tcW w:w="661" w:type="pct"/>
                  <w:tcBorders>
                    <w:tl2br w:val="nil"/>
                    <w:tr2bl w:val="nil"/>
                  </w:tcBorders>
                  <w:noWrap/>
                  <w:tcMar>
                    <w:top w:w="15" w:type="dxa"/>
                    <w:left w:w="15" w:type="dxa"/>
                    <w:right w:w="15" w:type="dxa"/>
                  </w:tcMar>
                  <w:vAlign w:val="center"/>
                </w:tcPr>
                <w:p w14:paraId="458BFD0B">
                  <w:pPr>
                    <w:pStyle w:val="185"/>
                    <w:rPr>
                      <w:rFonts w:hint="default" w:cs="Times New Roman"/>
                      <w:color w:val="auto"/>
                      <w:spacing w:val="-3"/>
                      <w:kern w:val="2"/>
                      <w:sz w:val="21"/>
                      <w:szCs w:val="24"/>
                      <w:highlight w:val="none"/>
                      <w:lang w:val="en-US" w:eastAsia="zh-CN" w:bidi="zh-CN"/>
                    </w:rPr>
                  </w:pPr>
                  <w:r>
                    <w:rPr>
                      <w:rFonts w:hint="default" w:cs="Times New Roman"/>
                      <w:color w:val="auto"/>
                      <w:spacing w:val="-3"/>
                      <w:kern w:val="2"/>
                      <w:sz w:val="21"/>
                      <w:szCs w:val="24"/>
                      <w:highlight w:val="none"/>
                      <w:lang w:val="en-US" w:eastAsia="zh-CN" w:bidi="zh-CN"/>
                    </w:rPr>
                    <w:t>3536.7</w:t>
                  </w:r>
                </w:p>
              </w:tc>
              <w:tc>
                <w:tcPr>
                  <w:tcW w:w="661" w:type="pct"/>
                  <w:tcBorders>
                    <w:tl2br w:val="nil"/>
                    <w:tr2bl w:val="nil"/>
                  </w:tcBorders>
                  <w:noWrap/>
                  <w:tcMar>
                    <w:top w:w="15" w:type="dxa"/>
                    <w:left w:w="15" w:type="dxa"/>
                    <w:right w:w="15" w:type="dxa"/>
                  </w:tcMar>
                  <w:vAlign w:val="center"/>
                </w:tcPr>
                <w:p w14:paraId="51F74421">
                  <w:pPr>
                    <w:pStyle w:val="185"/>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2817.4</w:t>
                  </w:r>
                </w:p>
              </w:tc>
              <w:tc>
                <w:tcPr>
                  <w:tcW w:w="791" w:type="pct"/>
                  <w:tcBorders>
                    <w:tl2br w:val="nil"/>
                    <w:tr2bl w:val="nil"/>
                  </w:tcBorders>
                  <w:noWrap/>
                  <w:tcMar>
                    <w:top w:w="15" w:type="dxa"/>
                    <w:left w:w="15" w:type="dxa"/>
                    <w:right w:w="15" w:type="dxa"/>
                  </w:tcMar>
                  <w:vAlign w:val="center"/>
                </w:tcPr>
                <w:p w14:paraId="24F8C3EC">
                  <w:pPr>
                    <w:pStyle w:val="185"/>
                    <w:rPr>
                      <w:rFonts w:hint="default" w:cs="Times New Roman"/>
                      <w:color w:val="auto"/>
                      <w:highlight w:val="none"/>
                      <w:lang w:val="en-US" w:eastAsia="zh-CN"/>
                    </w:rPr>
                  </w:pPr>
                  <w:r>
                    <w:rPr>
                      <w:rFonts w:hint="default" w:cs="Times New Roman"/>
                      <w:color w:val="auto"/>
                      <w:highlight w:val="none"/>
                      <w:lang w:val="en-US" w:eastAsia="zh-CN"/>
                    </w:rPr>
                    <w:t>281736.0</w:t>
                  </w:r>
                </w:p>
              </w:tc>
              <w:tc>
                <w:tcPr>
                  <w:tcW w:w="534" w:type="pct"/>
                  <w:tcBorders>
                    <w:tl2br w:val="nil"/>
                    <w:tr2bl w:val="nil"/>
                  </w:tcBorders>
                  <w:noWrap/>
                  <w:tcMar>
                    <w:top w:w="15" w:type="dxa"/>
                    <w:left w:w="15" w:type="dxa"/>
                    <w:right w:w="15" w:type="dxa"/>
                  </w:tcMar>
                  <w:vAlign w:val="center"/>
                </w:tcPr>
                <w:p w14:paraId="117EAB52">
                  <w:pPr>
                    <w:pStyle w:val="185"/>
                    <w:tabs>
                      <w:tab w:val="left" w:pos="398"/>
                    </w:tabs>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719.3</w:t>
                  </w:r>
                </w:p>
              </w:tc>
            </w:tr>
            <w:tr w14:paraId="4895B2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599" w:type="pct"/>
                  <w:tcBorders>
                    <w:tl2br w:val="nil"/>
                    <w:tr2bl w:val="nil"/>
                  </w:tcBorders>
                  <w:noWrap/>
                  <w:tcMar>
                    <w:top w:w="15" w:type="dxa"/>
                    <w:left w:w="15" w:type="dxa"/>
                    <w:right w:w="15" w:type="dxa"/>
                  </w:tcMar>
                  <w:vAlign w:val="center"/>
                </w:tcPr>
                <w:p w14:paraId="71DBEF3D">
                  <w:pPr>
                    <w:pStyle w:val="185"/>
                    <w:rPr>
                      <w:rFonts w:hint="default"/>
                      <w:color w:val="auto"/>
                      <w:highlight w:val="none"/>
                      <w:lang w:val="en-US" w:eastAsia="zh-CN"/>
                    </w:rPr>
                  </w:pPr>
                  <w:r>
                    <w:rPr>
                      <w:rFonts w:hint="eastAsia"/>
                      <w:color w:val="auto"/>
                      <w:highlight w:val="none"/>
                      <w:lang w:val="en-US" w:eastAsia="zh-CN"/>
                    </w:rPr>
                    <w:t>软水制备用水</w:t>
                  </w:r>
                </w:p>
              </w:tc>
              <w:tc>
                <w:tcPr>
                  <w:tcW w:w="750" w:type="pct"/>
                  <w:tcBorders>
                    <w:tl2br w:val="nil"/>
                    <w:tr2bl w:val="nil"/>
                  </w:tcBorders>
                  <w:noWrap/>
                  <w:tcMar>
                    <w:top w:w="15" w:type="dxa"/>
                    <w:left w:w="15" w:type="dxa"/>
                    <w:right w:w="15" w:type="dxa"/>
                  </w:tcMar>
                  <w:vAlign w:val="center"/>
                </w:tcPr>
                <w:p w14:paraId="02F4096F">
                  <w:pPr>
                    <w:pStyle w:val="185"/>
                    <w:rPr>
                      <w:rFonts w:hint="default" w:cs="Times New Roman"/>
                      <w:snapToGrid w:val="0"/>
                      <w:color w:val="auto"/>
                      <w:kern w:val="0"/>
                      <w:sz w:val="21"/>
                      <w:szCs w:val="21"/>
                      <w:highlight w:val="none"/>
                      <w:lang w:val="en-US" w:eastAsia="zh-CN"/>
                    </w:rPr>
                  </w:pPr>
                  <w:r>
                    <w:rPr>
                      <w:rFonts w:hint="default" w:cs="Times New Roman"/>
                      <w:snapToGrid w:val="0"/>
                      <w:color w:val="auto"/>
                      <w:kern w:val="0"/>
                      <w:sz w:val="21"/>
                      <w:szCs w:val="21"/>
                      <w:highlight w:val="none"/>
                      <w:lang w:val="en-US" w:eastAsia="zh-CN"/>
                    </w:rPr>
                    <w:t>3806.6</w:t>
                  </w:r>
                </w:p>
              </w:tc>
              <w:tc>
                <w:tcPr>
                  <w:tcW w:w="661" w:type="pct"/>
                  <w:tcBorders>
                    <w:tl2br w:val="nil"/>
                    <w:tr2bl w:val="nil"/>
                  </w:tcBorders>
                  <w:noWrap/>
                  <w:tcMar>
                    <w:top w:w="15" w:type="dxa"/>
                    <w:left w:w="15" w:type="dxa"/>
                    <w:right w:w="15" w:type="dxa"/>
                  </w:tcMar>
                  <w:vAlign w:val="center"/>
                </w:tcPr>
                <w:p w14:paraId="16ABD3D3">
                  <w:pPr>
                    <w:jc w:val="center"/>
                    <w:rPr>
                      <w:rFonts w:hint="eastAsia" w:cs="Times New Roman"/>
                      <w:snapToGrid w:val="0"/>
                      <w:color w:val="auto"/>
                      <w:kern w:val="0"/>
                      <w:sz w:val="21"/>
                      <w:szCs w:val="21"/>
                      <w:highlight w:val="none"/>
                      <w:lang w:val="en-US" w:eastAsia="zh-CN"/>
                    </w:rPr>
                  </w:pPr>
                  <w:r>
                    <w:rPr>
                      <w:rFonts w:hint="eastAsia" w:cs="Times New Roman"/>
                      <w:color w:val="auto"/>
                      <w:spacing w:val="-3"/>
                      <w:kern w:val="2"/>
                      <w:sz w:val="21"/>
                      <w:szCs w:val="24"/>
                      <w:highlight w:val="none"/>
                      <w:lang w:val="en-US" w:eastAsia="zh-CN" w:bidi="zh-CN"/>
                    </w:rPr>
                    <w:t>/</w:t>
                  </w:r>
                </w:p>
              </w:tc>
              <w:tc>
                <w:tcPr>
                  <w:tcW w:w="661" w:type="pct"/>
                  <w:tcBorders>
                    <w:tl2br w:val="nil"/>
                    <w:tr2bl w:val="nil"/>
                  </w:tcBorders>
                  <w:noWrap/>
                  <w:tcMar>
                    <w:top w:w="15" w:type="dxa"/>
                    <w:left w:w="15" w:type="dxa"/>
                    <w:right w:w="15" w:type="dxa"/>
                  </w:tcMar>
                  <w:vAlign w:val="center"/>
                </w:tcPr>
                <w:p w14:paraId="43FDE61A">
                  <w:pPr>
                    <w:jc w:val="center"/>
                    <w:rPr>
                      <w:rFonts w:hint="eastAsia" w:cs="Times New Roman"/>
                      <w:snapToGrid w:val="0"/>
                      <w:color w:val="auto"/>
                      <w:kern w:val="0"/>
                      <w:sz w:val="21"/>
                      <w:szCs w:val="21"/>
                      <w:highlight w:val="none"/>
                      <w:lang w:val="en-US" w:eastAsia="zh-CN"/>
                    </w:rPr>
                  </w:pPr>
                  <w:r>
                    <w:rPr>
                      <w:rFonts w:hint="eastAsia" w:cs="Times New Roman"/>
                      <w:color w:val="auto"/>
                      <w:spacing w:val="-3"/>
                      <w:kern w:val="2"/>
                      <w:sz w:val="21"/>
                      <w:szCs w:val="24"/>
                      <w:highlight w:val="none"/>
                      <w:lang w:val="en-US" w:eastAsia="zh-CN" w:bidi="zh-CN"/>
                    </w:rPr>
                    <w:t>/</w:t>
                  </w:r>
                </w:p>
              </w:tc>
              <w:tc>
                <w:tcPr>
                  <w:tcW w:w="791" w:type="pct"/>
                  <w:tcBorders>
                    <w:tl2br w:val="nil"/>
                    <w:tr2bl w:val="nil"/>
                  </w:tcBorders>
                  <w:noWrap/>
                  <w:tcMar>
                    <w:top w:w="15" w:type="dxa"/>
                    <w:left w:w="15" w:type="dxa"/>
                    <w:right w:w="15" w:type="dxa"/>
                  </w:tcMar>
                  <w:vAlign w:val="center"/>
                </w:tcPr>
                <w:p w14:paraId="7827E78F">
                  <w:pPr>
                    <w:jc w:val="center"/>
                    <w:rPr>
                      <w:rFonts w:hint="eastAsia" w:cs="Times New Roman"/>
                      <w:color w:val="auto"/>
                      <w:spacing w:val="-3"/>
                      <w:kern w:val="2"/>
                      <w:sz w:val="21"/>
                      <w:szCs w:val="24"/>
                      <w:highlight w:val="none"/>
                      <w:lang w:val="en-US" w:eastAsia="zh-CN" w:bidi="zh-CN"/>
                    </w:rPr>
                  </w:pPr>
                  <w:r>
                    <w:rPr>
                      <w:rFonts w:hint="eastAsia" w:cs="Times New Roman"/>
                      <w:color w:val="auto"/>
                      <w:spacing w:val="-3"/>
                      <w:kern w:val="2"/>
                      <w:sz w:val="21"/>
                      <w:szCs w:val="24"/>
                      <w:highlight w:val="none"/>
                      <w:lang w:val="en-US" w:eastAsia="zh-CN" w:bidi="zh-CN"/>
                    </w:rPr>
                    <w:t>/</w:t>
                  </w:r>
                </w:p>
              </w:tc>
              <w:tc>
                <w:tcPr>
                  <w:tcW w:w="534" w:type="pct"/>
                  <w:tcBorders>
                    <w:tl2br w:val="nil"/>
                    <w:tr2bl w:val="nil"/>
                  </w:tcBorders>
                  <w:noWrap/>
                  <w:tcMar>
                    <w:top w:w="15" w:type="dxa"/>
                    <w:left w:w="15" w:type="dxa"/>
                    <w:right w:w="15" w:type="dxa"/>
                  </w:tcMar>
                  <w:vAlign w:val="center"/>
                </w:tcPr>
                <w:p w14:paraId="1843C9CC">
                  <w:pPr>
                    <w:pStyle w:val="185"/>
                    <w:tabs>
                      <w:tab w:val="left" w:pos="398"/>
                    </w:tabs>
                    <w:rPr>
                      <w:rFonts w:hint="default" w:cs="Times New Roman"/>
                      <w:snapToGrid w:val="0"/>
                      <w:color w:val="auto"/>
                      <w:kern w:val="0"/>
                      <w:sz w:val="21"/>
                      <w:szCs w:val="21"/>
                      <w:highlight w:val="none"/>
                      <w:lang w:val="en-US" w:eastAsia="zh-CN"/>
                    </w:rPr>
                  </w:pPr>
                  <w:r>
                    <w:rPr>
                      <w:rFonts w:hint="eastAsia" w:cs="Times New Roman"/>
                      <w:snapToGrid w:val="0"/>
                      <w:color w:val="auto"/>
                      <w:kern w:val="0"/>
                      <w:sz w:val="21"/>
                      <w:szCs w:val="21"/>
                      <w:highlight w:val="none"/>
                      <w:lang w:val="en-US" w:eastAsia="zh-CN"/>
                    </w:rPr>
                    <w:t>269.9</w:t>
                  </w:r>
                </w:p>
              </w:tc>
            </w:tr>
            <w:tr w14:paraId="664565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599" w:type="pct"/>
                  <w:tcBorders>
                    <w:tl2br w:val="nil"/>
                    <w:tr2bl w:val="nil"/>
                  </w:tcBorders>
                  <w:noWrap/>
                  <w:tcMar>
                    <w:top w:w="15" w:type="dxa"/>
                    <w:left w:w="15" w:type="dxa"/>
                    <w:right w:w="15" w:type="dxa"/>
                  </w:tcMar>
                  <w:vAlign w:val="center"/>
                </w:tcPr>
                <w:p w14:paraId="27E65300">
                  <w:pPr>
                    <w:pStyle w:val="185"/>
                    <w:rPr>
                      <w:rFonts w:hint="default"/>
                      <w:color w:val="auto"/>
                      <w:highlight w:val="none"/>
                      <w:lang w:val="en-US" w:eastAsia="zh-CN"/>
                    </w:rPr>
                  </w:pPr>
                  <w:r>
                    <w:rPr>
                      <w:rFonts w:hint="eastAsia"/>
                      <w:color w:val="auto"/>
                      <w:highlight w:val="none"/>
                      <w:lang w:val="en-US" w:eastAsia="zh-CN"/>
                    </w:rPr>
                    <w:t>合计</w:t>
                  </w:r>
                </w:p>
              </w:tc>
              <w:tc>
                <w:tcPr>
                  <w:tcW w:w="750" w:type="pct"/>
                  <w:tcBorders>
                    <w:tl2br w:val="nil"/>
                    <w:tr2bl w:val="nil"/>
                  </w:tcBorders>
                  <w:noWrap/>
                  <w:tcMar>
                    <w:top w:w="15" w:type="dxa"/>
                    <w:left w:w="15" w:type="dxa"/>
                    <w:right w:w="15" w:type="dxa"/>
                  </w:tcMar>
                  <w:vAlign w:val="center"/>
                </w:tcPr>
                <w:p w14:paraId="784BA72C">
                  <w:pPr>
                    <w:pStyle w:val="185"/>
                    <w:rPr>
                      <w:rFonts w:hint="default" w:ascii="Times New Roman" w:hAnsi="Times New Roman" w:cs="Times New Roman"/>
                      <w:color w:val="auto"/>
                      <w:spacing w:val="-3"/>
                      <w:kern w:val="2"/>
                      <w:sz w:val="21"/>
                      <w:szCs w:val="24"/>
                      <w:highlight w:val="none"/>
                      <w:lang w:val="en-US" w:eastAsia="zh-CN" w:bidi="zh-CN"/>
                    </w:rPr>
                  </w:pPr>
                  <w:r>
                    <w:rPr>
                      <w:rFonts w:hint="default" w:cs="Times New Roman"/>
                      <w:snapToGrid w:val="0"/>
                      <w:color w:val="auto"/>
                      <w:kern w:val="0"/>
                      <w:sz w:val="21"/>
                      <w:szCs w:val="21"/>
                      <w:highlight w:val="none"/>
                      <w:lang w:val="en-US" w:eastAsia="zh-CN"/>
                    </w:rPr>
                    <w:t>3806.6</w:t>
                  </w:r>
                </w:p>
              </w:tc>
              <w:tc>
                <w:tcPr>
                  <w:tcW w:w="661" w:type="pct"/>
                  <w:tcBorders>
                    <w:tl2br w:val="nil"/>
                    <w:tr2bl w:val="nil"/>
                  </w:tcBorders>
                  <w:noWrap/>
                  <w:tcMar>
                    <w:top w:w="15" w:type="dxa"/>
                    <w:left w:w="15" w:type="dxa"/>
                    <w:right w:w="15" w:type="dxa"/>
                  </w:tcMar>
                  <w:vAlign w:val="center"/>
                </w:tcPr>
                <w:p w14:paraId="4A7573A9">
                  <w:pPr>
                    <w:pStyle w:val="185"/>
                    <w:rPr>
                      <w:rFonts w:hint="default" w:cs="Times New Roman"/>
                      <w:color w:val="auto"/>
                      <w:spacing w:val="-3"/>
                      <w:kern w:val="2"/>
                      <w:sz w:val="21"/>
                      <w:szCs w:val="24"/>
                      <w:highlight w:val="none"/>
                      <w:lang w:val="en-US" w:eastAsia="zh-CN" w:bidi="zh-CN"/>
                    </w:rPr>
                  </w:pPr>
                  <w:r>
                    <w:rPr>
                      <w:rFonts w:hint="default" w:cs="Times New Roman"/>
                      <w:color w:val="auto"/>
                      <w:spacing w:val="-3"/>
                      <w:kern w:val="2"/>
                      <w:sz w:val="21"/>
                      <w:szCs w:val="24"/>
                      <w:highlight w:val="none"/>
                      <w:lang w:val="en-US" w:eastAsia="zh-CN" w:bidi="zh-CN"/>
                    </w:rPr>
                    <w:t>3536.7</w:t>
                  </w:r>
                </w:p>
              </w:tc>
              <w:tc>
                <w:tcPr>
                  <w:tcW w:w="661" w:type="pct"/>
                  <w:tcBorders>
                    <w:tl2br w:val="nil"/>
                    <w:tr2bl w:val="nil"/>
                  </w:tcBorders>
                  <w:noWrap/>
                  <w:tcMar>
                    <w:top w:w="15" w:type="dxa"/>
                    <w:left w:w="15" w:type="dxa"/>
                    <w:right w:w="15" w:type="dxa"/>
                  </w:tcMar>
                  <w:vAlign w:val="center"/>
                </w:tcPr>
                <w:p w14:paraId="6A9BA874">
                  <w:pPr>
                    <w:pStyle w:val="185"/>
                    <w:rPr>
                      <w:rFonts w:hint="default"/>
                      <w:color w:val="auto"/>
                      <w:highlight w:val="none"/>
                      <w:lang w:val="en-US" w:eastAsia="zh-CN"/>
                    </w:rPr>
                  </w:pPr>
                  <w:r>
                    <w:rPr>
                      <w:rFonts w:hint="default"/>
                      <w:color w:val="auto"/>
                      <w:highlight w:val="none"/>
                      <w:lang w:val="en-US" w:eastAsia="zh-CN"/>
                    </w:rPr>
                    <w:t>2817.4</w:t>
                  </w:r>
                </w:p>
              </w:tc>
              <w:tc>
                <w:tcPr>
                  <w:tcW w:w="791" w:type="pct"/>
                  <w:tcBorders>
                    <w:tl2br w:val="nil"/>
                    <w:tr2bl w:val="nil"/>
                  </w:tcBorders>
                  <w:noWrap/>
                  <w:tcMar>
                    <w:top w:w="15" w:type="dxa"/>
                    <w:left w:w="15" w:type="dxa"/>
                    <w:right w:w="15" w:type="dxa"/>
                  </w:tcMar>
                  <w:vAlign w:val="center"/>
                </w:tcPr>
                <w:p w14:paraId="7622E278">
                  <w:pPr>
                    <w:pStyle w:val="185"/>
                    <w:rPr>
                      <w:rFonts w:hint="default"/>
                      <w:color w:val="auto"/>
                      <w:highlight w:val="none"/>
                      <w:lang w:val="en-US" w:eastAsia="zh-CN"/>
                    </w:rPr>
                  </w:pPr>
                  <w:r>
                    <w:rPr>
                      <w:rFonts w:hint="default"/>
                      <w:color w:val="auto"/>
                      <w:highlight w:val="none"/>
                      <w:lang w:val="en-US" w:eastAsia="zh-CN"/>
                    </w:rPr>
                    <w:t>281736.0</w:t>
                  </w:r>
                </w:p>
              </w:tc>
              <w:tc>
                <w:tcPr>
                  <w:tcW w:w="534" w:type="pct"/>
                  <w:tcBorders>
                    <w:tl2br w:val="nil"/>
                    <w:tr2bl w:val="nil"/>
                  </w:tcBorders>
                  <w:noWrap/>
                  <w:tcMar>
                    <w:top w:w="15" w:type="dxa"/>
                    <w:left w:w="15" w:type="dxa"/>
                    <w:right w:w="15" w:type="dxa"/>
                  </w:tcMar>
                  <w:vAlign w:val="center"/>
                </w:tcPr>
                <w:p w14:paraId="1BC29619">
                  <w:pPr>
                    <w:pStyle w:val="185"/>
                    <w:tabs>
                      <w:tab w:val="left" w:pos="398"/>
                    </w:tabs>
                    <w:rPr>
                      <w:rFonts w:hint="default" w:cs="Times New Roman"/>
                      <w:color w:val="auto"/>
                      <w:highlight w:val="none"/>
                      <w:lang w:val="en-US" w:eastAsia="zh-CN"/>
                    </w:rPr>
                  </w:pPr>
                  <w:r>
                    <w:rPr>
                      <w:rFonts w:hint="eastAsia" w:cs="Times New Roman"/>
                      <w:color w:val="auto"/>
                      <w:highlight w:val="none"/>
                      <w:lang w:val="en-US" w:eastAsia="zh-CN"/>
                    </w:rPr>
                    <w:t>989.2</w:t>
                  </w:r>
                </w:p>
              </w:tc>
            </w:tr>
          </w:tbl>
          <w:p w14:paraId="05428A36">
            <w:pPr>
              <w:autoSpaceDE w:val="0"/>
              <w:adjustRightInd w:val="0"/>
              <w:snapToGrid w:val="0"/>
              <w:spacing w:line="360" w:lineRule="auto"/>
              <w:ind w:firstLine="480" w:firstLineChars="200"/>
              <w:jc w:val="left"/>
              <w:rPr>
                <w:rFonts w:hint="eastAsia" w:hAnsi="宋体"/>
                <w:color w:val="auto"/>
                <w:sz w:val="24"/>
                <w:szCs w:val="24"/>
                <w:highlight w:val="none"/>
              </w:rPr>
            </w:pPr>
            <w:r>
              <w:rPr>
                <w:rFonts w:hint="eastAsia" w:hAnsi="宋体"/>
                <w:color w:val="auto"/>
                <w:sz w:val="24"/>
                <w:szCs w:val="24"/>
                <w:highlight w:val="none"/>
              </w:rPr>
              <w:t>项目水平衡图如下：</w:t>
            </w:r>
          </w:p>
          <w:p w14:paraId="5E2FC7C2">
            <w:pPr>
              <w:pStyle w:val="30"/>
              <w:rPr>
                <w:rFonts w:hint="eastAsia" w:hAnsi="宋体"/>
                <w:color w:val="auto"/>
                <w:sz w:val="24"/>
                <w:szCs w:val="24"/>
                <w:highlight w:val="green"/>
              </w:rPr>
            </w:pPr>
            <w:r>
              <w:rPr>
                <w:rFonts w:hint="eastAsia" w:ascii="Times New Roman" w:hAnsi="Times New Roman" w:cs="Times New Roman"/>
                <w:color w:val="auto"/>
                <w:sz w:val="24"/>
                <w:szCs w:val="24"/>
                <w:highlight w:val="green"/>
              </w:rPr>
              <mc:AlternateContent>
                <mc:Choice Requires="wps">
                  <w:drawing>
                    <wp:anchor distT="0" distB="0" distL="114300" distR="114300" simplePos="0" relativeHeight="251669504" behindDoc="0" locked="0" layoutInCell="1" allowOverlap="1">
                      <wp:simplePos x="0" y="0"/>
                      <wp:positionH relativeFrom="column">
                        <wp:posOffset>4502150</wp:posOffset>
                      </wp:positionH>
                      <wp:positionV relativeFrom="paragraph">
                        <wp:posOffset>159385</wp:posOffset>
                      </wp:positionV>
                      <wp:extent cx="802005" cy="293370"/>
                      <wp:effectExtent l="0" t="0" r="0" b="0"/>
                      <wp:wrapNone/>
                      <wp:docPr id="49" name="矩形 115"/>
                      <wp:cNvGraphicFramePr/>
                      <a:graphic xmlns:a="http://schemas.openxmlformats.org/drawingml/2006/main">
                        <a:graphicData uri="http://schemas.microsoft.com/office/word/2010/wordprocessingShape">
                          <wps:wsp>
                            <wps:cNvSpPr/>
                            <wps:spPr>
                              <a:xfrm>
                                <a:off x="0" y="0"/>
                                <a:ext cx="802005" cy="293370"/>
                              </a:xfrm>
                              <a:prstGeom prst="rect">
                                <a:avLst/>
                              </a:prstGeom>
                              <a:noFill/>
                              <a:ln>
                                <a:noFill/>
                              </a:ln>
                            </wps:spPr>
                            <wps:txbx>
                              <w:txbxContent>
                                <w:p w14:paraId="558D8EC2">
                                  <w:pPr>
                                    <w:rPr>
                                      <w:rFonts w:hint="default"/>
                                      <w:lang w:val="en-US" w:eastAsia="zh-CN"/>
                                    </w:rPr>
                                  </w:pPr>
                                  <w:r>
                                    <w:rPr>
                                      <w:rFonts w:hint="eastAsia" w:cs="Times New Roman"/>
                                      <w:b w:val="0"/>
                                      <w:bCs/>
                                      <w:color w:val="000000"/>
                                      <w:kern w:val="0"/>
                                      <w:sz w:val="21"/>
                                      <w:szCs w:val="21"/>
                                      <w:lang w:val="en-US" w:eastAsia="zh-CN"/>
                                    </w:rPr>
                                    <w:t>2817.4</w:t>
                                  </w:r>
                                </w:p>
                              </w:txbxContent>
                            </wps:txbx>
                            <wps:bodyPr vert="horz" wrap="square" anchor="t" anchorCtr="0" upright="1"/>
                          </wps:wsp>
                        </a:graphicData>
                      </a:graphic>
                    </wp:anchor>
                  </w:drawing>
                </mc:Choice>
                <mc:Fallback>
                  <w:pict>
                    <v:rect id="矩形 115" o:spid="_x0000_s1026" o:spt="1" style="position:absolute;left:0pt;margin-left:354.5pt;margin-top:12.55pt;height:23.1pt;width:63.15pt;z-index:251669504;mso-width-relative:page;mso-height-relative:page;" filled="f" stroked="f" coordsize="21600,21600" o:gfxdata="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hz13dtoAAAAJAQAADwAAAAAAAAABACAAAAAiAAAAZHJzL2Rvd25y&#10;ZXYueG1sUEsBAhQAFAAAAAgAh07iQMhqKT3DAQAAdgMAAA4AAAAAAAAAAQAgAAAAKQEAAGRycy9l&#10;Mm9Eb2MueG1sUEsFBgAAAAAGAAYAWQEAAF4FAAAAAA==&#10;">
                      <v:fill on="f" focussize="0,0"/>
                      <v:stroke on="f"/>
                      <v:imagedata o:title=""/>
                      <o:lock v:ext="edit" aspectratio="f"/>
                      <v:textbox>
                        <w:txbxContent>
                          <w:p w14:paraId="558D8EC2">
                            <w:pPr>
                              <w:rPr>
                                <w:rFonts w:hint="default"/>
                                <w:lang w:val="en-US" w:eastAsia="zh-CN"/>
                              </w:rPr>
                            </w:pPr>
                            <w:r>
                              <w:rPr>
                                <w:rFonts w:hint="eastAsia" w:cs="Times New Roman"/>
                                <w:b w:val="0"/>
                                <w:bCs/>
                                <w:color w:val="000000"/>
                                <w:kern w:val="0"/>
                                <w:sz w:val="21"/>
                                <w:szCs w:val="21"/>
                                <w:lang w:val="en-US" w:eastAsia="zh-CN"/>
                              </w:rPr>
                              <w:t>2817.4</w:t>
                            </w:r>
                          </w:p>
                        </w:txbxContent>
                      </v:textbox>
                    </v:rect>
                  </w:pict>
                </mc:Fallback>
              </mc:AlternateContent>
            </w:r>
          </w:p>
          <w:p w14:paraId="6FFD4701">
            <w:pPr>
              <w:rPr>
                <w:rFonts w:hint="eastAsia"/>
                <w:color w:val="auto"/>
                <w:highlight w:val="green"/>
              </w:rPr>
            </w:pPr>
          </w:p>
          <w:p w14:paraId="71AB4D60">
            <w:pPr>
              <w:autoSpaceDE w:val="0"/>
              <w:adjustRightInd w:val="0"/>
              <w:snapToGrid w:val="0"/>
              <w:spacing w:line="360" w:lineRule="auto"/>
              <w:ind w:firstLine="480" w:firstLineChars="200"/>
              <w:jc w:val="left"/>
              <w:rPr>
                <w:rFonts w:ascii="Times New Roman" w:hAnsi="Times New Roman" w:cs="Times New Roman"/>
                <w:color w:val="auto"/>
                <w:sz w:val="24"/>
                <w:szCs w:val="24"/>
                <w:highlight w:val="green"/>
              </w:rPr>
            </w:pPr>
            <w:r>
              <w:rPr>
                <w:color w:val="auto"/>
                <w:sz w:val="24"/>
                <w:szCs w:val="24"/>
                <w:highlight w:val="green"/>
              </w:rPr>
              <mc:AlternateContent>
                <mc:Choice Requires="wps">
                  <w:drawing>
                    <wp:anchor distT="0" distB="0" distL="114300" distR="114300" simplePos="0" relativeHeight="251686912" behindDoc="0" locked="0" layoutInCell="1" allowOverlap="1">
                      <wp:simplePos x="0" y="0"/>
                      <wp:positionH relativeFrom="column">
                        <wp:posOffset>4448810</wp:posOffset>
                      </wp:positionH>
                      <wp:positionV relativeFrom="paragraph">
                        <wp:posOffset>59055</wp:posOffset>
                      </wp:positionV>
                      <wp:extent cx="297815" cy="148590"/>
                      <wp:effectExtent l="1905" t="6350" r="5080" b="16510"/>
                      <wp:wrapNone/>
                      <wp:docPr id="66" name="直线 13"/>
                      <wp:cNvGraphicFramePr/>
                      <a:graphic xmlns:a="http://schemas.openxmlformats.org/drawingml/2006/main">
                        <a:graphicData uri="http://schemas.microsoft.com/office/word/2010/wordprocessingShape">
                          <wps:wsp>
                            <wps:cNvCnPr/>
                            <wps:spPr>
                              <a:xfrm flipV="1">
                                <a:off x="0" y="0"/>
                                <a:ext cx="297815" cy="148590"/>
                              </a:xfrm>
                              <a:prstGeom prst="line">
                                <a:avLst/>
                              </a:prstGeom>
                              <a:ln w="9525" cap="flat" cmpd="sng">
                                <a:solidFill>
                                  <a:srgbClr val="000000"/>
                                </a:solidFill>
                                <a:prstDash val="dash"/>
                                <a:headEnd type="none" w="med" len="med"/>
                                <a:tailEnd type="arrow" w="med" len="med"/>
                              </a:ln>
                            </wps:spPr>
                            <wps:bodyPr upright="1"/>
                          </wps:wsp>
                        </a:graphicData>
                      </a:graphic>
                    </wp:anchor>
                  </w:drawing>
                </mc:Choice>
                <mc:Fallback>
                  <w:pict>
                    <v:line id="直线 13" o:spid="_x0000_s1026" o:spt="20" style="position:absolute;left:0pt;flip:y;margin-left:350.3pt;margin-top:4.65pt;height:11.7pt;width:23.45pt;z-index:251686912;mso-width-relative:page;mso-height-relative:page;" filled="f" stroked="t" coordsize="21600,21600" o:gfxdata="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Kmdzg1gAAAAgBAAAPAAAAAAAAAAEAIAAAACIAAABkcnMvZG93bnJldi54&#10;bWxQSwECFAAUAAAACACHTuJAgoWQJ/wBAADrAwAADgAAAAAAAAABACAAAAAlAQAAZHJzL2Uyb0Rv&#10;Yy54bWxQSwUGAAAAAAYABgBZAQAAkwUAAAAA&#10;">
                      <v:fill on="f" focussize="0,0"/>
                      <v:stroke color="#000000" joinstyle="round" dashstyle="dash" endarrow="open"/>
                      <v:imagedata o:title=""/>
                      <o:lock v:ext="edit" aspectratio="f"/>
                    </v:line>
                  </w:pict>
                </mc:Fallback>
              </mc:AlternateContent>
            </w:r>
            <w:r>
              <w:rPr>
                <w:rFonts w:hint="eastAsia" w:ascii="Times New Roman" w:hAnsi="Times New Roman" w:cs="Times New Roman"/>
                <w:color w:val="auto"/>
                <w:sz w:val="24"/>
                <w:szCs w:val="24"/>
                <w:highlight w:val="green"/>
              </w:rPr>
              <mc:AlternateContent>
                <mc:Choice Requires="wps">
                  <w:drawing>
                    <wp:anchor distT="0" distB="0" distL="114300" distR="114300" simplePos="0" relativeHeight="251671552" behindDoc="0" locked="0" layoutInCell="1" allowOverlap="1">
                      <wp:simplePos x="0" y="0"/>
                      <wp:positionH relativeFrom="column">
                        <wp:posOffset>633730</wp:posOffset>
                      </wp:positionH>
                      <wp:positionV relativeFrom="paragraph">
                        <wp:posOffset>194310</wp:posOffset>
                      </wp:positionV>
                      <wp:extent cx="751205" cy="424815"/>
                      <wp:effectExtent l="0" t="0" r="0" b="0"/>
                      <wp:wrapNone/>
                      <wp:docPr id="51" name="矩形 119"/>
                      <wp:cNvGraphicFramePr/>
                      <a:graphic xmlns:a="http://schemas.openxmlformats.org/drawingml/2006/main">
                        <a:graphicData uri="http://schemas.microsoft.com/office/word/2010/wordprocessingShape">
                          <wps:wsp>
                            <wps:cNvSpPr/>
                            <wps:spPr>
                              <a:xfrm>
                                <a:off x="0" y="0"/>
                                <a:ext cx="751205" cy="424815"/>
                              </a:xfrm>
                              <a:prstGeom prst="rect">
                                <a:avLst/>
                              </a:prstGeom>
                              <a:noFill/>
                              <a:ln>
                                <a:noFill/>
                              </a:ln>
                            </wps:spPr>
                            <wps:txbx>
                              <w:txbxContent>
                                <w:p w14:paraId="15E11885">
                                  <w:pPr>
                                    <w:rPr>
                                      <w:rFonts w:hint="default"/>
                                      <w:lang w:val="en-US" w:eastAsia="zh-CN"/>
                                    </w:rPr>
                                  </w:pPr>
                                  <w:r>
                                    <w:rPr>
                                      <w:rFonts w:hint="eastAsia" w:cs="Times New Roman"/>
                                      <w:b w:val="0"/>
                                      <w:bCs/>
                                      <w:color w:val="000000"/>
                                      <w:kern w:val="0"/>
                                      <w:sz w:val="21"/>
                                      <w:szCs w:val="21"/>
                                      <w:lang w:val="en-US" w:eastAsia="zh-CN"/>
                                    </w:rPr>
                                    <w:t>3806.6</w:t>
                                  </w:r>
                                </w:p>
                              </w:txbxContent>
                            </wps:txbx>
                            <wps:bodyPr vert="horz" wrap="square" anchor="t" anchorCtr="0" upright="1"/>
                          </wps:wsp>
                        </a:graphicData>
                      </a:graphic>
                    </wp:anchor>
                  </w:drawing>
                </mc:Choice>
                <mc:Fallback>
                  <w:pict>
                    <v:rect id="矩形 119" o:spid="_x0000_s1026" o:spt="1" style="position:absolute;left:0pt;margin-left:49.9pt;margin-top:15.3pt;height:33.45pt;width:59.15pt;z-index:251671552;mso-width-relative:page;mso-height-relative:page;" filled="f" stroked="f" coordsize="21600,21600" o:gfxdata="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ih7u92QAAAAgBAAAPAAAAAAAAAAEAIAAAACIAAABkcnMvZG93bnJl&#10;di54bWxQSwECFAAUAAAACACHTuJAOqcDocMBAAB2AwAADgAAAAAAAAABACAAAAAoAQAAZHJzL2Uy&#10;b0RvYy54bWxQSwUGAAAAAAYABgBZAQAAXQUAAAAA&#10;">
                      <v:fill on="f" focussize="0,0"/>
                      <v:stroke on="f"/>
                      <v:imagedata o:title=""/>
                      <o:lock v:ext="edit" aspectratio="f"/>
                      <v:textbox>
                        <w:txbxContent>
                          <w:p w14:paraId="15E11885">
                            <w:pPr>
                              <w:rPr>
                                <w:rFonts w:hint="default"/>
                                <w:lang w:val="en-US" w:eastAsia="zh-CN"/>
                              </w:rPr>
                            </w:pPr>
                            <w:r>
                              <w:rPr>
                                <w:rFonts w:hint="eastAsia" w:cs="Times New Roman"/>
                                <w:b w:val="0"/>
                                <w:bCs/>
                                <w:color w:val="000000"/>
                                <w:kern w:val="0"/>
                                <w:sz w:val="21"/>
                                <w:szCs w:val="21"/>
                                <w:lang w:val="en-US" w:eastAsia="zh-CN"/>
                              </w:rPr>
                              <w:t>3806.6</w:t>
                            </w:r>
                          </w:p>
                        </w:txbxContent>
                      </v:textbox>
                    </v:rect>
                  </w:pict>
                </mc:Fallback>
              </mc:AlternateContent>
            </w:r>
            <w:r>
              <w:rPr>
                <w:rFonts w:hint="eastAsia" w:ascii="Times New Roman" w:hAnsi="Times New Roman" w:cs="Times New Roman"/>
                <w:color w:val="auto"/>
                <w:sz w:val="24"/>
                <w:szCs w:val="24"/>
                <w:highlight w:val="green"/>
              </w:rPr>
              <mc:AlternateContent>
                <mc:Choice Requires="wps">
                  <w:drawing>
                    <wp:anchor distT="0" distB="0" distL="114300" distR="114300" simplePos="0" relativeHeight="251670528" behindDoc="0" locked="0" layoutInCell="1" allowOverlap="1">
                      <wp:simplePos x="0" y="0"/>
                      <wp:positionH relativeFrom="column">
                        <wp:posOffset>2238375</wp:posOffset>
                      </wp:positionH>
                      <wp:positionV relativeFrom="paragraph">
                        <wp:posOffset>160655</wp:posOffset>
                      </wp:positionV>
                      <wp:extent cx="946150" cy="386715"/>
                      <wp:effectExtent l="0" t="0" r="0" b="0"/>
                      <wp:wrapNone/>
                      <wp:docPr id="50" name="矩形 117"/>
                      <wp:cNvGraphicFramePr/>
                      <a:graphic xmlns:a="http://schemas.openxmlformats.org/drawingml/2006/main">
                        <a:graphicData uri="http://schemas.microsoft.com/office/word/2010/wordprocessingShape">
                          <wps:wsp>
                            <wps:cNvSpPr/>
                            <wps:spPr>
                              <a:xfrm>
                                <a:off x="0" y="0"/>
                                <a:ext cx="946150" cy="386715"/>
                              </a:xfrm>
                              <a:prstGeom prst="rect">
                                <a:avLst/>
                              </a:prstGeom>
                              <a:noFill/>
                              <a:ln>
                                <a:noFill/>
                              </a:ln>
                            </wps:spPr>
                            <wps:txbx>
                              <w:txbxContent>
                                <w:p w14:paraId="52DE351E">
                                  <w:pPr>
                                    <w:rPr>
                                      <w:rFonts w:hint="default" w:eastAsia="宋体"/>
                                      <w:lang w:val="en-US" w:eastAsia="zh-CN"/>
                                    </w:rPr>
                                  </w:pPr>
                                  <w:r>
                                    <w:rPr>
                                      <w:rFonts w:hint="eastAsia"/>
                                      <w:lang w:val="en-US" w:eastAsia="zh-CN"/>
                                    </w:rPr>
                                    <w:t>3536.7</w:t>
                                  </w:r>
                                </w:p>
                              </w:txbxContent>
                            </wps:txbx>
                            <wps:bodyPr vert="horz" wrap="square" anchor="t" anchorCtr="0" upright="1"/>
                          </wps:wsp>
                        </a:graphicData>
                      </a:graphic>
                    </wp:anchor>
                  </w:drawing>
                </mc:Choice>
                <mc:Fallback>
                  <w:pict>
                    <v:rect id="矩形 117" o:spid="_x0000_s1026" o:spt="1" style="position:absolute;left:0pt;margin-left:176.25pt;margin-top:12.65pt;height:30.45pt;width:74.5pt;z-index:251670528;mso-width-relative:page;mso-height-relative:page;" filled="f" stroked="f" coordsize="21600,21600" o:gfxdata="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spumT2gAAAAkBAAAPAAAAAAAAAAEAIAAAACIAAABkcnMvZG93bnJl&#10;di54bWxQSwECFAAUAAAACACHTuJAE8mdqsIBAAB2AwAADgAAAAAAAAABACAAAAApAQAAZHJzL2Uy&#10;b0RvYy54bWxQSwUGAAAAAAYABgBZAQAAXQUAAAAA&#10;">
                      <v:fill on="f" focussize="0,0"/>
                      <v:stroke on="f"/>
                      <v:imagedata o:title=""/>
                      <o:lock v:ext="edit" aspectratio="f"/>
                      <v:textbox>
                        <w:txbxContent>
                          <w:p w14:paraId="52DE351E">
                            <w:pPr>
                              <w:rPr>
                                <w:rFonts w:hint="default" w:eastAsia="宋体"/>
                                <w:lang w:val="en-US" w:eastAsia="zh-CN"/>
                              </w:rPr>
                            </w:pPr>
                            <w:r>
                              <w:rPr>
                                <w:rFonts w:hint="eastAsia"/>
                                <w:lang w:val="en-US" w:eastAsia="zh-CN"/>
                              </w:rPr>
                              <w:t>3536.7</w:t>
                            </w:r>
                          </w:p>
                        </w:txbxContent>
                      </v:textbox>
                    </v:rect>
                  </w:pict>
                </mc:Fallback>
              </mc:AlternateContent>
            </w:r>
            <w:r>
              <w:rPr>
                <w:rFonts w:hint="eastAsia" w:ascii="Times New Roman" w:hAnsi="Times New Roman"/>
                <w:color w:val="auto"/>
                <w:sz w:val="24"/>
                <w:szCs w:val="24"/>
                <w:highlight w:val="green"/>
              </w:rPr>
              <mc:AlternateContent>
                <mc:Choice Requires="wps">
                  <w:drawing>
                    <wp:anchor distT="0" distB="0" distL="114300" distR="114300" simplePos="0" relativeHeight="251688960" behindDoc="0" locked="0" layoutInCell="1" allowOverlap="1">
                      <wp:simplePos x="0" y="0"/>
                      <wp:positionH relativeFrom="column">
                        <wp:posOffset>3562350</wp:posOffset>
                      </wp:positionH>
                      <wp:positionV relativeFrom="paragraph">
                        <wp:posOffset>118110</wp:posOffset>
                      </wp:positionV>
                      <wp:extent cx="773430" cy="310515"/>
                      <wp:effectExtent l="0" t="0" r="0" b="0"/>
                      <wp:wrapNone/>
                      <wp:docPr id="68" name="矩形 17"/>
                      <wp:cNvGraphicFramePr/>
                      <a:graphic xmlns:a="http://schemas.openxmlformats.org/drawingml/2006/main">
                        <a:graphicData uri="http://schemas.microsoft.com/office/word/2010/wordprocessingShape">
                          <wps:wsp>
                            <wps:cNvSpPr/>
                            <wps:spPr>
                              <a:xfrm>
                                <a:off x="0" y="0"/>
                                <a:ext cx="773430" cy="310515"/>
                              </a:xfrm>
                              <a:prstGeom prst="rect">
                                <a:avLst/>
                              </a:prstGeom>
                              <a:noFill/>
                              <a:ln>
                                <a:noFill/>
                              </a:ln>
                            </wps:spPr>
                            <wps:txbx>
                              <w:txbxContent>
                                <w:p w14:paraId="7EA94411">
                                  <w:pPr>
                                    <w:rPr>
                                      <w:rFonts w:hint="default"/>
                                      <w:sz w:val="21"/>
                                      <w:szCs w:val="21"/>
                                      <w:lang w:val="en-US" w:eastAsia="zh-CN"/>
                                    </w:rPr>
                                  </w:pPr>
                                  <w:r>
                                    <w:rPr>
                                      <w:rFonts w:hint="eastAsia" w:cs="Times New Roman"/>
                                      <w:color w:val="auto"/>
                                      <w:sz w:val="21"/>
                                      <w:szCs w:val="21"/>
                                      <w:highlight w:val="none"/>
                                      <w:lang w:val="en-US" w:eastAsia="zh-CN"/>
                                    </w:rPr>
                                    <w:t>284553.4</w:t>
                                  </w:r>
                                </w:p>
                              </w:txbxContent>
                            </wps:txbx>
                            <wps:bodyPr wrap="square" upright="1"/>
                          </wps:wsp>
                        </a:graphicData>
                      </a:graphic>
                    </wp:anchor>
                  </w:drawing>
                </mc:Choice>
                <mc:Fallback>
                  <w:pict>
                    <v:rect id="矩形 17" o:spid="_x0000_s1026" o:spt="1" style="position:absolute;left:0pt;margin-left:280.5pt;margin-top:9.3pt;height:24.45pt;width:60.9pt;z-index:251688960;mso-width-relative:page;mso-height-relative:page;" filled="f" stroked="f" coordsize="21600,21600" o:gfxdata="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sDSAJ&#10;2QAAAAkBAAAPAAAAAAAAAAEAIAAAACIAAABkcnMvZG93bnJldi54bWxQSwECFAAUAAAACACHTuJA&#10;f37U2q4BAABQAwAADgAAAAAAAAABACAAAAAoAQAAZHJzL2Uyb0RvYy54bWxQSwUGAAAAAAYABgBZ&#10;AQAASAUAAAAA&#10;">
                      <v:fill on="f" focussize="0,0"/>
                      <v:stroke on="f"/>
                      <v:imagedata o:title=""/>
                      <o:lock v:ext="edit" aspectratio="f"/>
                      <v:textbox>
                        <w:txbxContent>
                          <w:p w14:paraId="7EA94411">
                            <w:pPr>
                              <w:rPr>
                                <w:rFonts w:hint="default"/>
                                <w:sz w:val="21"/>
                                <w:szCs w:val="21"/>
                                <w:lang w:val="en-US" w:eastAsia="zh-CN"/>
                              </w:rPr>
                            </w:pPr>
                            <w:r>
                              <w:rPr>
                                <w:rFonts w:hint="eastAsia" w:cs="Times New Roman"/>
                                <w:color w:val="auto"/>
                                <w:sz w:val="21"/>
                                <w:szCs w:val="21"/>
                                <w:highlight w:val="none"/>
                                <w:lang w:val="en-US" w:eastAsia="zh-CN"/>
                              </w:rPr>
                              <w:t>284553.4</w:t>
                            </w:r>
                          </w:p>
                        </w:txbxContent>
                      </v:textbox>
                    </v:rect>
                  </w:pict>
                </mc:Fallback>
              </mc:AlternateContent>
            </w:r>
            <w:r>
              <w:rPr>
                <w:color w:val="auto"/>
                <w:sz w:val="24"/>
                <w:szCs w:val="24"/>
                <w:highlight w:val="green"/>
              </w:rPr>
              <mc:AlternateContent>
                <mc:Choice Requires="wps">
                  <w:drawing>
                    <wp:anchor distT="0" distB="0" distL="114300" distR="114300" simplePos="0" relativeHeight="251664384" behindDoc="0" locked="0" layoutInCell="1" allowOverlap="1">
                      <wp:simplePos x="0" y="0"/>
                      <wp:positionH relativeFrom="column">
                        <wp:posOffset>1320800</wp:posOffset>
                      </wp:positionH>
                      <wp:positionV relativeFrom="paragraph">
                        <wp:posOffset>259080</wp:posOffset>
                      </wp:positionV>
                      <wp:extent cx="949325" cy="339725"/>
                      <wp:effectExtent l="5080" t="4445" r="17145" b="17780"/>
                      <wp:wrapNone/>
                      <wp:docPr id="44" name="矩形 102"/>
                      <wp:cNvGraphicFramePr/>
                      <a:graphic xmlns:a="http://schemas.openxmlformats.org/drawingml/2006/main">
                        <a:graphicData uri="http://schemas.microsoft.com/office/word/2010/wordprocessingShape">
                          <wps:wsp>
                            <wps:cNvSpPr/>
                            <wps:spPr>
                              <a:xfrm>
                                <a:off x="0" y="0"/>
                                <a:ext cx="949325" cy="339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1D99F6">
                                  <w:r>
                                    <w:t>软化水装置</w:t>
                                  </w:r>
                                </w:p>
                              </w:txbxContent>
                            </wps:txbx>
                            <wps:bodyPr vert="horz" wrap="square" anchor="t" anchorCtr="0" upright="1"/>
                          </wps:wsp>
                        </a:graphicData>
                      </a:graphic>
                    </wp:anchor>
                  </w:drawing>
                </mc:Choice>
                <mc:Fallback>
                  <w:pict>
                    <v:rect id="矩形 102" o:spid="_x0000_s1026" o:spt="1" style="position:absolute;left:0pt;margin-left:104pt;margin-top:20.4pt;height:26.75pt;width:74.75pt;z-index:251664384;mso-width-relative:page;mso-height-relative:page;" fillcolor="#FFFFFF" filled="t" stroked="t" coordsize="21600,21600" o:gfxdata="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6Ii/t9gA&#10;AAAJAQAADwAAAAAAAAABACAAAAAiAAAAZHJzL2Rvd25yZXYueG1sUEsBAhQAFAAAAAgAh07iQF78&#10;7bofAgAAXgQAAA4AAAAAAAAAAQAgAAAAJwEAAGRycy9lMm9Eb2MueG1sUEsFBgAAAAAGAAYAWQEA&#10;ALgFAAAAAA==&#10;">
                      <v:fill on="t" focussize="0,0"/>
                      <v:stroke color="#000000" joinstyle="miter"/>
                      <v:imagedata o:title=""/>
                      <o:lock v:ext="edit" aspectratio="f"/>
                      <v:textbox>
                        <w:txbxContent>
                          <w:p w14:paraId="451D99F6">
                            <w:r>
                              <w:t>软化水装置</w:t>
                            </w:r>
                          </w:p>
                        </w:txbxContent>
                      </v:textbox>
                    </v:rect>
                  </w:pict>
                </mc:Fallback>
              </mc:AlternateContent>
            </w:r>
            <w:r>
              <w:rPr>
                <w:color w:val="auto"/>
                <w:sz w:val="24"/>
                <w:szCs w:val="24"/>
                <w:highlight w:val="green"/>
              </w:rPr>
              <mc:AlternateContent>
                <mc:Choice Requires="wps">
                  <w:drawing>
                    <wp:anchor distT="0" distB="0" distL="114300" distR="114300" simplePos="0" relativeHeight="251665408" behindDoc="0" locked="0" layoutInCell="1" allowOverlap="1">
                      <wp:simplePos x="0" y="0"/>
                      <wp:positionH relativeFrom="column">
                        <wp:posOffset>2803525</wp:posOffset>
                      </wp:positionH>
                      <wp:positionV relativeFrom="paragraph">
                        <wp:posOffset>243205</wp:posOffset>
                      </wp:positionV>
                      <wp:extent cx="741680" cy="292100"/>
                      <wp:effectExtent l="4445" t="4445" r="15875" b="8255"/>
                      <wp:wrapNone/>
                      <wp:docPr id="45" name="矩形 66"/>
                      <wp:cNvGraphicFramePr/>
                      <a:graphic xmlns:a="http://schemas.openxmlformats.org/drawingml/2006/main">
                        <a:graphicData uri="http://schemas.microsoft.com/office/word/2010/wordprocessingShape">
                          <wps:wsp>
                            <wps:cNvSpPr/>
                            <wps:spPr>
                              <a:xfrm>
                                <a:off x="0" y="0"/>
                                <a:ext cx="741680" cy="2921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406201">
                                  <w:pPr>
                                    <w:rPr>
                                      <w:rFonts w:hint="eastAsia" w:eastAsia="宋体"/>
                                      <w:lang w:eastAsia="zh-CN"/>
                                    </w:rPr>
                                  </w:pPr>
                                  <w:r>
                                    <w:rPr>
                                      <w:rFonts w:hint="eastAsia"/>
                                    </w:rPr>
                                    <w:t>锅炉</w:t>
                                  </w:r>
                                  <w:r>
                                    <w:rPr>
                                      <w:rFonts w:hint="eastAsia"/>
                                      <w:lang w:eastAsia="zh-CN"/>
                                    </w:rPr>
                                    <w:t>用水</w:t>
                                  </w:r>
                                </w:p>
                              </w:txbxContent>
                            </wps:txbx>
                            <wps:bodyPr vert="horz" wrap="square" anchor="t" anchorCtr="0" upright="1"/>
                          </wps:wsp>
                        </a:graphicData>
                      </a:graphic>
                    </wp:anchor>
                  </w:drawing>
                </mc:Choice>
                <mc:Fallback>
                  <w:pict>
                    <v:rect id="矩形 66" o:spid="_x0000_s1026" o:spt="1" style="position:absolute;left:0pt;margin-left:220.75pt;margin-top:19.15pt;height:23pt;width:58.4pt;z-index:251665408;mso-width-relative:page;mso-height-relative:page;" fillcolor="#FFFFFF" filled="t" stroked="t" coordsize="21600,21600" o:gfxdata="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to&#10;rn/YAAAACQEAAA8AAAAAAAAAAQAgAAAAIgAAAGRycy9kb3ducmV2LnhtbFBLAQIUABQAAAAIAIdO&#10;4kD/sy8xIwIAAF0EAAAOAAAAAAAAAAEAIAAAACcBAABkcnMvZTJvRG9jLnhtbFBLBQYAAAAABgAG&#10;AFkBAAC8BQAAAAA=&#10;">
                      <v:fill on="t" focussize="0,0"/>
                      <v:stroke color="#000000" joinstyle="miter"/>
                      <v:imagedata o:title=""/>
                      <o:lock v:ext="edit" aspectratio="f"/>
                      <v:textbox>
                        <w:txbxContent>
                          <w:p w14:paraId="06406201">
                            <w:pPr>
                              <w:rPr>
                                <w:rFonts w:hint="eastAsia" w:eastAsia="宋体"/>
                                <w:lang w:eastAsia="zh-CN"/>
                              </w:rPr>
                            </w:pPr>
                            <w:r>
                              <w:rPr>
                                <w:rFonts w:hint="eastAsia"/>
                              </w:rPr>
                              <w:t>锅炉</w:t>
                            </w:r>
                            <w:r>
                              <w:rPr>
                                <w:rFonts w:hint="eastAsia"/>
                                <w:lang w:eastAsia="zh-CN"/>
                              </w:rPr>
                              <w:t>用水</w:t>
                            </w:r>
                          </w:p>
                        </w:txbxContent>
                      </v:textbox>
                    </v:rect>
                  </w:pict>
                </mc:Fallback>
              </mc:AlternateContent>
            </w:r>
            <w:r>
              <w:rPr>
                <w:color w:val="auto"/>
                <w:sz w:val="24"/>
                <w:szCs w:val="24"/>
                <w:highlight w:val="green"/>
              </w:rPr>
              <mc:AlternateContent>
                <mc:Choice Requires="wps">
                  <w:drawing>
                    <wp:anchor distT="0" distB="0" distL="114300" distR="114300" simplePos="0" relativeHeight="251682816" behindDoc="0" locked="0" layoutInCell="1" allowOverlap="1">
                      <wp:simplePos x="0" y="0"/>
                      <wp:positionH relativeFrom="column">
                        <wp:posOffset>4314190</wp:posOffset>
                      </wp:positionH>
                      <wp:positionV relativeFrom="paragraph">
                        <wp:posOffset>226060</wp:posOffset>
                      </wp:positionV>
                      <wp:extent cx="837565" cy="292100"/>
                      <wp:effectExtent l="4445" t="4445" r="15240" b="8255"/>
                      <wp:wrapNone/>
                      <wp:docPr id="62" name="矩形 4"/>
                      <wp:cNvGraphicFramePr/>
                      <a:graphic xmlns:a="http://schemas.openxmlformats.org/drawingml/2006/main">
                        <a:graphicData uri="http://schemas.microsoft.com/office/word/2010/wordprocessingShape">
                          <wps:wsp>
                            <wps:cNvSpPr/>
                            <wps:spPr>
                              <a:xfrm>
                                <a:off x="0" y="0"/>
                                <a:ext cx="837565" cy="2921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B5E4E3">
                                  <w:pPr>
                                    <w:jc w:val="center"/>
                                    <w:rPr>
                                      <w:rFonts w:hint="default" w:eastAsia="宋体"/>
                                      <w:lang w:val="en-US" w:eastAsia="zh-CN"/>
                                    </w:rPr>
                                  </w:pPr>
                                  <w:r>
                                    <w:rPr>
                                      <w:rFonts w:hint="eastAsia"/>
                                      <w:lang w:val="en-US" w:eastAsia="zh-CN"/>
                                    </w:rPr>
                                    <w:t>居民供热</w:t>
                                  </w:r>
                                </w:p>
                              </w:txbxContent>
                            </wps:txbx>
                            <wps:bodyPr vert="horz" wrap="square" anchor="t" anchorCtr="0" upright="1"/>
                          </wps:wsp>
                        </a:graphicData>
                      </a:graphic>
                    </wp:anchor>
                  </w:drawing>
                </mc:Choice>
                <mc:Fallback>
                  <w:pict>
                    <v:rect id="矩形 4" o:spid="_x0000_s1026" o:spt="1" style="position:absolute;left:0pt;margin-left:339.7pt;margin-top:17.8pt;height:23pt;width:65.95pt;z-index:251682816;mso-width-relative:page;mso-height-relative:page;" fillcolor="#FFFFFF" filled="t" stroked="t" coordsize="21600,21600" o:gfxdata="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YAM&#10;P9gAAAAJAQAADwAAAAAAAAABACAAAAAiAAAAZHJzL2Rvd25yZXYueG1sUEsBAhQAFAAAAAgAh07i&#10;QFmNoHQiAgAAXAQAAA4AAAAAAAAAAQAgAAAAJwEAAGRycy9lMm9Eb2MueG1sUEsFBgAAAAAGAAYA&#10;WQEAALsFAAAAAA==&#10;">
                      <v:fill on="t" focussize="0,0"/>
                      <v:stroke color="#000000" joinstyle="miter"/>
                      <v:imagedata o:title=""/>
                      <o:lock v:ext="edit" aspectratio="f"/>
                      <v:textbox>
                        <w:txbxContent>
                          <w:p w14:paraId="5AB5E4E3">
                            <w:pPr>
                              <w:jc w:val="center"/>
                              <w:rPr>
                                <w:rFonts w:hint="default" w:eastAsia="宋体"/>
                                <w:lang w:val="en-US" w:eastAsia="zh-CN"/>
                              </w:rPr>
                            </w:pPr>
                            <w:r>
                              <w:rPr>
                                <w:rFonts w:hint="eastAsia"/>
                                <w:lang w:val="en-US" w:eastAsia="zh-CN"/>
                              </w:rPr>
                              <w:t>居民供热</w:t>
                            </w:r>
                          </w:p>
                        </w:txbxContent>
                      </v:textbox>
                    </v:rect>
                  </w:pict>
                </mc:Fallback>
              </mc:AlternateContent>
            </w:r>
            <w:r>
              <w:rPr>
                <w:color w:val="auto"/>
                <w:sz w:val="24"/>
                <w:szCs w:val="24"/>
                <w:highlight w:val="green"/>
              </w:rPr>
              <mc:AlternateContent>
                <mc:Choice Requires="wps">
                  <w:drawing>
                    <wp:anchor distT="0" distB="0" distL="114300" distR="114300" simplePos="0" relativeHeight="251663360" behindDoc="0" locked="0" layoutInCell="1" allowOverlap="1">
                      <wp:simplePos x="0" y="0"/>
                      <wp:positionH relativeFrom="column">
                        <wp:posOffset>185420</wp:posOffset>
                      </wp:positionH>
                      <wp:positionV relativeFrom="paragraph">
                        <wp:posOffset>43180</wp:posOffset>
                      </wp:positionV>
                      <wp:extent cx="361950" cy="633730"/>
                      <wp:effectExtent l="4445" t="5080" r="14605" b="8890"/>
                      <wp:wrapNone/>
                      <wp:docPr id="43" name="矩形 98"/>
                      <wp:cNvGraphicFramePr/>
                      <a:graphic xmlns:a="http://schemas.openxmlformats.org/drawingml/2006/main">
                        <a:graphicData uri="http://schemas.microsoft.com/office/word/2010/wordprocessingShape">
                          <wps:wsp>
                            <wps:cNvSpPr/>
                            <wps:spPr>
                              <a:xfrm>
                                <a:off x="0" y="0"/>
                                <a:ext cx="361950" cy="633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CF8A09">
                                  <w:r>
                                    <w:t>新</w:t>
                                  </w:r>
                                </w:p>
                                <w:p w14:paraId="586DB800">
                                  <w:r>
                                    <w:t>鲜</w:t>
                                  </w:r>
                                </w:p>
                                <w:p w14:paraId="6EFBBB94">
                                  <w:r>
                                    <w:t>水</w:t>
                                  </w:r>
                                </w:p>
                              </w:txbxContent>
                            </wps:txbx>
                            <wps:bodyPr vert="horz" wrap="square" anchor="t" anchorCtr="0" upright="1"/>
                          </wps:wsp>
                        </a:graphicData>
                      </a:graphic>
                    </wp:anchor>
                  </w:drawing>
                </mc:Choice>
                <mc:Fallback>
                  <w:pict>
                    <v:rect id="矩形 98" o:spid="_x0000_s1026" o:spt="1" style="position:absolute;left:0pt;margin-left:14.6pt;margin-top:3.4pt;height:49.9pt;width:28.5pt;z-index:251663360;mso-width-relative:page;mso-height-relative:page;" fillcolor="#FFFFFF" filled="t" stroked="t" coordsize="21600,21600" o:gfxdata="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RwwZDU&#10;AAAABwEAAA8AAAAAAAAAAQAgAAAAIgAAAGRycy9kb3ducmV2LnhtbFBLAQIUABQAAAAIAIdO4kAP&#10;4gsjJAIAAF0EAAAOAAAAAAAAAAEAIAAAACMBAABkcnMvZTJvRG9jLnhtbFBLBQYAAAAABgAGAFkB&#10;AAC5BQAAAAA=&#10;">
                      <v:fill on="t" focussize="0,0"/>
                      <v:stroke color="#000000" joinstyle="miter"/>
                      <v:imagedata o:title=""/>
                      <o:lock v:ext="edit" aspectratio="f"/>
                      <v:textbox>
                        <w:txbxContent>
                          <w:p w14:paraId="13CF8A09">
                            <w:r>
                              <w:t>新</w:t>
                            </w:r>
                          </w:p>
                          <w:p w14:paraId="586DB800">
                            <w:r>
                              <w:t>鲜</w:t>
                            </w:r>
                          </w:p>
                          <w:p w14:paraId="6EFBBB94">
                            <w:r>
                              <w:t>水</w:t>
                            </w:r>
                          </w:p>
                        </w:txbxContent>
                      </v:textbox>
                    </v:rect>
                  </w:pict>
                </mc:Fallback>
              </mc:AlternateContent>
            </w:r>
            <w:r>
              <w:rPr>
                <w:rFonts w:hint="eastAsia" w:ascii="Times New Roman" w:hAnsi="Times New Roman" w:cs="Times New Roman"/>
                <w:color w:val="auto"/>
                <w:sz w:val="24"/>
                <w:szCs w:val="24"/>
                <w:highlight w:val="green"/>
              </w:rPr>
              <mc:AlternateContent>
                <mc:Choice Requires="wps">
                  <w:drawing>
                    <wp:anchor distT="0" distB="0" distL="114300" distR="114300" simplePos="0" relativeHeight="251667456" behindDoc="0" locked="0" layoutInCell="1" allowOverlap="1">
                      <wp:simplePos x="0" y="0"/>
                      <wp:positionH relativeFrom="column">
                        <wp:posOffset>2275205</wp:posOffset>
                      </wp:positionH>
                      <wp:positionV relativeFrom="paragraph">
                        <wp:posOffset>403225</wp:posOffset>
                      </wp:positionV>
                      <wp:extent cx="521970" cy="5080"/>
                      <wp:effectExtent l="0" t="33655" r="11430" b="37465"/>
                      <wp:wrapNone/>
                      <wp:docPr id="47" name="自选图形 103"/>
                      <wp:cNvGraphicFramePr/>
                      <a:graphic xmlns:a="http://schemas.openxmlformats.org/drawingml/2006/main">
                        <a:graphicData uri="http://schemas.microsoft.com/office/word/2010/wordprocessingShape">
                          <wps:wsp>
                            <wps:cNvCnPr>
                              <a:stCxn id="43" idx="3"/>
                            </wps:cNvCnPr>
                            <wps:spPr>
                              <a:xfrm>
                                <a:off x="0" y="0"/>
                                <a:ext cx="521970" cy="50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03" o:spid="_x0000_s1026" o:spt="32" type="#_x0000_t32" style="position:absolute;left:0pt;margin-left:179.15pt;margin-top:31.75pt;height:0.4pt;width:41.1pt;z-index:251667456;mso-width-relative:page;mso-height-relative:page;" filled="f" stroked="t" coordsize="21600,21600" o:gfxdata="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Twe6LZAAAACQEAAA8AAAAA&#10;AAAAAQAgAAAAIgAAAGRycy9kb3ducmV2LnhtbFBLAQIUABQAAAAIAIdO4kC+7FZfEwIAABMEAAAO&#10;AAAAAAAAAAEAIAAAACgBAABkcnMvZTJvRG9jLnhtbFBLBQYAAAAABgAGAFkBAACtBQAAAAA=&#10;">
                      <v:fill on="f" focussize="0,0"/>
                      <v:stroke color="#000000" joinstyle="round" endarrow="block"/>
                      <v:imagedata o:title=""/>
                      <o:lock v:ext="edit" aspectratio="f"/>
                    </v:shape>
                  </w:pict>
                </mc:Fallback>
              </mc:AlternateContent>
            </w:r>
          </w:p>
          <w:p w14:paraId="4C69433D">
            <w:pPr>
              <w:pStyle w:val="73"/>
              <w:rPr>
                <w:rFonts w:hint="eastAsia" w:ascii="Times New Roman" w:hAnsi="Times New Roman" w:cs="Times New Roman"/>
                <w:color w:val="auto"/>
                <w:sz w:val="24"/>
                <w:szCs w:val="24"/>
                <w:highlight w:val="green"/>
              </w:rPr>
            </w:pPr>
            <w:r>
              <w:rPr>
                <w:color w:val="auto"/>
                <w:sz w:val="24"/>
                <w:highlight w:val="green"/>
              </w:rPr>
              <mc:AlternateContent>
                <mc:Choice Requires="wps">
                  <w:drawing>
                    <wp:anchor distT="0" distB="0" distL="114300" distR="114300" simplePos="0" relativeHeight="251681792" behindDoc="0" locked="0" layoutInCell="1" allowOverlap="1">
                      <wp:simplePos x="0" y="0"/>
                      <wp:positionH relativeFrom="column">
                        <wp:posOffset>4940300</wp:posOffset>
                      </wp:positionH>
                      <wp:positionV relativeFrom="paragraph">
                        <wp:posOffset>107950</wp:posOffset>
                      </wp:positionV>
                      <wp:extent cx="475615" cy="635"/>
                      <wp:effectExtent l="0" t="0" r="0" b="0"/>
                      <wp:wrapNone/>
                      <wp:docPr id="61" name="直线 3"/>
                      <wp:cNvGraphicFramePr/>
                      <a:graphic xmlns:a="http://schemas.openxmlformats.org/drawingml/2006/main">
                        <a:graphicData uri="http://schemas.microsoft.com/office/word/2010/wordprocessingShape">
                          <wps:wsp>
                            <wps:cNvCnPr/>
                            <wps:spPr>
                              <a:xfrm flipV="1">
                                <a:off x="0" y="0"/>
                                <a:ext cx="47561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flip:y;margin-left:389pt;margin-top:8.5pt;height:0.05pt;width:37.45pt;z-index:251681792;mso-width-relative:page;mso-height-relative:page;" filled="f" stroked="t" coordsize="21600,21600" o:gfxdata="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wSKgWNcAAAAJAQAADwAAAAAAAAABACAAAAAiAAAAZHJzL2Rvd25yZXYueG1sUEsBAhQAFAAA&#10;AAgAh07iQO6VueDwAQAA5wMAAA4AAAAAAAAAAQAgAAAAJgEAAGRycy9lMm9Eb2MueG1sUEsFBgAA&#10;AAAGAAYAWQEAAIgFAAAAAA==&#10;">
                      <v:fill on="f" focussize="0,0"/>
                      <v:stroke color="#000000" joinstyle="round"/>
                      <v:imagedata o:title=""/>
                      <o:lock v:ext="edit" aspectratio="f"/>
                    </v:line>
                  </w:pict>
                </mc:Fallback>
              </mc:AlternateContent>
            </w:r>
            <w:r>
              <w:rPr>
                <w:color w:val="auto"/>
                <w:sz w:val="24"/>
                <w:highlight w:val="green"/>
              </w:rPr>
              <mc:AlternateContent>
                <mc:Choice Requires="wps">
                  <w:drawing>
                    <wp:anchor distT="0" distB="0" distL="114300" distR="114300" simplePos="0" relativeHeight="251683840" behindDoc="0" locked="0" layoutInCell="1" allowOverlap="1">
                      <wp:simplePos x="0" y="0"/>
                      <wp:positionH relativeFrom="column">
                        <wp:posOffset>5414010</wp:posOffset>
                      </wp:positionH>
                      <wp:positionV relativeFrom="paragraph">
                        <wp:posOffset>99695</wp:posOffset>
                      </wp:positionV>
                      <wp:extent cx="5715" cy="572135"/>
                      <wp:effectExtent l="4445" t="0" r="8890" b="18415"/>
                      <wp:wrapNone/>
                      <wp:docPr id="63" name="直线 8"/>
                      <wp:cNvGraphicFramePr/>
                      <a:graphic xmlns:a="http://schemas.openxmlformats.org/drawingml/2006/main">
                        <a:graphicData uri="http://schemas.microsoft.com/office/word/2010/wordprocessingShape">
                          <wps:wsp>
                            <wps:cNvCnPr/>
                            <wps:spPr>
                              <a:xfrm flipH="1">
                                <a:off x="0" y="0"/>
                                <a:ext cx="5715" cy="5721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 o:spid="_x0000_s1026" o:spt="20" style="position:absolute;left:0pt;flip:x;margin-left:426.3pt;margin-top:7.85pt;height:45.05pt;width:0.45pt;z-index:251683840;mso-width-relative:page;mso-height-relative:page;" filled="f" stroked="t" coordsize="21600,21600" o:gfxdata="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Ja1Da1wAAAAoBAAAPAAAAAAAAAAEAIAAAACIAAABkcnMvZG93bnJldi54bWxQSwECFAAU&#10;AAAACACHTuJAIfFV6PIBAADoAwAADgAAAAAAAAABACAAAAAmAQAAZHJzL2Uyb0RvYy54bWxQSwUG&#10;AAAAAAYABgBZAQAAigUAAAAA&#10;">
                      <v:fill on="f" focussize="0,0"/>
                      <v:stroke color="#000000" joinstyle="round"/>
                      <v:imagedata o:title=""/>
                      <o:lock v:ext="edit" aspectratio="f"/>
                    </v:line>
                  </w:pict>
                </mc:Fallback>
              </mc:AlternateContent>
            </w:r>
            <w:r>
              <w:rPr>
                <w:rFonts w:hint="eastAsia" w:ascii="Times New Roman" w:hAnsi="Times New Roman" w:cs="Times New Roman"/>
                <w:color w:val="auto"/>
                <w:sz w:val="24"/>
                <w:szCs w:val="24"/>
                <w:highlight w:val="green"/>
              </w:rPr>
              <mc:AlternateContent>
                <mc:Choice Requires="wps">
                  <w:drawing>
                    <wp:anchor distT="0" distB="0" distL="114300" distR="114300" simplePos="0" relativeHeight="251680768" behindDoc="0" locked="0" layoutInCell="1" allowOverlap="1">
                      <wp:simplePos x="0" y="0"/>
                      <wp:positionH relativeFrom="column">
                        <wp:posOffset>3528060</wp:posOffset>
                      </wp:positionH>
                      <wp:positionV relativeFrom="paragraph">
                        <wp:posOffset>116840</wp:posOffset>
                      </wp:positionV>
                      <wp:extent cx="747395" cy="1905"/>
                      <wp:effectExtent l="0" t="36195" r="14605" b="38100"/>
                      <wp:wrapNone/>
                      <wp:docPr id="60" name="自选图形 2"/>
                      <wp:cNvGraphicFramePr/>
                      <a:graphic xmlns:a="http://schemas.openxmlformats.org/drawingml/2006/main">
                        <a:graphicData uri="http://schemas.microsoft.com/office/word/2010/wordprocessingShape">
                          <wps:wsp>
                            <wps:cNvCnPr>
                              <a:stCxn id="43" idx="3"/>
                            </wps:cNvCnPr>
                            <wps:spPr>
                              <a:xfrm>
                                <a:off x="0" y="0"/>
                                <a:ext cx="747395" cy="19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2" o:spid="_x0000_s1026" o:spt="32" type="#_x0000_t32" style="position:absolute;left:0pt;margin-left:277.8pt;margin-top:9.2pt;height:0.15pt;width:58.85pt;z-index:251680768;mso-width-relative:page;mso-height-relative:page;" filled="f" stroked="t" coordsize="21600,21600" o:gfxdata="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DPDfl2gAAAAkBAAAPAAAAAAAA&#10;AAEAIAAAACIAAABkcnMvZG93bnJldi54bWxQSwECFAAUAAAACACHTuJAocArTRACAAARBAAADgAA&#10;AAAAAAABACAAAAApAQAAZHJzL2Uyb0RvYy54bWxQSwUGAAAAAAYABgBZAQAAqwUAAAAA&#10;">
                      <v:fill on="f" focussize="0,0"/>
                      <v:stroke color="#000000" joinstyle="round" endarrow="block"/>
                      <v:imagedata o:title=""/>
                      <o:lock v:ext="edit" aspectratio="f"/>
                    </v:shape>
                  </w:pict>
                </mc:Fallback>
              </mc:AlternateContent>
            </w:r>
          </w:p>
          <w:p w14:paraId="66D351AD">
            <w:pPr>
              <w:pStyle w:val="3"/>
              <w:spacing w:before="0" w:after="100" w:line="416" w:lineRule="auto"/>
              <w:ind w:firstLine="641" w:firstLineChars="266"/>
              <w:jc w:val="center"/>
              <w:rPr>
                <w:rFonts w:hint="eastAsia" w:ascii="Times New Roman" w:hAnsi="Times New Roman"/>
                <w:color w:val="auto"/>
                <w:sz w:val="24"/>
                <w:szCs w:val="24"/>
                <w:highlight w:val="green"/>
              </w:rPr>
            </w:pPr>
            <w:r>
              <w:rPr>
                <w:rFonts w:hint="eastAsia" w:ascii="Times New Roman" w:hAnsi="Times New Roman"/>
                <w:color w:val="auto"/>
                <w:sz w:val="24"/>
                <w:szCs w:val="24"/>
                <w:highlight w:val="green"/>
              </w:rPr>
              <mc:AlternateContent>
                <mc:Choice Requires="wps">
                  <w:drawing>
                    <wp:anchor distT="0" distB="0" distL="114300" distR="114300" simplePos="0" relativeHeight="251672576" behindDoc="0" locked="0" layoutInCell="1" allowOverlap="1">
                      <wp:simplePos x="0" y="0"/>
                      <wp:positionH relativeFrom="column">
                        <wp:posOffset>3876040</wp:posOffset>
                      </wp:positionH>
                      <wp:positionV relativeFrom="paragraph">
                        <wp:posOffset>334645</wp:posOffset>
                      </wp:positionV>
                      <wp:extent cx="1342390" cy="310515"/>
                      <wp:effectExtent l="0" t="0" r="0" b="0"/>
                      <wp:wrapNone/>
                      <wp:docPr id="52" name="矩形 120"/>
                      <wp:cNvGraphicFramePr/>
                      <a:graphic xmlns:a="http://schemas.openxmlformats.org/drawingml/2006/main">
                        <a:graphicData uri="http://schemas.microsoft.com/office/word/2010/wordprocessingShape">
                          <wps:wsp>
                            <wps:cNvSpPr/>
                            <wps:spPr>
                              <a:xfrm>
                                <a:off x="0" y="0"/>
                                <a:ext cx="1342390" cy="310515"/>
                              </a:xfrm>
                              <a:prstGeom prst="rect">
                                <a:avLst/>
                              </a:prstGeom>
                              <a:noFill/>
                              <a:ln>
                                <a:noFill/>
                              </a:ln>
                            </wps:spPr>
                            <wps:txbx>
                              <w:txbxContent>
                                <w:p w14:paraId="2DFD12A2">
                                  <w:pPr>
                                    <w:rPr>
                                      <w:rFonts w:hint="default"/>
                                      <w:lang w:val="en-US" w:eastAsia="zh-CN"/>
                                    </w:rPr>
                                  </w:pPr>
                                  <w:r>
                                    <w:rPr>
                                      <w:rFonts w:hint="eastAsia" w:cs="Times New Roman"/>
                                      <w:b w:val="0"/>
                                      <w:bCs/>
                                      <w:color w:val="000000"/>
                                      <w:kern w:val="0"/>
                                      <w:sz w:val="21"/>
                                      <w:szCs w:val="21"/>
                                      <w:lang w:val="en-US" w:eastAsia="zh-CN"/>
                                    </w:rPr>
                                    <w:t>循环水281736.0</w:t>
                                  </w:r>
                                </w:p>
                              </w:txbxContent>
                            </wps:txbx>
                            <wps:bodyPr vert="horz" wrap="square" anchor="t" anchorCtr="0" upright="1"/>
                          </wps:wsp>
                        </a:graphicData>
                      </a:graphic>
                    </wp:anchor>
                  </w:drawing>
                </mc:Choice>
                <mc:Fallback>
                  <w:pict>
                    <v:rect id="矩形 120" o:spid="_x0000_s1026" o:spt="1" style="position:absolute;left:0pt;margin-left:305.2pt;margin-top:26.35pt;height:24.45pt;width:105.7pt;z-index:251672576;mso-width-relative:page;mso-height-relative:page;" filled="f" stroked="f" coordsize="21600,21600" o:gfxdata="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rpg6XZAAAACgEAAA8AAAAAAAAAAQAgAAAAIgAAAGRycy9kb3ducmV2&#10;LnhtbFBLAQIUABQAAAAIAIdO4kAWaPDOwgEAAHcDAAAOAAAAAAAAAAEAIAAAACgBAABkcnMvZTJv&#10;RG9jLnhtbFBLBQYAAAAABgAGAFkBAABcBQAAAAA=&#10;">
                      <v:fill on="f" focussize="0,0"/>
                      <v:stroke on="f"/>
                      <v:imagedata o:title=""/>
                      <o:lock v:ext="edit" aspectratio="f"/>
                      <v:textbox>
                        <w:txbxContent>
                          <w:p w14:paraId="2DFD12A2">
                            <w:pPr>
                              <w:rPr>
                                <w:rFonts w:hint="default"/>
                                <w:lang w:val="en-US" w:eastAsia="zh-CN"/>
                              </w:rPr>
                            </w:pPr>
                            <w:r>
                              <w:rPr>
                                <w:rFonts w:hint="eastAsia" w:cs="Times New Roman"/>
                                <w:b w:val="0"/>
                                <w:bCs/>
                                <w:color w:val="000000"/>
                                <w:kern w:val="0"/>
                                <w:sz w:val="21"/>
                                <w:szCs w:val="21"/>
                                <w:lang w:val="en-US" w:eastAsia="zh-CN"/>
                              </w:rPr>
                              <w:t>循环水281736.0</w:t>
                            </w:r>
                          </w:p>
                        </w:txbxContent>
                      </v:textbox>
                    </v:rect>
                  </w:pict>
                </mc:Fallback>
              </mc:AlternateContent>
            </w:r>
            <w:r>
              <w:rPr>
                <w:color w:val="auto"/>
                <w:sz w:val="24"/>
                <w:szCs w:val="24"/>
                <w:highlight w:val="green"/>
              </w:rPr>
              <mc:AlternateContent>
                <mc:Choice Requires="wps">
                  <w:drawing>
                    <wp:anchor distT="0" distB="0" distL="114300" distR="114300" simplePos="0" relativeHeight="251689984" behindDoc="0" locked="0" layoutInCell="1" allowOverlap="1">
                      <wp:simplePos x="0" y="0"/>
                      <wp:positionH relativeFrom="column">
                        <wp:posOffset>1784350</wp:posOffset>
                      </wp:positionH>
                      <wp:positionV relativeFrom="paragraph">
                        <wp:posOffset>309880</wp:posOffset>
                      </wp:positionV>
                      <wp:extent cx="649605" cy="310515"/>
                      <wp:effectExtent l="0" t="0" r="0" b="0"/>
                      <wp:wrapNone/>
                      <wp:docPr id="69" name="矩形 213"/>
                      <wp:cNvGraphicFramePr/>
                      <a:graphic xmlns:a="http://schemas.openxmlformats.org/drawingml/2006/main">
                        <a:graphicData uri="http://schemas.microsoft.com/office/word/2010/wordprocessingShape">
                          <wps:wsp>
                            <wps:cNvSpPr/>
                            <wps:spPr>
                              <a:xfrm>
                                <a:off x="0" y="0"/>
                                <a:ext cx="649605" cy="310515"/>
                              </a:xfrm>
                              <a:prstGeom prst="rect">
                                <a:avLst/>
                              </a:prstGeom>
                              <a:noFill/>
                              <a:ln>
                                <a:noFill/>
                              </a:ln>
                            </wps:spPr>
                            <wps:txbx>
                              <w:txbxContent>
                                <w:p w14:paraId="1F6414A0">
                                  <w:pPr>
                                    <w:rPr>
                                      <w:rFonts w:hint="default" w:eastAsia="宋体"/>
                                      <w:lang w:val="en-US" w:eastAsia="zh-CN"/>
                                    </w:rPr>
                                  </w:pPr>
                                  <w:r>
                                    <w:rPr>
                                      <w:rFonts w:hint="eastAsia"/>
                                      <w:lang w:val="en-US" w:eastAsia="zh-CN"/>
                                    </w:rPr>
                                    <w:t>269.9</w:t>
                                  </w:r>
                                </w:p>
                              </w:txbxContent>
                            </wps:txbx>
                            <wps:bodyPr wrap="square" upright="1"/>
                          </wps:wsp>
                        </a:graphicData>
                      </a:graphic>
                    </wp:anchor>
                  </w:drawing>
                </mc:Choice>
                <mc:Fallback>
                  <w:pict>
                    <v:rect id="矩形 213" o:spid="_x0000_s1026" o:spt="1" style="position:absolute;left:0pt;margin-left:140.5pt;margin-top:24.4pt;height:24.45pt;width:51.15pt;z-index:251689984;mso-width-relative:page;mso-height-relative:page;" filled="f" stroked="f" coordsize="21600,21600" o:gfxdata="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10;Eu212gAAAAkBAAAPAAAAAAAAAAEAIAAAACIAAABkcnMvZG93bnJldi54bWxQSwECFAAUAAAACACH&#10;TuJA3QtborABAABRAwAADgAAAAAAAAABACAAAAApAQAAZHJzL2Uyb0RvYy54bWxQSwUGAAAAAAYA&#10;BgBZAQAASwUAAAAA&#10;">
                      <v:fill on="f" focussize="0,0"/>
                      <v:stroke on="f"/>
                      <v:imagedata o:title=""/>
                      <o:lock v:ext="edit" aspectratio="f"/>
                      <v:textbox>
                        <w:txbxContent>
                          <w:p w14:paraId="1F6414A0">
                            <w:pPr>
                              <w:rPr>
                                <w:rFonts w:hint="default" w:eastAsia="宋体"/>
                                <w:lang w:val="en-US" w:eastAsia="zh-CN"/>
                              </w:rPr>
                            </w:pPr>
                            <w:r>
                              <w:rPr>
                                <w:rFonts w:hint="eastAsia"/>
                                <w:lang w:val="en-US" w:eastAsia="zh-CN"/>
                              </w:rPr>
                              <w:t>269.9</w:t>
                            </w:r>
                          </w:p>
                        </w:txbxContent>
                      </v:textbox>
                    </v:rect>
                  </w:pict>
                </mc:Fallback>
              </mc:AlternateContent>
            </w:r>
            <w:r>
              <w:rPr>
                <w:color w:val="auto"/>
                <w:sz w:val="24"/>
                <w:szCs w:val="24"/>
                <w:highlight w:val="green"/>
              </w:rPr>
              <mc:AlternateContent>
                <mc:Choice Requires="wps">
                  <w:drawing>
                    <wp:anchor distT="0" distB="0" distL="114300" distR="114300" simplePos="0" relativeHeight="251673600" behindDoc="0" locked="0" layoutInCell="1" allowOverlap="1">
                      <wp:simplePos x="0" y="0"/>
                      <wp:positionH relativeFrom="column">
                        <wp:posOffset>3126105</wp:posOffset>
                      </wp:positionH>
                      <wp:positionV relativeFrom="paragraph">
                        <wp:posOffset>133350</wp:posOffset>
                      </wp:positionV>
                      <wp:extent cx="4445" cy="413385"/>
                      <wp:effectExtent l="4445" t="0" r="10160" b="5715"/>
                      <wp:wrapNone/>
                      <wp:docPr id="53" name="直线 199"/>
                      <wp:cNvGraphicFramePr/>
                      <a:graphic xmlns:a="http://schemas.openxmlformats.org/drawingml/2006/main">
                        <a:graphicData uri="http://schemas.microsoft.com/office/word/2010/wordprocessingShape">
                          <wps:wsp>
                            <wps:cNvCnPr/>
                            <wps:spPr>
                              <a:xfrm flipH="1">
                                <a:off x="0" y="0"/>
                                <a:ext cx="4445" cy="41338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9" o:spid="_x0000_s1026" o:spt="20" style="position:absolute;left:0pt;flip:x;margin-left:246.15pt;margin-top:10.5pt;height:32.55pt;width:0.35pt;z-index:251673600;mso-width-relative:page;mso-height-relative:page;" filled="f" stroked="t" coordsize="21600,21600" o:gfxdata="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KNRs11wAAAAkBAAAPAAAAAAAAAAEAIAAAACIAAABkcnMvZG93bnJldi54bWxQSwECFAAU&#10;AAAACACHTuJAi/0uZ/IBAADqAwAADgAAAAAAAAABACAAAAAmAQAAZHJzL2Uyb0RvYy54bWxQSwUG&#10;AAAAAAYABgBZAQAAigUAAAAA&#10;">
                      <v:fill on="f" focussize="0,0"/>
                      <v:stroke color="#000000" joinstyle="round"/>
                      <v:imagedata o:title=""/>
                      <o:lock v:ext="edit" aspectratio="f"/>
                    </v:line>
                  </w:pict>
                </mc:Fallback>
              </mc:AlternateContent>
            </w:r>
            <w:r>
              <w:rPr>
                <w:color w:val="auto"/>
                <w:sz w:val="24"/>
                <w:szCs w:val="24"/>
                <w:highlight w:val="green"/>
              </w:rPr>
              <mc:AlternateContent>
                <mc:Choice Requires="wps">
                  <w:drawing>
                    <wp:anchor distT="0" distB="0" distL="114300" distR="114300" simplePos="0" relativeHeight="251677696" behindDoc="0" locked="0" layoutInCell="1" allowOverlap="1">
                      <wp:simplePos x="0" y="0"/>
                      <wp:positionH relativeFrom="column">
                        <wp:posOffset>2543810</wp:posOffset>
                      </wp:positionH>
                      <wp:positionV relativeFrom="paragraph">
                        <wp:posOffset>303530</wp:posOffset>
                      </wp:positionV>
                      <wp:extent cx="649605" cy="310515"/>
                      <wp:effectExtent l="0" t="0" r="0" b="0"/>
                      <wp:wrapNone/>
                      <wp:docPr id="57" name="矩形 10"/>
                      <wp:cNvGraphicFramePr/>
                      <a:graphic xmlns:a="http://schemas.openxmlformats.org/drawingml/2006/main">
                        <a:graphicData uri="http://schemas.microsoft.com/office/word/2010/wordprocessingShape">
                          <wps:wsp>
                            <wps:cNvSpPr/>
                            <wps:spPr>
                              <a:xfrm>
                                <a:off x="0" y="0"/>
                                <a:ext cx="649605" cy="310515"/>
                              </a:xfrm>
                              <a:prstGeom prst="rect">
                                <a:avLst/>
                              </a:prstGeom>
                              <a:noFill/>
                              <a:ln>
                                <a:noFill/>
                              </a:ln>
                            </wps:spPr>
                            <wps:txbx>
                              <w:txbxContent>
                                <w:p w14:paraId="63ED7212">
                                  <w:pPr>
                                    <w:rPr>
                                      <w:rFonts w:hint="default" w:eastAsia="宋体"/>
                                      <w:lang w:val="en-US" w:eastAsia="zh-CN"/>
                                    </w:rPr>
                                  </w:pPr>
                                  <w:r>
                                    <w:rPr>
                                      <w:rFonts w:hint="eastAsia"/>
                                      <w:lang w:val="en-US" w:eastAsia="zh-CN"/>
                                    </w:rPr>
                                    <w:t>719.3</w:t>
                                  </w:r>
                                </w:p>
                              </w:txbxContent>
                            </wps:txbx>
                            <wps:bodyPr vert="horz" wrap="square" anchor="t" anchorCtr="0" upright="1"/>
                          </wps:wsp>
                        </a:graphicData>
                      </a:graphic>
                    </wp:anchor>
                  </w:drawing>
                </mc:Choice>
                <mc:Fallback>
                  <w:pict>
                    <v:rect id="矩形 10" o:spid="_x0000_s1026" o:spt="1" style="position:absolute;left:0pt;margin-left:200.3pt;margin-top:23.9pt;height:24.45pt;width:51.15pt;z-index:251677696;mso-width-relative:page;mso-height-relative:page;" filled="f" stroked="f" coordsize="21600,21600" o:gfxdata="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orALrZAAAACQEAAA8AAAAAAAAAAQAgAAAAIgAAAGRycy9kb3ducmV2&#10;LnhtbFBLAQIUABQAAAAIAIdO4kDvAMF8wgEAAHUDAAAOAAAAAAAAAAEAIAAAACgBAABkcnMvZTJv&#10;RG9jLnhtbFBLBQYAAAAABgAGAFkBAABcBQAAAAA=&#10;">
                      <v:fill on="f" focussize="0,0"/>
                      <v:stroke on="f"/>
                      <v:imagedata o:title=""/>
                      <o:lock v:ext="edit" aspectratio="f"/>
                      <v:textbox>
                        <w:txbxContent>
                          <w:p w14:paraId="63ED7212">
                            <w:pPr>
                              <w:rPr>
                                <w:rFonts w:hint="default" w:eastAsia="宋体"/>
                                <w:lang w:val="en-US" w:eastAsia="zh-CN"/>
                              </w:rPr>
                            </w:pPr>
                            <w:r>
                              <w:rPr>
                                <w:rFonts w:hint="eastAsia"/>
                                <w:lang w:val="en-US" w:eastAsia="zh-CN"/>
                              </w:rPr>
                              <w:t>719.3</w:t>
                            </w:r>
                          </w:p>
                        </w:txbxContent>
                      </v:textbox>
                    </v:rect>
                  </w:pict>
                </mc:Fallback>
              </mc:AlternateContent>
            </w:r>
            <w:r>
              <w:rPr>
                <w:color w:val="auto"/>
                <w:sz w:val="24"/>
                <w:highlight w:val="green"/>
              </w:rPr>
              <mc:AlternateContent>
                <mc:Choice Requires="wps">
                  <w:drawing>
                    <wp:anchor distT="0" distB="0" distL="114300" distR="114300" simplePos="0" relativeHeight="251684864" behindDoc="0" locked="0" layoutInCell="1" allowOverlap="1">
                      <wp:simplePos x="0" y="0"/>
                      <wp:positionH relativeFrom="column">
                        <wp:posOffset>3399790</wp:posOffset>
                      </wp:positionH>
                      <wp:positionV relativeFrom="paragraph">
                        <wp:posOffset>102235</wp:posOffset>
                      </wp:positionV>
                      <wp:extent cx="4445" cy="424180"/>
                      <wp:effectExtent l="45720" t="0" r="64135" b="13970"/>
                      <wp:wrapNone/>
                      <wp:docPr id="64" name="直线 11"/>
                      <wp:cNvGraphicFramePr/>
                      <a:graphic xmlns:a="http://schemas.openxmlformats.org/drawingml/2006/main">
                        <a:graphicData uri="http://schemas.microsoft.com/office/word/2010/wordprocessingShape">
                          <wps:wsp>
                            <wps:cNvCnPr/>
                            <wps:spPr>
                              <a:xfrm flipV="1">
                                <a:off x="0" y="0"/>
                                <a:ext cx="4445" cy="42418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11" o:spid="_x0000_s1026" o:spt="20" style="position:absolute;left:0pt;flip:y;margin-left:267.7pt;margin-top:8.05pt;height:33.4pt;width:0.35pt;z-index:251684864;mso-width-relative:page;mso-height-relative:page;" filled="f" stroked="t" coordsize="21600,21600" o:gfxdata="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UiUYjYAAAACQEAAA8AAAAAAAAAAQAgAAAAIgAAAGRycy9kb3ducmV2Lnht&#10;bFBLAQIUABQAAAAIAIdO4kAlEqOR+QEAAOoDAAAOAAAAAAAAAAEAIAAAACcBAABkcnMvZTJvRG9j&#10;LnhtbFBLBQYAAAAABgAGAFkBAACSBQAAAAA=&#10;">
                      <v:fill on="f" focussize="0,0"/>
                      <v:stroke color="#000000" joinstyle="round" endarrow="open"/>
                      <v:imagedata o:title=""/>
                      <o:lock v:ext="edit" aspectratio="f"/>
                    </v:line>
                  </w:pict>
                </mc:Fallback>
              </mc:AlternateContent>
            </w:r>
            <w:r>
              <w:rPr>
                <w:color w:val="auto"/>
                <w:sz w:val="24"/>
                <w:szCs w:val="24"/>
                <w:highlight w:val="green"/>
              </w:rPr>
              <mc:AlternateContent>
                <mc:Choice Requires="wps">
                  <w:drawing>
                    <wp:anchor distT="0" distB="0" distL="114300" distR="114300" simplePos="0" relativeHeight="251661312" behindDoc="0" locked="0" layoutInCell="1" allowOverlap="1">
                      <wp:simplePos x="0" y="0"/>
                      <wp:positionH relativeFrom="column">
                        <wp:posOffset>1790065</wp:posOffset>
                      </wp:positionH>
                      <wp:positionV relativeFrom="paragraph">
                        <wp:posOffset>180975</wp:posOffset>
                      </wp:positionV>
                      <wp:extent cx="4445" cy="347345"/>
                      <wp:effectExtent l="4445" t="0" r="10160" b="14605"/>
                      <wp:wrapNone/>
                      <wp:docPr id="41" name="直线 5"/>
                      <wp:cNvGraphicFramePr/>
                      <a:graphic xmlns:a="http://schemas.openxmlformats.org/drawingml/2006/main">
                        <a:graphicData uri="http://schemas.microsoft.com/office/word/2010/wordprocessingShape">
                          <wps:wsp>
                            <wps:cNvCnPr/>
                            <wps:spPr>
                              <a:xfrm>
                                <a:off x="0" y="0"/>
                                <a:ext cx="4445" cy="34734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140.95pt;margin-top:14.25pt;height:27.35pt;width:0.35pt;z-index:251661312;mso-width-relative:page;mso-height-relative:page;" filled="f" stroked="t" coordsize="21600,21600" o:gfxdata="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nv9v1&#10;1wAAAAkBAAAPAAAAAAAAAAEAIAAAACIAAABkcnMvZG93bnJldi54bWxQSwECFAAUAAAACACHTuJA&#10;CnSlrOkBAADeAwAADgAAAAAAAAABACAAAAAmAQAAZHJzL2Uyb0RvYy54bWxQSwUGAAAAAAYABgBZ&#10;AQAAgQUAAAAA&#10;">
                      <v:fill on="f" focussize="0,0"/>
                      <v:stroke color="#000000" joinstyle="round"/>
                      <v:imagedata o:title=""/>
                      <o:lock v:ext="edit" aspectratio="f"/>
                    </v:line>
                  </w:pict>
                </mc:Fallback>
              </mc:AlternateContent>
            </w:r>
            <w:r>
              <w:rPr>
                <w:rFonts w:hint="eastAsia" w:ascii="Times New Roman" w:hAnsi="Times New Roman"/>
                <w:color w:val="auto"/>
                <w:sz w:val="24"/>
                <w:szCs w:val="24"/>
                <w:highlight w:val="green"/>
              </w:rPr>
              <mc:AlternateContent>
                <mc:Choice Requires="wps">
                  <w:drawing>
                    <wp:anchor distT="0" distB="0" distL="114300" distR="114300" simplePos="0" relativeHeight="251666432" behindDoc="0" locked="0" layoutInCell="1" allowOverlap="1">
                      <wp:simplePos x="0" y="0"/>
                      <wp:positionH relativeFrom="column">
                        <wp:posOffset>547370</wp:posOffset>
                      </wp:positionH>
                      <wp:positionV relativeFrom="paragraph">
                        <wp:posOffset>9525</wp:posOffset>
                      </wp:positionV>
                      <wp:extent cx="773430" cy="6350"/>
                      <wp:effectExtent l="0" t="0" r="0" b="0"/>
                      <wp:wrapNone/>
                      <wp:docPr id="46" name="自选图形 101"/>
                      <wp:cNvGraphicFramePr/>
                      <a:graphic xmlns:a="http://schemas.openxmlformats.org/drawingml/2006/main">
                        <a:graphicData uri="http://schemas.microsoft.com/office/word/2010/wordprocessingShape">
                          <wps:wsp>
                            <wps:cNvCnPr>
                              <a:stCxn id="43" idx="3"/>
                            </wps:cNvCnPr>
                            <wps:spPr>
                              <a:xfrm>
                                <a:off x="0" y="0"/>
                                <a:ext cx="773430" cy="635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01" o:spid="_x0000_s1026" o:spt="32" type="#_x0000_t32" style="position:absolute;left:0pt;margin-left:43.1pt;margin-top:0.75pt;height:0.5pt;width:60.9pt;z-index:251666432;mso-width-relative:page;mso-height-relative:page;" filled="f" stroked="t" coordsize="21600,21600" o:gfxdata="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Pr/XnVAAAABgEAAA8AAAAAAAAAAQAgAAAAIgAA&#10;AGRycy9kb3ducmV2LnhtbFBLAQIUABQAAAAIAIdO4kDo0jEvCwIAAA8EAAAOAAAAAAAAAAEAIAAA&#10;ACQBAABkcnMvZTJvRG9jLnhtbFBLBQYAAAAABgAGAFkBAAChBQAAAAA=&#10;">
                      <v:fill on="f" focussize="0,0"/>
                      <v:stroke color="#000000" joinstyle="round"/>
                      <v:imagedata o:title=""/>
                      <o:lock v:ext="edit" aspectratio="f"/>
                    </v:shape>
                  </w:pict>
                </mc:Fallback>
              </mc:AlternateContent>
            </w:r>
          </w:p>
          <w:p w14:paraId="2FAB6382">
            <w:pPr>
              <w:pStyle w:val="3"/>
              <w:spacing w:before="0" w:after="100" w:line="416" w:lineRule="auto"/>
              <w:ind w:firstLine="641" w:firstLineChars="266"/>
              <w:jc w:val="center"/>
              <w:rPr>
                <w:rFonts w:hint="eastAsia" w:ascii="Times New Roman" w:hAnsi="Times New Roman"/>
                <w:color w:val="auto"/>
                <w:sz w:val="24"/>
                <w:szCs w:val="24"/>
                <w:highlight w:val="green"/>
              </w:rPr>
            </w:pPr>
            <w:r>
              <w:rPr>
                <w:rFonts w:hint="eastAsia" w:ascii="Times New Roman" w:hAnsi="Times New Roman"/>
                <w:color w:val="auto"/>
                <w:sz w:val="24"/>
                <w:szCs w:val="24"/>
                <w:highlight w:val="green"/>
              </w:rPr>
              <mc:AlternateContent>
                <mc:Choice Requires="wps">
                  <w:drawing>
                    <wp:anchor distT="0" distB="0" distL="114300" distR="114300" simplePos="0" relativeHeight="251678720" behindDoc="0" locked="0" layoutInCell="1" allowOverlap="1">
                      <wp:simplePos x="0" y="0"/>
                      <wp:positionH relativeFrom="column">
                        <wp:posOffset>2440940</wp:posOffset>
                      </wp:positionH>
                      <wp:positionV relativeFrom="paragraph">
                        <wp:posOffset>307975</wp:posOffset>
                      </wp:positionV>
                      <wp:extent cx="798195" cy="310515"/>
                      <wp:effectExtent l="0" t="0" r="0" b="0"/>
                      <wp:wrapNone/>
                      <wp:docPr id="58" name="矩形 203"/>
                      <wp:cNvGraphicFramePr/>
                      <a:graphic xmlns:a="http://schemas.openxmlformats.org/drawingml/2006/main">
                        <a:graphicData uri="http://schemas.microsoft.com/office/word/2010/wordprocessingShape">
                          <wps:wsp>
                            <wps:cNvSpPr/>
                            <wps:spPr>
                              <a:xfrm>
                                <a:off x="0" y="0"/>
                                <a:ext cx="798195" cy="310515"/>
                              </a:xfrm>
                              <a:prstGeom prst="rect">
                                <a:avLst/>
                              </a:prstGeom>
                              <a:noFill/>
                              <a:ln>
                                <a:noFill/>
                              </a:ln>
                            </wps:spPr>
                            <wps:txbx>
                              <w:txbxContent>
                                <w:p w14:paraId="7D387283">
                                  <w:pPr>
                                    <w:rPr>
                                      <w:rFonts w:hint="default" w:eastAsia="宋体"/>
                                      <w:lang w:val="en-US" w:eastAsia="zh-CN"/>
                                    </w:rPr>
                                  </w:pPr>
                                  <w:r>
                                    <w:rPr>
                                      <w:rFonts w:hint="eastAsia"/>
                                      <w:lang w:val="en-US" w:eastAsia="zh-CN"/>
                                    </w:rPr>
                                    <w:t>989.2</w:t>
                                  </w:r>
                                </w:p>
                              </w:txbxContent>
                            </wps:txbx>
                            <wps:bodyPr vert="horz" wrap="square" anchor="t" anchorCtr="0" upright="1"/>
                          </wps:wsp>
                        </a:graphicData>
                      </a:graphic>
                    </wp:anchor>
                  </w:drawing>
                </mc:Choice>
                <mc:Fallback>
                  <w:pict>
                    <v:rect id="矩形 203" o:spid="_x0000_s1026" o:spt="1" style="position:absolute;left:0pt;margin-left:192.2pt;margin-top:24.25pt;height:24.45pt;width:62.85pt;z-index:251678720;mso-width-relative:page;mso-height-relative:page;" filled="f" stroked="f" coordsize="21600,21600" o:gfxdata="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un4NHbAAAACQEAAA8AAAAAAAAAAQAgAAAAIgAAAGRycy9kb3du&#10;cmV2LnhtbFBLAQIUABQAAAAIAIdO4kAhKjpMwwEAAHYDAAAOAAAAAAAAAAEAIAAAACoBAABkcnMv&#10;ZTJvRG9jLnhtbFBLBQYAAAAABgAGAFkBAABfBQAAAAA=&#10;">
                      <v:fill on="f" focussize="0,0"/>
                      <v:stroke on="f"/>
                      <v:imagedata o:title=""/>
                      <o:lock v:ext="edit" aspectratio="f"/>
                      <v:textbox>
                        <w:txbxContent>
                          <w:p w14:paraId="7D387283">
                            <w:pPr>
                              <w:rPr>
                                <w:rFonts w:hint="default" w:eastAsia="宋体"/>
                                <w:lang w:val="en-US" w:eastAsia="zh-CN"/>
                              </w:rPr>
                            </w:pPr>
                            <w:r>
                              <w:rPr>
                                <w:rFonts w:hint="eastAsia"/>
                                <w:lang w:val="en-US" w:eastAsia="zh-CN"/>
                              </w:rPr>
                              <w:t>989.2</w:t>
                            </w:r>
                          </w:p>
                        </w:txbxContent>
                      </v:textbox>
                    </v:rect>
                  </w:pict>
                </mc:Fallback>
              </mc:AlternateContent>
            </w:r>
            <w:r>
              <w:rPr>
                <w:color w:val="auto"/>
                <w:sz w:val="24"/>
                <w:highlight w:val="green"/>
              </w:rPr>
              <mc:AlternateContent>
                <mc:Choice Requires="wps">
                  <w:drawing>
                    <wp:anchor distT="0" distB="0" distL="114300" distR="114300" simplePos="0" relativeHeight="251685888" behindDoc="0" locked="0" layoutInCell="1" allowOverlap="1">
                      <wp:simplePos x="0" y="0"/>
                      <wp:positionH relativeFrom="column">
                        <wp:posOffset>3392805</wp:posOffset>
                      </wp:positionH>
                      <wp:positionV relativeFrom="paragraph">
                        <wp:posOffset>151130</wp:posOffset>
                      </wp:positionV>
                      <wp:extent cx="2045335" cy="8890"/>
                      <wp:effectExtent l="0" t="0" r="0" b="0"/>
                      <wp:wrapNone/>
                      <wp:docPr id="65" name="直线 12"/>
                      <wp:cNvGraphicFramePr/>
                      <a:graphic xmlns:a="http://schemas.openxmlformats.org/drawingml/2006/main">
                        <a:graphicData uri="http://schemas.microsoft.com/office/word/2010/wordprocessingShape">
                          <wps:wsp>
                            <wps:cNvCnPr/>
                            <wps:spPr>
                              <a:xfrm flipV="1">
                                <a:off x="0" y="0"/>
                                <a:ext cx="2045335" cy="889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 o:spid="_x0000_s1026" o:spt="20" style="position:absolute;left:0pt;flip:y;margin-left:267.15pt;margin-top:11.9pt;height:0.7pt;width:161.05pt;z-index:251685888;mso-width-relative:page;mso-height-relative:page;" filled="f" stroked="t" coordsize="21600,21600" o:gfxdata="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PilVpdgAAAAJAQAADwAAAAAAAAABACAAAAAiAAAAZHJzL2Rvd25yZXYueG1sUEsB&#10;AhQAFAAAAAgAh07iQI1Ulsb1AQAA6gMAAA4AAAAAAAAAAQAgAAAAJwEAAGRycy9lMm9Eb2MueG1s&#10;UEsFBgAAAAAGAAYAWQEAAI4FAAAAAA==&#10;">
                      <v:fill on="f" focussize="0,0"/>
                      <v:stroke color="#000000" joinstyle="round"/>
                      <v:imagedata o:title=""/>
                      <o:lock v:ext="edit" aspectratio="f"/>
                    </v:line>
                  </w:pict>
                </mc:Fallback>
              </mc:AlternateContent>
            </w:r>
            <w:r>
              <w:rPr>
                <w:color w:val="auto"/>
                <w:sz w:val="24"/>
                <w:szCs w:val="24"/>
                <w:highlight w:val="green"/>
              </w:rPr>
              <mc:AlternateContent>
                <mc:Choice Requires="wps">
                  <w:drawing>
                    <wp:anchor distT="0" distB="0" distL="114300" distR="114300" simplePos="0" relativeHeight="251674624" behindDoc="0" locked="0" layoutInCell="1" allowOverlap="1">
                      <wp:simplePos x="0" y="0"/>
                      <wp:positionH relativeFrom="column">
                        <wp:posOffset>1788160</wp:posOffset>
                      </wp:positionH>
                      <wp:positionV relativeFrom="paragraph">
                        <wp:posOffset>158750</wp:posOffset>
                      </wp:positionV>
                      <wp:extent cx="1332865" cy="6350"/>
                      <wp:effectExtent l="0" t="0" r="0" b="0"/>
                      <wp:wrapNone/>
                      <wp:docPr id="54" name="直线 200"/>
                      <wp:cNvGraphicFramePr/>
                      <a:graphic xmlns:a="http://schemas.openxmlformats.org/drawingml/2006/main">
                        <a:graphicData uri="http://schemas.microsoft.com/office/word/2010/wordprocessingShape">
                          <wps:wsp>
                            <wps:cNvCnPr/>
                            <wps:spPr>
                              <a:xfrm flipH="1" flipV="1">
                                <a:off x="0" y="0"/>
                                <a:ext cx="1332865" cy="63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0" o:spid="_x0000_s1026" o:spt="20" style="position:absolute;left:0pt;flip:x y;margin-left:140.8pt;margin-top:12.5pt;height:0.5pt;width:104.95pt;z-index:251674624;mso-width-relative:page;mso-height-relative:page;" filled="f" stroked="t" coordsize="21600,21600" o:gfxdata="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8KstvUAAAACQEAAA8AAAAAAAAAAQAgAAAAIgAAAGRycy9kb3ducmV2LnhtbFBL&#10;AQIUABQAAAAIAIdO4kB7eNqN+gEAAPUDAAAOAAAAAAAAAAEAIAAAACMBAABkcnMvZTJvRG9jLnht&#10;bFBLBQYAAAAABgAGAFkBAACPBQAAAAA=&#10;">
                      <v:fill on="f" focussize="0,0"/>
                      <v:stroke color="#000000" joinstyle="round"/>
                      <v:imagedata o:title=""/>
                      <o:lock v:ext="edit" aspectratio="f"/>
                    </v:line>
                  </w:pict>
                </mc:Fallback>
              </mc:AlternateContent>
            </w:r>
            <w:r>
              <w:rPr>
                <w:color w:val="auto"/>
                <w:sz w:val="24"/>
                <w:szCs w:val="24"/>
                <w:highlight w:val="green"/>
              </w:rPr>
              <mc:AlternateContent>
                <mc:Choice Requires="wps">
                  <w:drawing>
                    <wp:anchor distT="0" distB="0" distL="114300" distR="114300" simplePos="0" relativeHeight="251675648" behindDoc="0" locked="0" layoutInCell="1" allowOverlap="1">
                      <wp:simplePos x="0" y="0"/>
                      <wp:positionH relativeFrom="column">
                        <wp:posOffset>2501265</wp:posOffset>
                      </wp:positionH>
                      <wp:positionV relativeFrom="paragraph">
                        <wp:posOffset>174625</wp:posOffset>
                      </wp:positionV>
                      <wp:extent cx="3175" cy="406400"/>
                      <wp:effectExtent l="35560" t="0" r="37465" b="12700"/>
                      <wp:wrapNone/>
                      <wp:docPr id="55" name="直线 201"/>
                      <wp:cNvGraphicFramePr/>
                      <a:graphic xmlns:a="http://schemas.openxmlformats.org/drawingml/2006/main">
                        <a:graphicData uri="http://schemas.microsoft.com/office/word/2010/wordprocessingShape">
                          <wps:wsp>
                            <wps:cNvCnPr/>
                            <wps:spPr>
                              <a:xfrm>
                                <a:off x="0" y="0"/>
                                <a:ext cx="3175" cy="4064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01" o:spid="_x0000_s1026" o:spt="20" style="position:absolute;left:0pt;margin-left:196.95pt;margin-top:13.75pt;height:32pt;width:0.25pt;z-index:251675648;mso-width-relative:page;mso-height-relative:page;" filled="f" stroked="t" coordsize="21600,21600" o:gfxdata="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odi1dtsAAAAJAQAADwAAAAAAAAABACAAAAAiAAAAZHJzL2Rvd25yZXYueG1sUEsB&#10;AhQAFAAAAAgAh07iQHmemmvyAQAA5AMAAA4AAAAAAAAAAQAgAAAAKgEAAGRycy9lMm9Eb2MueG1s&#10;UEsFBgAAAAAGAAYAWQEAAI4FAAAAAA==&#10;">
                      <v:fill on="f" focussize="0,0"/>
                      <v:stroke color="#000000" joinstyle="round" endarrow="block"/>
                      <v:imagedata o:title=""/>
                      <o:lock v:ext="edit" aspectratio="f"/>
                    </v:line>
                  </w:pict>
                </mc:Fallback>
              </mc:AlternateContent>
            </w:r>
          </w:p>
          <w:p w14:paraId="431D1711">
            <w:pPr>
              <w:pStyle w:val="3"/>
              <w:spacing w:before="0" w:after="100" w:line="416" w:lineRule="auto"/>
              <w:ind w:firstLine="641" w:firstLineChars="266"/>
              <w:jc w:val="center"/>
              <w:rPr>
                <w:rFonts w:hint="eastAsia" w:ascii="Times New Roman" w:hAnsi="Times New Roman"/>
                <w:color w:val="auto"/>
                <w:sz w:val="24"/>
                <w:szCs w:val="24"/>
                <w:highlight w:val="green"/>
              </w:rPr>
            </w:pPr>
            <w:r>
              <w:rPr>
                <w:color w:val="auto"/>
                <w:sz w:val="24"/>
                <w:szCs w:val="24"/>
                <w:highlight w:val="green"/>
              </w:rPr>
              <mc:AlternateContent>
                <mc:Choice Requires="wps">
                  <w:drawing>
                    <wp:anchor distT="0" distB="0" distL="114300" distR="114300" simplePos="0" relativeHeight="251676672" behindDoc="0" locked="0" layoutInCell="1" allowOverlap="1">
                      <wp:simplePos x="0" y="0"/>
                      <wp:positionH relativeFrom="column">
                        <wp:posOffset>1900555</wp:posOffset>
                      </wp:positionH>
                      <wp:positionV relativeFrom="paragraph">
                        <wp:posOffset>229870</wp:posOffset>
                      </wp:positionV>
                      <wp:extent cx="1229995" cy="292100"/>
                      <wp:effectExtent l="4445" t="4445" r="22860" b="8255"/>
                      <wp:wrapNone/>
                      <wp:docPr id="56" name="矩形 202"/>
                      <wp:cNvGraphicFramePr/>
                      <a:graphic xmlns:a="http://schemas.openxmlformats.org/drawingml/2006/main">
                        <a:graphicData uri="http://schemas.microsoft.com/office/word/2010/wordprocessingShape">
                          <wps:wsp>
                            <wps:cNvSpPr/>
                            <wps:spPr>
                              <a:xfrm>
                                <a:off x="0" y="0"/>
                                <a:ext cx="1229995" cy="2921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819096">
                                  <w:pPr>
                                    <w:jc w:val="center"/>
                                    <w:rPr>
                                      <w:rFonts w:hint="default" w:eastAsia="宋体"/>
                                      <w:lang w:val="en-US" w:eastAsia="zh-CN"/>
                                    </w:rPr>
                                  </w:pPr>
                                  <w:r>
                                    <w:rPr>
                                      <w:rFonts w:hint="eastAsia"/>
                                      <w:lang w:val="en-US" w:eastAsia="zh-CN"/>
                                    </w:rPr>
                                    <w:t>冷却水槽</w:t>
                                  </w:r>
                                </w:p>
                              </w:txbxContent>
                            </wps:txbx>
                            <wps:bodyPr vert="horz" wrap="square" anchor="t" anchorCtr="0" upright="1"/>
                          </wps:wsp>
                        </a:graphicData>
                      </a:graphic>
                    </wp:anchor>
                  </w:drawing>
                </mc:Choice>
                <mc:Fallback>
                  <w:pict>
                    <v:rect id="矩形 202" o:spid="_x0000_s1026" o:spt="1" style="position:absolute;left:0pt;margin-left:149.65pt;margin-top:18.1pt;height:23pt;width:96.85pt;z-index:251676672;mso-width-relative:page;mso-height-relative:page;" fillcolor="#FFFFFF" filled="t" stroked="t" coordsize="21600,21600" o:gfxdata="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CioN&#10;99cAAAAJAQAADwAAAAAAAAABACAAAAAiAAAAZHJzL2Rvd25yZXYueG1sUEsBAhQAFAAAAAgAh07i&#10;QAsQUV0jAgAAXwQAAA4AAAAAAAAAAQAgAAAAJgEAAGRycy9lMm9Eb2MueG1sUEsFBgAAAAAGAAYA&#10;WQEAALsFAAAAAA==&#10;">
                      <v:fill on="t" focussize="0,0"/>
                      <v:stroke color="#000000" joinstyle="miter"/>
                      <v:imagedata o:title=""/>
                      <o:lock v:ext="edit" aspectratio="f"/>
                      <v:textbox>
                        <w:txbxContent>
                          <w:p w14:paraId="35819096">
                            <w:pPr>
                              <w:jc w:val="center"/>
                              <w:rPr>
                                <w:rFonts w:hint="default" w:eastAsia="宋体"/>
                                <w:lang w:val="en-US" w:eastAsia="zh-CN"/>
                              </w:rPr>
                            </w:pPr>
                            <w:r>
                              <w:rPr>
                                <w:rFonts w:hint="eastAsia"/>
                                <w:lang w:val="en-US" w:eastAsia="zh-CN"/>
                              </w:rPr>
                              <w:t>冷却水槽</w:t>
                            </w:r>
                          </w:p>
                        </w:txbxContent>
                      </v:textbox>
                    </v:rect>
                  </w:pict>
                </mc:Fallback>
              </mc:AlternateContent>
            </w:r>
          </w:p>
          <w:p w14:paraId="6E1A2D4A">
            <w:pPr>
              <w:pStyle w:val="3"/>
              <w:spacing w:before="0" w:after="100" w:line="416" w:lineRule="auto"/>
              <w:ind w:firstLine="641" w:firstLineChars="266"/>
              <w:jc w:val="center"/>
              <w:rPr>
                <w:rFonts w:hint="eastAsia" w:ascii="Times New Roman" w:hAnsi="Times New Roman"/>
                <w:color w:val="auto"/>
                <w:sz w:val="24"/>
                <w:szCs w:val="24"/>
                <w:highlight w:val="green"/>
              </w:rPr>
            </w:pPr>
            <w:r>
              <w:rPr>
                <w:rFonts w:hint="eastAsia" w:ascii="Times New Roman" w:hAnsi="Times New Roman"/>
                <w:color w:val="auto"/>
                <w:sz w:val="24"/>
                <w:szCs w:val="24"/>
                <w:highlight w:val="green"/>
              </w:rPr>
              <mc:AlternateContent>
                <mc:Choice Requires="wps">
                  <w:drawing>
                    <wp:anchor distT="0" distB="0" distL="114300" distR="114300" simplePos="0" relativeHeight="251687936" behindDoc="0" locked="0" layoutInCell="1" allowOverlap="1">
                      <wp:simplePos x="0" y="0"/>
                      <wp:positionH relativeFrom="column">
                        <wp:posOffset>2507615</wp:posOffset>
                      </wp:positionH>
                      <wp:positionV relativeFrom="paragraph">
                        <wp:posOffset>193040</wp:posOffset>
                      </wp:positionV>
                      <wp:extent cx="722630" cy="310515"/>
                      <wp:effectExtent l="0" t="0" r="0" b="0"/>
                      <wp:wrapNone/>
                      <wp:docPr id="67" name="矩形 14"/>
                      <wp:cNvGraphicFramePr/>
                      <a:graphic xmlns:a="http://schemas.openxmlformats.org/drawingml/2006/main">
                        <a:graphicData uri="http://schemas.microsoft.com/office/word/2010/wordprocessingShape">
                          <wps:wsp>
                            <wps:cNvSpPr/>
                            <wps:spPr>
                              <a:xfrm>
                                <a:off x="0" y="0"/>
                                <a:ext cx="722630" cy="310515"/>
                              </a:xfrm>
                              <a:prstGeom prst="rect">
                                <a:avLst/>
                              </a:prstGeom>
                              <a:noFill/>
                              <a:ln>
                                <a:noFill/>
                              </a:ln>
                            </wps:spPr>
                            <wps:txbx>
                              <w:txbxContent>
                                <w:p w14:paraId="071B21CE">
                                  <w:pPr>
                                    <w:rPr>
                                      <w:rFonts w:hint="default" w:eastAsia="宋体"/>
                                      <w:lang w:val="en-US" w:eastAsia="zh-CN"/>
                                    </w:rPr>
                                  </w:pPr>
                                  <w:r>
                                    <w:rPr>
                                      <w:rFonts w:hint="eastAsia"/>
                                      <w:lang w:val="en-US" w:eastAsia="zh-CN"/>
                                    </w:rPr>
                                    <w:t>989.2</w:t>
                                  </w:r>
                                </w:p>
                              </w:txbxContent>
                            </wps:txbx>
                            <wps:bodyPr vert="horz" wrap="square" anchor="t" anchorCtr="0" upright="1"/>
                          </wps:wsp>
                        </a:graphicData>
                      </a:graphic>
                    </wp:anchor>
                  </w:drawing>
                </mc:Choice>
                <mc:Fallback>
                  <w:pict>
                    <v:rect id="矩形 14" o:spid="_x0000_s1026" o:spt="1" style="position:absolute;left:0pt;margin-left:197.45pt;margin-top:15.2pt;height:24.45pt;width:56.9pt;z-index:251687936;mso-width-relative:page;mso-height-relative:page;" filled="f" stroked="f" coordsize="21600,21600" o:gfxdata="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ME56vbAAAACQEAAA8AAAAAAAAAAQAgAAAAIgAAAGRycy9kb3du&#10;cmV2LnhtbFBLAQIUABQAAAAIAIdO4kCzvylnwwEAAHUDAAAOAAAAAAAAAAEAIAAAACoBAABkcnMv&#10;ZTJvRG9jLnhtbFBLBQYAAAAABgAGAFkBAABfBQAAAAA=&#10;">
                      <v:fill on="f" focussize="0,0"/>
                      <v:stroke on="f"/>
                      <v:imagedata o:title=""/>
                      <o:lock v:ext="edit" aspectratio="f"/>
                      <v:textbox>
                        <w:txbxContent>
                          <w:p w14:paraId="071B21CE">
                            <w:pPr>
                              <w:rPr>
                                <w:rFonts w:hint="default" w:eastAsia="宋体"/>
                                <w:lang w:val="en-US" w:eastAsia="zh-CN"/>
                              </w:rPr>
                            </w:pPr>
                            <w:r>
                              <w:rPr>
                                <w:rFonts w:hint="eastAsia"/>
                                <w:lang w:val="en-US" w:eastAsia="zh-CN"/>
                              </w:rPr>
                              <w:t>989.2</w:t>
                            </w:r>
                          </w:p>
                        </w:txbxContent>
                      </v:textbox>
                    </v:rect>
                  </w:pict>
                </mc:Fallback>
              </mc:AlternateContent>
            </w:r>
            <w:r>
              <w:rPr>
                <w:color w:val="auto"/>
                <w:sz w:val="24"/>
                <w:szCs w:val="24"/>
                <w:highlight w:val="green"/>
              </w:rPr>
              <mc:AlternateContent>
                <mc:Choice Requires="wps">
                  <w:drawing>
                    <wp:anchor distT="0" distB="0" distL="114300" distR="114300" simplePos="0" relativeHeight="251662336" behindDoc="0" locked="0" layoutInCell="1" allowOverlap="1">
                      <wp:simplePos x="0" y="0"/>
                      <wp:positionH relativeFrom="column">
                        <wp:posOffset>2493645</wp:posOffset>
                      </wp:positionH>
                      <wp:positionV relativeFrom="paragraph">
                        <wp:posOffset>170180</wp:posOffset>
                      </wp:positionV>
                      <wp:extent cx="635" cy="387350"/>
                      <wp:effectExtent l="37465" t="0" r="38100" b="12700"/>
                      <wp:wrapNone/>
                      <wp:docPr id="42" name="直线 6"/>
                      <wp:cNvGraphicFramePr/>
                      <a:graphic xmlns:a="http://schemas.openxmlformats.org/drawingml/2006/main">
                        <a:graphicData uri="http://schemas.microsoft.com/office/word/2010/wordprocessingShape">
                          <wps:wsp>
                            <wps:cNvCnPr/>
                            <wps:spPr>
                              <a:xfrm>
                                <a:off x="0" y="0"/>
                                <a:ext cx="635" cy="3873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 o:spid="_x0000_s1026" o:spt="20" style="position:absolute;left:0pt;margin-left:196.35pt;margin-top:13.4pt;height:30.5pt;width:0.05pt;z-index:251662336;mso-width-relative:page;mso-height-relative:page;" filled="f" stroked="t" coordsize="21600,21600" o:gfxdata="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azPnTZAAAACQEAAA8AAAAAAAAAAQAgAAAAIgAAAGRycy9kb3ducmV2LnhtbFBLAQIU&#10;ABQAAAAIAIdO4kCr+yfV8gEAAOEDAAAOAAAAAAAAAAEAIAAAACgBAABkcnMvZTJvRG9jLnhtbFBL&#10;BQYAAAAABgAGAFkBAACMBQAAAAA=&#10;">
                      <v:fill on="f" focussize="0,0"/>
                      <v:stroke color="#000000" joinstyle="round" endarrow="block"/>
                      <v:imagedata o:title=""/>
                      <o:lock v:ext="edit" aspectratio="f"/>
                    </v:line>
                  </w:pict>
                </mc:Fallback>
              </mc:AlternateContent>
            </w:r>
          </w:p>
          <w:p w14:paraId="25DA9D40">
            <w:pPr>
              <w:pStyle w:val="3"/>
              <w:spacing w:before="0" w:after="100" w:line="416" w:lineRule="auto"/>
              <w:ind w:firstLine="641" w:firstLineChars="266"/>
              <w:jc w:val="center"/>
              <w:rPr>
                <w:rFonts w:hint="eastAsia" w:ascii="Times New Roman" w:hAnsi="Times New Roman"/>
                <w:color w:val="auto"/>
                <w:sz w:val="24"/>
                <w:szCs w:val="24"/>
                <w:highlight w:val="green"/>
              </w:rPr>
            </w:pPr>
            <w:r>
              <w:rPr>
                <w:color w:val="auto"/>
                <w:sz w:val="24"/>
                <w:szCs w:val="24"/>
                <w:highlight w:val="green"/>
              </w:rPr>
              <mc:AlternateContent>
                <mc:Choice Requires="wps">
                  <w:drawing>
                    <wp:anchor distT="0" distB="0" distL="114300" distR="114300" simplePos="0" relativeHeight="251691008" behindDoc="0" locked="0" layoutInCell="1" allowOverlap="1">
                      <wp:simplePos x="0" y="0"/>
                      <wp:positionH relativeFrom="column">
                        <wp:posOffset>1922780</wp:posOffset>
                      </wp:positionH>
                      <wp:positionV relativeFrom="paragraph">
                        <wp:posOffset>202565</wp:posOffset>
                      </wp:positionV>
                      <wp:extent cx="1229995" cy="292100"/>
                      <wp:effectExtent l="4445" t="4445" r="22860" b="8255"/>
                      <wp:wrapNone/>
                      <wp:docPr id="1" name="矩形 202"/>
                      <wp:cNvGraphicFramePr/>
                      <a:graphic xmlns:a="http://schemas.openxmlformats.org/drawingml/2006/main">
                        <a:graphicData uri="http://schemas.microsoft.com/office/word/2010/wordprocessingShape">
                          <wps:wsp>
                            <wps:cNvSpPr/>
                            <wps:spPr>
                              <a:xfrm>
                                <a:off x="0" y="0"/>
                                <a:ext cx="1229995" cy="2921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4A2FE5">
                                  <w:pPr>
                                    <w:jc w:val="center"/>
                                    <w:rPr>
                                      <w:rFonts w:hint="default" w:eastAsia="宋体"/>
                                      <w:lang w:val="en-US" w:eastAsia="zh-CN"/>
                                    </w:rPr>
                                  </w:pPr>
                                  <w:r>
                                    <w:rPr>
                                      <w:rFonts w:hint="eastAsia"/>
                                      <w:lang w:val="en-US" w:eastAsia="zh-CN"/>
                                    </w:rPr>
                                    <w:t>化粪池</w:t>
                                  </w:r>
                                </w:p>
                              </w:txbxContent>
                            </wps:txbx>
                            <wps:bodyPr vert="horz" wrap="square" anchor="t" anchorCtr="0" upright="1"/>
                          </wps:wsp>
                        </a:graphicData>
                      </a:graphic>
                    </wp:anchor>
                  </w:drawing>
                </mc:Choice>
                <mc:Fallback>
                  <w:pict>
                    <v:rect id="矩形 202" o:spid="_x0000_s1026" o:spt="1" style="position:absolute;left:0pt;margin-left:151.4pt;margin-top:15.95pt;height:23pt;width:96.85pt;z-index:251691008;mso-width-relative:page;mso-height-relative:page;" fillcolor="#FFFFFF" filled="t" stroked="t" coordsize="21600,21600" o:gfxdata="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c1sOb&#10;2AAAAAkBAAAPAAAAAAAAAAEAIAAAACIAAABkcnMvZG93bnJldi54bWxQSwECFAAUAAAACACHTuJA&#10;WMVpTSECAABeBAAADgAAAAAAAAABACAAAAAnAQAAZHJzL2Uyb0RvYy54bWxQSwUGAAAAAAYABgBZ&#10;AQAAugUAAAAA&#10;">
                      <v:fill on="t" focussize="0,0"/>
                      <v:stroke color="#000000" joinstyle="miter"/>
                      <v:imagedata o:title=""/>
                      <o:lock v:ext="edit" aspectratio="f"/>
                      <v:textbox>
                        <w:txbxContent>
                          <w:p w14:paraId="334A2FE5">
                            <w:pPr>
                              <w:jc w:val="center"/>
                              <w:rPr>
                                <w:rFonts w:hint="default" w:eastAsia="宋体"/>
                                <w:lang w:val="en-US" w:eastAsia="zh-CN"/>
                              </w:rPr>
                            </w:pPr>
                            <w:r>
                              <w:rPr>
                                <w:rFonts w:hint="eastAsia"/>
                                <w:lang w:val="en-US" w:eastAsia="zh-CN"/>
                              </w:rPr>
                              <w:t>化粪池</w:t>
                            </w:r>
                          </w:p>
                        </w:txbxContent>
                      </v:textbox>
                    </v:rect>
                  </w:pict>
                </mc:Fallback>
              </mc:AlternateContent>
            </w:r>
          </w:p>
          <w:p w14:paraId="41453EE3">
            <w:pPr>
              <w:pStyle w:val="3"/>
              <w:spacing w:before="0" w:after="100" w:line="416" w:lineRule="auto"/>
              <w:ind w:firstLine="641" w:firstLineChars="266"/>
              <w:jc w:val="center"/>
              <w:rPr>
                <w:rFonts w:hint="eastAsia" w:ascii="Times New Roman" w:hAnsi="Times New Roman"/>
                <w:color w:val="auto"/>
                <w:sz w:val="24"/>
                <w:szCs w:val="24"/>
                <w:highlight w:val="green"/>
              </w:rPr>
            </w:pPr>
            <w:r>
              <w:rPr>
                <w:rFonts w:hint="eastAsia" w:ascii="Times New Roman" w:hAnsi="Times New Roman"/>
                <w:color w:val="auto"/>
                <w:sz w:val="24"/>
                <w:szCs w:val="24"/>
                <w:highlight w:val="green"/>
              </w:rPr>
              <mc:AlternateContent>
                <mc:Choice Requires="wps">
                  <w:drawing>
                    <wp:anchor distT="0" distB="0" distL="114300" distR="114300" simplePos="0" relativeHeight="251693056" behindDoc="0" locked="0" layoutInCell="1" allowOverlap="1">
                      <wp:simplePos x="0" y="0"/>
                      <wp:positionH relativeFrom="column">
                        <wp:posOffset>2530475</wp:posOffset>
                      </wp:positionH>
                      <wp:positionV relativeFrom="paragraph">
                        <wp:posOffset>217170</wp:posOffset>
                      </wp:positionV>
                      <wp:extent cx="722630" cy="310515"/>
                      <wp:effectExtent l="0" t="0" r="0" b="0"/>
                      <wp:wrapNone/>
                      <wp:docPr id="5" name="矩形 14"/>
                      <wp:cNvGraphicFramePr/>
                      <a:graphic xmlns:a="http://schemas.openxmlformats.org/drawingml/2006/main">
                        <a:graphicData uri="http://schemas.microsoft.com/office/word/2010/wordprocessingShape">
                          <wps:wsp>
                            <wps:cNvSpPr/>
                            <wps:spPr>
                              <a:xfrm>
                                <a:off x="0" y="0"/>
                                <a:ext cx="722630" cy="310515"/>
                              </a:xfrm>
                              <a:prstGeom prst="rect">
                                <a:avLst/>
                              </a:prstGeom>
                              <a:noFill/>
                              <a:ln>
                                <a:noFill/>
                              </a:ln>
                            </wps:spPr>
                            <wps:txbx>
                              <w:txbxContent>
                                <w:p w14:paraId="28BBDDAD">
                                  <w:pPr>
                                    <w:rPr>
                                      <w:rFonts w:hint="default" w:eastAsia="宋体"/>
                                      <w:lang w:val="en-US" w:eastAsia="zh-CN"/>
                                    </w:rPr>
                                  </w:pPr>
                                  <w:r>
                                    <w:rPr>
                                      <w:rFonts w:hint="eastAsia"/>
                                      <w:lang w:val="en-US" w:eastAsia="zh-CN"/>
                                    </w:rPr>
                                    <w:t>989.2</w:t>
                                  </w:r>
                                </w:p>
                              </w:txbxContent>
                            </wps:txbx>
                            <wps:bodyPr vert="horz" wrap="square" anchor="t" anchorCtr="0" upright="1"/>
                          </wps:wsp>
                        </a:graphicData>
                      </a:graphic>
                    </wp:anchor>
                  </w:drawing>
                </mc:Choice>
                <mc:Fallback>
                  <w:pict>
                    <v:rect id="矩形 14" o:spid="_x0000_s1026" o:spt="1" style="position:absolute;left:0pt;margin-left:199.25pt;margin-top:17.1pt;height:24.45pt;width:56.9pt;z-index:251693056;mso-width-relative:page;mso-height-relative:page;" filled="f" stroked="f" coordsize="21600,21600" o:gfxdata="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y/7LaAAAACQEAAA8AAAAAAAAAAQAgAAAAIgAAAGRycy9kb3ducmV2&#10;LnhtbFBLAQIUABQAAAAIAIdO4kArhL6lwQEAAHQDAAAOAAAAAAAAAAEAIAAAACkBAABkcnMvZTJv&#10;RG9jLnhtbFBLBQYAAAAABgAGAFkBAABcBQAAAAA=&#10;">
                      <v:fill on="f" focussize="0,0"/>
                      <v:stroke on="f"/>
                      <v:imagedata o:title=""/>
                      <o:lock v:ext="edit" aspectratio="f"/>
                      <v:textbox>
                        <w:txbxContent>
                          <w:p w14:paraId="28BBDDAD">
                            <w:pPr>
                              <w:rPr>
                                <w:rFonts w:hint="default" w:eastAsia="宋体"/>
                                <w:lang w:val="en-US" w:eastAsia="zh-CN"/>
                              </w:rPr>
                            </w:pPr>
                            <w:r>
                              <w:rPr>
                                <w:rFonts w:hint="eastAsia"/>
                                <w:lang w:val="en-US" w:eastAsia="zh-CN"/>
                              </w:rPr>
                              <w:t>989.2</w:t>
                            </w:r>
                          </w:p>
                        </w:txbxContent>
                      </v:textbox>
                    </v:rect>
                  </w:pict>
                </mc:Fallback>
              </mc:AlternateContent>
            </w:r>
            <w:r>
              <w:rPr>
                <w:color w:val="auto"/>
                <w:sz w:val="24"/>
                <w:szCs w:val="24"/>
                <w:highlight w:val="green"/>
              </w:rPr>
              <mc:AlternateContent>
                <mc:Choice Requires="wps">
                  <w:drawing>
                    <wp:anchor distT="0" distB="0" distL="114300" distR="114300" simplePos="0" relativeHeight="251692032" behindDoc="0" locked="0" layoutInCell="1" allowOverlap="1">
                      <wp:simplePos x="0" y="0"/>
                      <wp:positionH relativeFrom="column">
                        <wp:posOffset>2507615</wp:posOffset>
                      </wp:positionH>
                      <wp:positionV relativeFrom="paragraph">
                        <wp:posOffset>142240</wp:posOffset>
                      </wp:positionV>
                      <wp:extent cx="635" cy="387350"/>
                      <wp:effectExtent l="37465" t="0" r="38100" b="12700"/>
                      <wp:wrapNone/>
                      <wp:docPr id="2" name="直线 6"/>
                      <wp:cNvGraphicFramePr/>
                      <a:graphic xmlns:a="http://schemas.openxmlformats.org/drawingml/2006/main">
                        <a:graphicData uri="http://schemas.microsoft.com/office/word/2010/wordprocessingShape">
                          <wps:wsp>
                            <wps:cNvCnPr/>
                            <wps:spPr>
                              <a:xfrm>
                                <a:off x="0" y="0"/>
                                <a:ext cx="635" cy="3873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 o:spid="_x0000_s1026" o:spt="20" style="position:absolute;left:0pt;margin-left:197.45pt;margin-top:11.2pt;height:30.5pt;width:0.05pt;z-index:251692032;mso-width-relative:page;mso-height-relative:page;" filled="f" stroked="t" coordsize="21600,21600" o:gfxdata="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B7ZDPaAAAACQEAAA8AAAAAAAAAAQAgAAAAIgAAAGRycy9kb3ducmV2LnhtbFBLAQIU&#10;ABQAAAAIAIdO4kCD1GCM8QEAAOADAAAOAAAAAAAAAAEAIAAAACkBAABkcnMvZTJvRG9jLnhtbFBL&#10;BQYAAAAABgAGAFkBAACMBQAAAAA=&#10;">
                      <v:fill on="f" focussize="0,0"/>
                      <v:stroke color="#000000" joinstyle="round" endarrow="block"/>
                      <v:imagedata o:title=""/>
                      <o:lock v:ext="edit" aspectratio="f"/>
                    </v:line>
                  </w:pict>
                </mc:Fallback>
              </mc:AlternateContent>
            </w:r>
          </w:p>
          <w:p w14:paraId="0917347A">
            <w:pPr>
              <w:pStyle w:val="3"/>
              <w:spacing w:before="0" w:after="100" w:line="416" w:lineRule="auto"/>
              <w:ind w:firstLine="641" w:firstLineChars="266"/>
              <w:jc w:val="center"/>
              <w:rPr>
                <w:rFonts w:hint="eastAsia" w:ascii="Times New Roman" w:hAnsi="Times New Roman"/>
                <w:color w:val="auto"/>
                <w:sz w:val="24"/>
                <w:szCs w:val="24"/>
                <w:highlight w:val="green"/>
              </w:rPr>
            </w:pPr>
            <w:r>
              <w:rPr>
                <w:rFonts w:hint="eastAsia" w:hAnsi="宋体"/>
                <w:b/>
                <w:color w:val="auto"/>
                <w:sz w:val="24"/>
                <w:szCs w:val="24"/>
                <w:highlight w:val="green"/>
              </w:rPr>
              <mc:AlternateContent>
                <mc:Choice Requires="wps">
                  <w:drawing>
                    <wp:anchor distT="0" distB="0" distL="114300" distR="114300" simplePos="0" relativeHeight="251668480" behindDoc="0" locked="0" layoutInCell="1" allowOverlap="1">
                      <wp:simplePos x="0" y="0"/>
                      <wp:positionH relativeFrom="column">
                        <wp:posOffset>1906270</wp:posOffset>
                      </wp:positionH>
                      <wp:positionV relativeFrom="paragraph">
                        <wp:posOffset>140335</wp:posOffset>
                      </wp:positionV>
                      <wp:extent cx="1551940" cy="283210"/>
                      <wp:effectExtent l="0" t="0" r="0" b="0"/>
                      <wp:wrapNone/>
                      <wp:docPr id="48" name="矩形 45"/>
                      <wp:cNvGraphicFramePr/>
                      <a:graphic xmlns:a="http://schemas.openxmlformats.org/drawingml/2006/main">
                        <a:graphicData uri="http://schemas.microsoft.com/office/word/2010/wordprocessingShape">
                          <wps:wsp>
                            <wps:cNvSpPr/>
                            <wps:spPr>
                              <a:xfrm>
                                <a:off x="0" y="0"/>
                                <a:ext cx="1551940" cy="283210"/>
                              </a:xfrm>
                              <a:prstGeom prst="rect">
                                <a:avLst/>
                              </a:prstGeom>
                              <a:noFill/>
                              <a:ln>
                                <a:noFill/>
                              </a:ln>
                            </wps:spPr>
                            <wps:txbx>
                              <w:txbxContent>
                                <w:p w14:paraId="3A927C45">
                                  <w:pPr>
                                    <w:rPr>
                                      <w:rFonts w:hint="default" w:eastAsia="宋体"/>
                                      <w:lang w:val="en-US" w:eastAsia="zh-CN"/>
                                    </w:rPr>
                                  </w:pPr>
                                  <w:r>
                                    <w:rPr>
                                      <w:rFonts w:hint="eastAsia"/>
                                      <w:lang w:val="en-US" w:eastAsia="zh-CN"/>
                                    </w:rPr>
                                    <w:t>太白县污水处理厂</w:t>
                                  </w:r>
                                </w:p>
                              </w:txbxContent>
                            </wps:txbx>
                            <wps:bodyPr vert="horz" wrap="square" anchor="t" anchorCtr="0" upright="1"/>
                          </wps:wsp>
                        </a:graphicData>
                      </a:graphic>
                    </wp:anchor>
                  </w:drawing>
                </mc:Choice>
                <mc:Fallback>
                  <w:pict>
                    <v:rect id="矩形 45" o:spid="_x0000_s1026" o:spt="1" style="position:absolute;left:0pt;margin-left:150.1pt;margin-top:11.05pt;height:22.3pt;width:122.2pt;z-index:251668480;mso-width-relative:page;mso-height-relative:page;" filled="f" stroked="f" coordsize="21600,21600" o:gfxdata="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KuNSdoAAAAJAQAADwAAAAAAAAABACAAAAAiAAAAZHJzL2Rvd25y&#10;ZXYueG1sUEsBAhQAFAAAAAgAh07iQIJJkbrDAQAAdgMAAA4AAAAAAAAAAQAgAAAAKQEAAGRycy9l&#10;Mm9Eb2MueG1sUEsFBgAAAAAGAAYAWQEAAF4FAAAAAA==&#10;">
                      <v:fill on="f" focussize="0,0"/>
                      <v:stroke on="f"/>
                      <v:imagedata o:title=""/>
                      <o:lock v:ext="edit" aspectratio="f"/>
                      <v:textbox>
                        <w:txbxContent>
                          <w:p w14:paraId="3A927C45">
                            <w:pPr>
                              <w:rPr>
                                <w:rFonts w:hint="default" w:eastAsia="宋体"/>
                                <w:lang w:val="en-US" w:eastAsia="zh-CN"/>
                              </w:rPr>
                            </w:pPr>
                            <w:r>
                              <w:rPr>
                                <w:rFonts w:hint="eastAsia"/>
                                <w:lang w:val="en-US" w:eastAsia="zh-CN"/>
                              </w:rPr>
                              <w:t>太白县污水处理厂</w:t>
                            </w:r>
                          </w:p>
                        </w:txbxContent>
                      </v:textbox>
                    </v:rect>
                  </w:pict>
                </mc:Fallback>
              </mc:AlternateContent>
            </w:r>
          </w:p>
          <w:p w14:paraId="0200A9D5">
            <w:pPr>
              <w:pStyle w:val="30"/>
              <w:jc w:val="center"/>
              <w:rPr>
                <w:rFonts w:hint="eastAsia" w:hAnsi="宋体"/>
                <w:color w:val="auto"/>
                <w:sz w:val="24"/>
                <w:szCs w:val="24"/>
                <w:highlight w:val="none"/>
              </w:rPr>
            </w:pPr>
            <w:r>
              <w:rPr>
                <w:rFonts w:ascii="Times New Roman" w:hAnsi="Times New Roman"/>
                <w:b/>
                <w:bCs/>
                <w:color w:val="auto"/>
                <w:sz w:val="24"/>
                <w:szCs w:val="24"/>
                <w:highlight w:val="none"/>
              </w:rPr>
              <w:t>图2-</w:t>
            </w:r>
            <w:r>
              <w:rPr>
                <w:rFonts w:hint="eastAsia" w:ascii="Times New Roman" w:hAnsi="Times New Roman"/>
                <w:b/>
                <w:bCs/>
                <w:color w:val="auto"/>
                <w:sz w:val="24"/>
                <w:szCs w:val="24"/>
                <w:highlight w:val="none"/>
                <w:lang w:val="en-US" w:eastAsia="zh-CN"/>
              </w:rPr>
              <w:t>1</w:t>
            </w:r>
            <w:r>
              <w:rPr>
                <w:rFonts w:ascii="Times New Roman" w:hAnsi="Times New Roman"/>
                <w:b/>
                <w:bCs/>
                <w:color w:val="auto"/>
                <w:sz w:val="24"/>
                <w:szCs w:val="24"/>
                <w:highlight w:val="none"/>
              </w:rPr>
              <w:t xml:space="preserve">   </w:t>
            </w:r>
            <w:r>
              <w:rPr>
                <w:rFonts w:hint="eastAsia" w:ascii="Times New Roman" w:hAnsi="Times New Roman"/>
                <w:b/>
                <w:bCs/>
                <w:color w:val="auto"/>
                <w:sz w:val="24"/>
                <w:szCs w:val="24"/>
                <w:highlight w:val="none"/>
                <w:lang w:val="en-US" w:eastAsia="zh-CN"/>
              </w:rPr>
              <w:t>项目</w:t>
            </w:r>
            <w:r>
              <w:rPr>
                <w:rFonts w:ascii="Times New Roman" w:hAnsi="Times New Roman"/>
                <w:b/>
                <w:bCs/>
                <w:color w:val="auto"/>
                <w:sz w:val="24"/>
                <w:szCs w:val="24"/>
                <w:highlight w:val="none"/>
              </w:rPr>
              <w:t>水平衡图（m</w:t>
            </w:r>
            <w:r>
              <w:rPr>
                <w:rFonts w:ascii="Times New Roman" w:hAnsi="Times New Roman"/>
                <w:b/>
                <w:bCs/>
                <w:color w:val="auto"/>
                <w:sz w:val="24"/>
                <w:szCs w:val="24"/>
                <w:highlight w:val="none"/>
                <w:vertAlign w:val="superscript"/>
              </w:rPr>
              <w:t>3</w:t>
            </w:r>
            <w:r>
              <w:rPr>
                <w:rFonts w:ascii="Times New Roman" w:hAnsi="Times New Roman"/>
                <w:b/>
                <w:bCs/>
                <w:color w:val="auto"/>
                <w:sz w:val="24"/>
                <w:szCs w:val="24"/>
                <w:highlight w:val="none"/>
              </w:rPr>
              <w:t>/</w:t>
            </w:r>
            <w:r>
              <w:rPr>
                <w:rFonts w:hint="eastAsia" w:ascii="Times New Roman" w:hAnsi="Times New Roman"/>
                <w:b/>
                <w:bCs/>
                <w:color w:val="auto"/>
                <w:sz w:val="24"/>
                <w:szCs w:val="24"/>
                <w:highlight w:val="none"/>
                <w:lang w:val="en-US" w:eastAsia="zh-CN"/>
              </w:rPr>
              <w:t>a</w:t>
            </w:r>
            <w:r>
              <w:rPr>
                <w:rFonts w:ascii="Times New Roman" w:hAnsi="Times New Roman"/>
                <w:b/>
                <w:bCs/>
                <w:color w:val="auto"/>
                <w:sz w:val="24"/>
                <w:szCs w:val="24"/>
                <w:highlight w:val="none"/>
              </w:rPr>
              <w:t>）</w:t>
            </w:r>
          </w:p>
          <w:p w14:paraId="760F2D89">
            <w:pPr>
              <w:spacing w:line="500" w:lineRule="exact"/>
              <w:ind w:firstLine="482"/>
              <w:rPr>
                <w:rFonts w:hAnsi="宋体"/>
                <w:b w:val="0"/>
                <w:bCs/>
                <w:color w:val="auto"/>
                <w:sz w:val="24"/>
                <w:szCs w:val="24"/>
                <w:highlight w:val="none"/>
              </w:rPr>
            </w:pPr>
            <w:r>
              <w:rPr>
                <w:rFonts w:hint="eastAsia" w:hAnsi="宋体"/>
                <w:b w:val="0"/>
                <w:bCs/>
                <w:color w:val="auto"/>
                <w:sz w:val="24"/>
                <w:szCs w:val="24"/>
                <w:highlight w:val="none"/>
                <w:lang w:val="en-US" w:eastAsia="zh-CN"/>
              </w:rPr>
              <w:t>7</w:t>
            </w:r>
            <w:r>
              <w:rPr>
                <w:rFonts w:hint="eastAsia" w:hAnsi="宋体"/>
                <w:b w:val="0"/>
                <w:bCs/>
                <w:color w:val="auto"/>
                <w:sz w:val="24"/>
                <w:szCs w:val="24"/>
                <w:highlight w:val="none"/>
                <w:lang w:eastAsia="zh-CN"/>
              </w:rPr>
              <w:t>.</w:t>
            </w:r>
            <w:r>
              <w:rPr>
                <w:rFonts w:hint="eastAsia" w:hAnsi="宋体"/>
                <w:b w:val="0"/>
                <w:bCs/>
                <w:color w:val="auto"/>
                <w:sz w:val="24"/>
                <w:szCs w:val="24"/>
                <w:highlight w:val="none"/>
              </w:rPr>
              <w:t>劳动定员及工作制度</w:t>
            </w:r>
          </w:p>
          <w:p w14:paraId="51067B7C">
            <w:pPr>
              <w:spacing w:line="500" w:lineRule="exact"/>
              <w:ind w:firstLine="482"/>
              <w:rPr>
                <w:rFonts w:hint="eastAsia"/>
                <w:b w:val="0"/>
                <w:bCs/>
                <w:color w:val="auto"/>
                <w:sz w:val="24"/>
                <w:szCs w:val="24"/>
                <w:highlight w:val="none"/>
                <w:lang w:eastAsia="zh-CN"/>
              </w:rPr>
            </w:pPr>
            <w:r>
              <w:rPr>
                <w:rFonts w:hint="eastAsia"/>
                <w:b w:val="0"/>
                <w:bCs/>
                <w:color w:val="auto"/>
                <w:sz w:val="24"/>
                <w:szCs w:val="24"/>
                <w:highlight w:val="none"/>
                <w:lang w:eastAsia="zh-CN"/>
              </w:rPr>
              <w:t>项目</w:t>
            </w:r>
            <w:r>
              <w:rPr>
                <w:rFonts w:hint="eastAsia"/>
                <w:b w:val="0"/>
                <w:bCs/>
                <w:color w:val="auto"/>
                <w:sz w:val="24"/>
                <w:szCs w:val="24"/>
                <w:highlight w:val="none"/>
                <w:lang w:val="en-US" w:eastAsia="zh-CN"/>
              </w:rPr>
              <w:t>正常运行后，无人值守，定期由工作人员进行巡检，锅炉</w:t>
            </w:r>
            <w:r>
              <w:rPr>
                <w:rFonts w:hint="eastAsia"/>
                <w:b w:val="0"/>
                <w:bCs/>
                <w:color w:val="auto"/>
                <w:sz w:val="24"/>
                <w:szCs w:val="24"/>
                <w:highlight w:val="none"/>
                <w:lang w:eastAsia="zh-CN"/>
              </w:rPr>
              <w:t>年</w:t>
            </w:r>
            <w:r>
              <w:rPr>
                <w:rFonts w:hint="eastAsia"/>
                <w:b w:val="0"/>
                <w:bCs/>
                <w:color w:val="auto"/>
                <w:sz w:val="24"/>
                <w:szCs w:val="24"/>
                <w:highlight w:val="none"/>
                <w:lang w:val="en-US" w:eastAsia="zh-CN"/>
              </w:rPr>
              <w:t>运行</w:t>
            </w:r>
            <w:r>
              <w:rPr>
                <w:rFonts w:hint="eastAsia"/>
                <w:b w:val="0"/>
                <w:bCs/>
                <w:color w:val="auto"/>
                <w:sz w:val="24"/>
                <w:szCs w:val="24"/>
                <w:highlight w:val="none"/>
                <w:lang w:eastAsia="zh-CN"/>
              </w:rPr>
              <w:t>1</w:t>
            </w:r>
            <w:r>
              <w:rPr>
                <w:rFonts w:hint="eastAsia"/>
                <w:b w:val="0"/>
                <w:bCs/>
                <w:color w:val="auto"/>
                <w:sz w:val="24"/>
                <w:szCs w:val="24"/>
                <w:highlight w:val="none"/>
                <w:lang w:val="en-US" w:eastAsia="zh-CN"/>
              </w:rPr>
              <w:t>3</w:t>
            </w:r>
            <w:r>
              <w:rPr>
                <w:rFonts w:hint="eastAsia"/>
                <w:b w:val="0"/>
                <w:bCs/>
                <w:color w:val="auto"/>
                <w:sz w:val="24"/>
                <w:szCs w:val="24"/>
                <w:highlight w:val="none"/>
                <w:lang w:eastAsia="zh-CN"/>
              </w:rPr>
              <w:t>0天，</w:t>
            </w:r>
            <w:r>
              <w:rPr>
                <w:rFonts w:hint="eastAsia"/>
                <w:b w:val="0"/>
                <w:bCs/>
                <w:color w:val="auto"/>
                <w:sz w:val="24"/>
                <w:szCs w:val="24"/>
                <w:highlight w:val="none"/>
                <w:lang w:val="en-US" w:eastAsia="zh-CN"/>
              </w:rPr>
              <w:t>每天24小时</w:t>
            </w:r>
            <w:r>
              <w:rPr>
                <w:rFonts w:hint="eastAsia"/>
                <w:b w:val="0"/>
                <w:bCs/>
                <w:color w:val="auto"/>
                <w:sz w:val="24"/>
                <w:szCs w:val="24"/>
                <w:highlight w:val="none"/>
                <w:lang w:eastAsia="zh-CN"/>
              </w:rPr>
              <w:t>。</w:t>
            </w:r>
          </w:p>
          <w:p w14:paraId="47B578CE">
            <w:pPr>
              <w:spacing w:line="500" w:lineRule="exact"/>
              <w:ind w:firstLine="482"/>
              <w:rPr>
                <w:rFonts w:hAnsi="宋体"/>
                <w:b w:val="0"/>
                <w:bCs/>
                <w:color w:val="auto"/>
                <w:sz w:val="24"/>
                <w:szCs w:val="24"/>
                <w:highlight w:val="none"/>
              </w:rPr>
            </w:pPr>
            <w:r>
              <w:rPr>
                <w:rFonts w:hint="eastAsia" w:hAnsi="宋体"/>
                <w:b w:val="0"/>
                <w:bCs/>
                <w:color w:val="auto"/>
                <w:sz w:val="24"/>
                <w:szCs w:val="24"/>
                <w:highlight w:val="none"/>
                <w:lang w:val="en-US" w:eastAsia="zh-CN"/>
              </w:rPr>
              <w:t>8</w:t>
            </w:r>
            <w:r>
              <w:rPr>
                <w:rFonts w:hint="eastAsia" w:hAnsi="宋体"/>
                <w:b w:val="0"/>
                <w:bCs/>
                <w:color w:val="auto"/>
                <w:sz w:val="24"/>
                <w:szCs w:val="24"/>
                <w:highlight w:val="none"/>
                <w:lang w:eastAsia="zh-CN"/>
              </w:rPr>
              <w:t>.</w:t>
            </w:r>
            <w:r>
              <w:rPr>
                <w:rFonts w:hint="eastAsia" w:hAnsi="宋体"/>
                <w:b w:val="0"/>
                <w:bCs/>
                <w:color w:val="auto"/>
                <w:sz w:val="24"/>
                <w:szCs w:val="24"/>
                <w:highlight w:val="none"/>
              </w:rPr>
              <w:t>平面布置</w:t>
            </w:r>
          </w:p>
          <w:p w14:paraId="64B48CBA">
            <w:pPr>
              <w:spacing w:line="500" w:lineRule="exact"/>
              <w:ind w:firstLine="482"/>
              <w:rPr>
                <w:rFonts w:hint="eastAsia" w:ascii="Times New Roman" w:hAnsi="宋体" w:eastAsia="宋体" w:cs="Times New Roman"/>
                <w:b w:val="0"/>
                <w:bCs/>
                <w:color w:val="auto"/>
                <w:sz w:val="24"/>
                <w:szCs w:val="24"/>
                <w:highlight w:val="none"/>
                <w:lang w:val="en-US" w:eastAsia="zh-CN"/>
              </w:rPr>
            </w:pPr>
            <w:r>
              <w:rPr>
                <w:rFonts w:hint="eastAsia" w:ascii="Times New Roman" w:hAnsi="宋体" w:eastAsia="宋体" w:cs="Times New Roman"/>
                <w:b w:val="0"/>
                <w:bCs/>
                <w:color w:val="auto"/>
                <w:sz w:val="24"/>
                <w:szCs w:val="24"/>
                <w:highlight w:val="none"/>
              </w:rPr>
              <w:t>项目</w:t>
            </w:r>
            <w:r>
              <w:rPr>
                <w:rFonts w:hint="eastAsia" w:ascii="Times New Roman" w:hAnsi="宋体" w:eastAsia="宋体" w:cs="Times New Roman"/>
                <w:b w:val="0"/>
                <w:bCs/>
                <w:color w:val="auto"/>
                <w:sz w:val="24"/>
                <w:szCs w:val="24"/>
                <w:highlight w:val="none"/>
                <w:lang w:val="en-US" w:eastAsia="zh-CN"/>
              </w:rPr>
              <w:t>锅炉房比较简单，</w:t>
            </w:r>
            <w:r>
              <w:rPr>
                <w:rFonts w:hint="eastAsia" w:hAnsi="宋体" w:cs="Times New Roman"/>
                <w:b w:val="0"/>
                <w:bCs/>
                <w:color w:val="auto"/>
                <w:sz w:val="24"/>
                <w:szCs w:val="24"/>
                <w:highlight w:val="none"/>
                <w:lang w:val="en-US" w:eastAsia="zh-CN"/>
              </w:rPr>
              <w:t>楼顶锅炉房内主要设置</w:t>
            </w:r>
            <w:r>
              <w:rPr>
                <w:rFonts w:hint="eastAsia" w:ascii="Times New Roman" w:hAnsi="Times New Roman" w:eastAsia="宋体" w:cs="Times New Roman"/>
                <w:bCs/>
                <w:color w:val="auto"/>
                <w:sz w:val="24"/>
                <w:szCs w:val="24"/>
                <w:highlight w:val="none"/>
                <w:lang w:eastAsia="zh-CN"/>
              </w:rPr>
              <w:t>配德地氏冷凝锅炉2台、0.5立方米膨胀水箱1台</w:t>
            </w:r>
            <w:r>
              <w:rPr>
                <w:rFonts w:hint="eastAsia" w:cs="Times New Roman"/>
                <w:bCs/>
                <w:color w:val="auto"/>
                <w:sz w:val="24"/>
                <w:szCs w:val="24"/>
                <w:highlight w:val="none"/>
                <w:lang w:eastAsia="zh-CN"/>
              </w:rPr>
              <w:t>，</w:t>
            </w:r>
            <w:r>
              <w:rPr>
                <w:rFonts w:hint="eastAsia" w:ascii="Times New Roman" w:hAnsi="Times New Roman" w:eastAsia="宋体" w:cs="Times New Roman"/>
                <w:bCs/>
                <w:color w:val="auto"/>
                <w:sz w:val="24"/>
                <w:szCs w:val="24"/>
                <w:highlight w:val="none"/>
                <w:lang w:eastAsia="zh-CN"/>
              </w:rPr>
              <w:t>换热站依托原有站房建设，面积94.13平方米，设板式换热机组1组、软水器1台、软化水箱1台、补水泵2台、一二次循环泵各2台，一二次管网配套树脂软水装置。</w:t>
            </w:r>
            <w:r>
              <w:rPr>
                <w:rFonts w:hint="eastAsia" w:ascii="Times New Roman" w:hAnsi="宋体" w:eastAsia="宋体" w:cs="Times New Roman"/>
                <w:b w:val="0"/>
                <w:bCs/>
                <w:color w:val="auto"/>
                <w:sz w:val="24"/>
                <w:szCs w:val="24"/>
                <w:highlight w:val="none"/>
                <w:lang w:val="en-US" w:eastAsia="zh-CN"/>
              </w:rPr>
              <w:t>锅炉房内部结构紧凑，布置合理</w:t>
            </w:r>
            <w:r>
              <w:rPr>
                <w:rFonts w:hint="eastAsia" w:hAnsi="宋体" w:cs="Times New Roman"/>
                <w:b w:val="0"/>
                <w:bCs/>
                <w:color w:val="auto"/>
                <w:sz w:val="24"/>
                <w:szCs w:val="24"/>
                <w:highlight w:val="none"/>
                <w:lang w:val="en-US" w:eastAsia="zh-CN"/>
              </w:rPr>
              <w:t>。</w:t>
            </w:r>
          </w:p>
          <w:p w14:paraId="2153E559">
            <w:pPr>
              <w:pStyle w:val="72"/>
              <w:rPr>
                <w:rFonts w:hint="eastAsia" w:ascii="Times New Roman" w:hAnsi="宋体" w:eastAsia="宋体" w:cs="Times New Roman"/>
                <w:b w:val="0"/>
                <w:bCs/>
                <w:color w:val="auto"/>
                <w:sz w:val="24"/>
                <w:szCs w:val="24"/>
                <w:highlight w:val="green"/>
                <w:lang w:val="en-US" w:eastAsia="zh-CN"/>
              </w:rPr>
            </w:pPr>
          </w:p>
          <w:p w14:paraId="553AF012">
            <w:pPr>
              <w:rPr>
                <w:color w:val="auto"/>
                <w:sz w:val="24"/>
                <w:szCs w:val="24"/>
                <w:highlight w:val="green"/>
              </w:rPr>
            </w:pPr>
          </w:p>
          <w:p w14:paraId="1F115834">
            <w:pPr>
              <w:pStyle w:val="30"/>
              <w:rPr>
                <w:color w:val="auto"/>
                <w:sz w:val="24"/>
                <w:szCs w:val="24"/>
                <w:highlight w:val="green"/>
              </w:rPr>
            </w:pPr>
          </w:p>
          <w:p w14:paraId="00737E92">
            <w:pPr>
              <w:rPr>
                <w:color w:val="auto"/>
                <w:sz w:val="24"/>
                <w:szCs w:val="24"/>
                <w:highlight w:val="green"/>
              </w:rPr>
            </w:pPr>
          </w:p>
          <w:p w14:paraId="1A17F92E">
            <w:pPr>
              <w:pStyle w:val="30"/>
              <w:rPr>
                <w:color w:val="auto"/>
                <w:sz w:val="24"/>
                <w:szCs w:val="24"/>
                <w:highlight w:val="green"/>
              </w:rPr>
            </w:pPr>
          </w:p>
          <w:p w14:paraId="0006E407">
            <w:pPr>
              <w:rPr>
                <w:color w:val="auto"/>
                <w:sz w:val="24"/>
                <w:szCs w:val="24"/>
                <w:highlight w:val="green"/>
              </w:rPr>
            </w:pPr>
          </w:p>
          <w:p w14:paraId="0609208A">
            <w:pPr>
              <w:rPr>
                <w:color w:val="auto"/>
                <w:highlight w:val="green"/>
              </w:rPr>
            </w:pPr>
          </w:p>
        </w:tc>
      </w:tr>
      <w:tr w14:paraId="2389D4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91" w:type="dxa"/>
            <w:noWrap w:val="0"/>
            <w:vAlign w:val="center"/>
          </w:tcPr>
          <w:p w14:paraId="2FBBD66A">
            <w:pPr>
              <w:pStyle w:val="33"/>
              <w:adjustRightInd w:val="0"/>
              <w:snapToGrid w:val="0"/>
              <w:spacing w:before="0" w:beforeAutospacing="0" w:after="0" w:afterAutospacing="0"/>
              <w:jc w:val="center"/>
              <w:rPr>
                <w:rFonts w:ascii="Times New Roman" w:hAnsi="Times New Roman"/>
                <w:b w:val="0"/>
                <w:bCs/>
                <w:color w:val="auto"/>
                <w:kern w:val="2"/>
                <w:sz w:val="24"/>
                <w:szCs w:val="24"/>
                <w:highlight w:val="green"/>
                <w:lang w:val="en-US" w:eastAsia="zh-CN"/>
              </w:rPr>
            </w:pPr>
            <w:r>
              <w:rPr>
                <w:rFonts w:ascii="Times New Roman"/>
                <w:b w:val="0"/>
                <w:bCs/>
                <w:color w:val="auto"/>
                <w:kern w:val="2"/>
                <w:sz w:val="24"/>
                <w:szCs w:val="24"/>
                <w:highlight w:val="none"/>
                <w:lang w:val="en-US" w:eastAsia="zh-CN"/>
              </w:rPr>
              <w:t>工艺流程和产排污环节</w:t>
            </w:r>
          </w:p>
        </w:tc>
        <w:tc>
          <w:tcPr>
            <w:tcW w:w="8958" w:type="dxa"/>
            <w:noWrap w:val="0"/>
            <w:vAlign w:val="top"/>
          </w:tcPr>
          <w:p w14:paraId="0972EBB4">
            <w:pPr>
              <w:adjustRightInd w:val="0"/>
              <w:snapToGrid w:val="0"/>
              <w:jc w:val="both"/>
              <w:rPr>
                <w:color w:val="auto"/>
                <w:sz w:val="24"/>
                <w:szCs w:val="24"/>
                <w:highlight w:val="none"/>
              </w:rPr>
            </w:pPr>
            <w:r>
              <w:rPr>
                <w:rFonts w:hint="eastAsia" w:hAnsi="宋体" w:eastAsia="宋体"/>
                <w:b w:val="0"/>
                <w:bCs/>
                <w:color w:val="auto"/>
                <w:kern w:val="0"/>
                <w:sz w:val="24"/>
                <w:szCs w:val="24"/>
                <w:highlight w:val="none"/>
                <w:lang w:val="en-US" w:eastAsia="zh-CN"/>
              </w:rPr>
              <w:t>一</w:t>
            </w:r>
            <w:r>
              <w:rPr>
                <w:rFonts w:hint="eastAsia"/>
                <w:color w:val="auto"/>
                <w:sz w:val="24"/>
                <w:szCs w:val="24"/>
                <w:highlight w:val="none"/>
                <w:lang w:val="en-US" w:eastAsia="zh-CN"/>
              </w:rPr>
              <w:t>、</w:t>
            </w:r>
            <w:r>
              <w:rPr>
                <w:color w:val="auto"/>
                <w:sz w:val="24"/>
                <w:szCs w:val="24"/>
                <w:highlight w:val="none"/>
              </w:rPr>
              <w:t>运营期</w:t>
            </w:r>
          </w:p>
          <w:p w14:paraId="609DC790">
            <w:pPr>
              <w:spacing w:line="360" w:lineRule="auto"/>
              <w:ind w:firstLine="480" w:firstLineChars="200"/>
              <w:jc w:val="left"/>
              <w:textAlignment w:val="baseline"/>
              <w:rPr>
                <w:rFonts w:hint="eastAsia"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1.</w:t>
            </w:r>
            <w:r>
              <w:rPr>
                <w:rFonts w:hint="eastAsia" w:ascii="Times New Roman" w:hAnsi="Times New Roman" w:eastAsia="宋体" w:cs="Times New Roman"/>
                <w:color w:val="auto"/>
                <w:sz w:val="24"/>
                <w:szCs w:val="24"/>
                <w:highlight w:val="none"/>
              </w:rPr>
              <w:t>工艺流程</w:t>
            </w:r>
          </w:p>
          <w:p w14:paraId="5F04EE1E">
            <w:pPr>
              <w:spacing w:line="360" w:lineRule="auto"/>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eastAsia="zh-CN"/>
              </w:rPr>
              <w:t>）</w:t>
            </w:r>
            <w:r>
              <w:rPr>
                <w:rFonts w:hint="eastAsia" w:cs="Times New Roman"/>
                <w:color w:val="auto"/>
                <w:sz w:val="24"/>
                <w:szCs w:val="24"/>
                <w:highlight w:val="none"/>
                <w:lang w:val="en-US" w:eastAsia="zh-CN"/>
              </w:rPr>
              <w:t>燃气锅炉</w:t>
            </w:r>
            <w:r>
              <w:rPr>
                <w:rFonts w:hint="default" w:ascii="Times New Roman" w:hAnsi="Times New Roman" w:cs="Times New Roman"/>
                <w:color w:val="auto"/>
                <w:sz w:val="24"/>
                <w:szCs w:val="24"/>
                <w:highlight w:val="none"/>
                <w:lang w:val="en-US" w:eastAsia="zh-CN"/>
              </w:rPr>
              <w:t>工作原理及产物环节示意图</w:t>
            </w:r>
            <w:r>
              <w:rPr>
                <w:rFonts w:hint="eastAsia" w:cs="Times New Roman"/>
                <w:color w:val="auto"/>
                <w:sz w:val="24"/>
                <w:szCs w:val="24"/>
                <w:highlight w:val="none"/>
                <w:lang w:val="en-US" w:eastAsia="zh-CN"/>
              </w:rPr>
              <w:t>：</w:t>
            </w:r>
          </w:p>
          <w:p w14:paraId="511268FF">
            <w:pPr>
              <w:pStyle w:val="36"/>
              <w:ind w:left="0" w:leftChars="0" w:firstLine="0" w:firstLineChars="0"/>
              <w:rPr>
                <w:color w:val="auto"/>
                <w:sz w:val="20"/>
                <w:highlight w:val="none"/>
              </w:rPr>
            </w:pPr>
            <w:r>
              <w:rPr>
                <w:rFonts w:hint="default" w:ascii="Times New Roman" w:hAnsi="Times New Roman" w:cs="Times New Roman"/>
                <w:color w:val="auto"/>
                <w:highlight w:val="none"/>
              </w:rPr>
              <w:object>
                <v:shape id="_x0000_i1025" o:spt="75" type="#_x0000_t75" style="height:239.35pt;width:386.7pt;" o:ole="t" filled="f" o:preferrelative="t" stroked="f" coordsize="21600,21600">
                  <v:path/>
                  <v:fill on="f" focussize="0,0"/>
                  <v:stroke on="f"/>
                  <v:imagedata r:id="rId12" cropright="5385f" cropbottom="1509f" o:title=""/>
                  <o:lock v:ext="edit" aspectratio="t"/>
                  <w10:wrap type="none"/>
                  <w10:anchorlock/>
                </v:shape>
                <o:OLEObject Type="Embed" ProgID="Visio.Drawing.11" ShapeID="_x0000_i1025" DrawAspect="Content" ObjectID="_1468075725" r:id="rId11">
                  <o:LockedField>false</o:LockedField>
                </o:OLEObject>
              </w:object>
            </w:r>
          </w:p>
          <w:p w14:paraId="47B68D78">
            <w:pPr>
              <w:spacing w:line="360" w:lineRule="auto"/>
              <w:ind w:firstLine="482" w:firstLineChars="200"/>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图2</w:t>
            </w:r>
            <w:r>
              <w:rPr>
                <w:rFonts w:hint="default" w:ascii="Times New Roman" w:hAnsi="Times New Roman" w:cs="Times New Roman"/>
                <w:b/>
                <w:bCs/>
                <w:color w:val="auto"/>
                <w:sz w:val="24"/>
                <w:szCs w:val="24"/>
                <w:highlight w:val="none"/>
                <w:lang w:val="en-US" w:eastAsia="zh-CN"/>
              </w:rPr>
              <w:t>-</w:t>
            </w:r>
            <w:r>
              <w:rPr>
                <w:rFonts w:hint="eastAsia" w:cs="Times New Roman"/>
                <w:b/>
                <w:bCs/>
                <w:color w:val="auto"/>
                <w:sz w:val="24"/>
                <w:szCs w:val="24"/>
                <w:highlight w:val="none"/>
                <w:lang w:val="en-US" w:eastAsia="zh-CN"/>
              </w:rPr>
              <w:t>2</w:t>
            </w:r>
            <w:r>
              <w:rPr>
                <w:rFonts w:hint="default" w:ascii="Times New Roman" w:hAnsi="Times New Roman" w:cs="Times New Roman"/>
                <w:b/>
                <w:bCs/>
                <w:color w:val="auto"/>
                <w:sz w:val="24"/>
                <w:szCs w:val="24"/>
                <w:highlight w:val="none"/>
              </w:rPr>
              <w:t xml:space="preserve">  </w:t>
            </w:r>
            <w:r>
              <w:rPr>
                <w:rFonts w:hint="default" w:ascii="Times New Roman" w:hAnsi="Times New Roman" w:cs="Times New Roman"/>
                <w:b/>
                <w:bCs/>
                <w:color w:val="auto"/>
                <w:sz w:val="24"/>
                <w:szCs w:val="24"/>
                <w:highlight w:val="none"/>
                <w:lang w:val="en-US" w:eastAsia="zh-CN"/>
              </w:rPr>
              <w:t>天然气锅炉工艺</w:t>
            </w:r>
            <w:r>
              <w:rPr>
                <w:rFonts w:hint="default" w:ascii="Times New Roman" w:hAnsi="Times New Roman" w:cs="Times New Roman"/>
                <w:b/>
                <w:bCs/>
                <w:color w:val="auto"/>
                <w:sz w:val="24"/>
                <w:szCs w:val="24"/>
                <w:highlight w:val="none"/>
              </w:rPr>
              <w:t>流程及产污环节图</w:t>
            </w:r>
          </w:p>
          <w:p w14:paraId="3B07F946">
            <w:pPr>
              <w:pStyle w:val="193"/>
              <w:keepNext w:val="0"/>
              <w:keepLines w:val="0"/>
              <w:pageBreakBefore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天然气锅炉运行流程及产污环节流程简述</w:t>
            </w:r>
            <w:r>
              <w:rPr>
                <w:rFonts w:hint="default" w:ascii="Times New Roman" w:hAnsi="Times New Roman" w:cs="Times New Roman"/>
                <w:color w:val="auto"/>
                <w:sz w:val="24"/>
                <w:szCs w:val="24"/>
                <w:highlight w:val="none"/>
              </w:rPr>
              <w:t>：</w:t>
            </w:r>
          </w:p>
          <w:p w14:paraId="7A59AFAB">
            <w:pPr>
              <w:keepNext w:val="0"/>
              <w:keepLines w:val="0"/>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eastAsia" w:ascii="宋体" w:hAnsi="宋体" w:eastAsia="宋体" w:cs="宋体"/>
                <w:color w:val="auto"/>
                <w:sz w:val="24"/>
                <w:szCs w:val="24"/>
                <w:highlight w:val="none"/>
              </w:rPr>
              <w:t>①</w:t>
            </w:r>
            <w:r>
              <w:rPr>
                <w:rFonts w:hint="default" w:ascii="Times New Roman" w:hAnsi="Times New Roman" w:cs="Times New Roman"/>
                <w:color w:val="auto"/>
                <w:sz w:val="24"/>
                <w:szCs w:val="24"/>
                <w:highlight w:val="none"/>
              </w:rPr>
              <w:t>项目锅炉以天然气为燃料，锅炉主要由燃烧器和炉膛组成，燃料通过管道送入炉膛中燃烧，使得炉内软水加热</w:t>
            </w:r>
            <w:r>
              <w:rPr>
                <w:rFonts w:hint="default" w:ascii="Times New Roman" w:hAnsi="Times New Roman" w:cs="Times New Roman"/>
                <w:color w:val="auto"/>
                <w:sz w:val="24"/>
                <w:szCs w:val="24"/>
                <w:highlight w:val="none"/>
                <w:lang w:val="en-US" w:eastAsia="zh-CN"/>
              </w:rPr>
              <w:t>后通过供暖管道输送至</w:t>
            </w:r>
            <w:r>
              <w:rPr>
                <w:rFonts w:hint="eastAsia" w:ascii="Times New Roman" w:hAnsi="Times New Roman" w:cs="Times New Roman"/>
                <w:color w:val="auto"/>
                <w:sz w:val="24"/>
                <w:szCs w:val="24"/>
                <w:highlight w:val="none"/>
                <w:lang w:val="en-US" w:eastAsia="zh-CN"/>
              </w:rPr>
              <w:t>小区住户进行</w:t>
            </w:r>
            <w:r>
              <w:rPr>
                <w:rFonts w:hint="default" w:ascii="Times New Roman" w:hAnsi="Times New Roman" w:cs="Times New Roman"/>
                <w:color w:val="auto"/>
                <w:sz w:val="24"/>
                <w:szCs w:val="24"/>
                <w:highlight w:val="none"/>
              </w:rPr>
              <w:t>供热。该工序产生的主要污染物为锅炉燃烧的烟气，主要</w:t>
            </w:r>
            <w:r>
              <w:rPr>
                <w:rFonts w:hint="default" w:ascii="Times New Roman" w:hAnsi="Times New Roman" w:cs="Times New Roman"/>
                <w:color w:val="auto"/>
                <w:sz w:val="24"/>
                <w:szCs w:val="24"/>
                <w:highlight w:val="none"/>
                <w:lang w:val="en-US" w:eastAsia="zh-CN"/>
              </w:rPr>
              <w:t>污染物</w:t>
            </w:r>
            <w:r>
              <w:rPr>
                <w:rFonts w:hint="default" w:ascii="Times New Roman" w:hAnsi="Times New Roman" w:cs="Times New Roman"/>
                <w:color w:val="auto"/>
                <w:sz w:val="24"/>
                <w:szCs w:val="24"/>
                <w:highlight w:val="none"/>
              </w:rPr>
              <w:t>为</w:t>
            </w:r>
            <w:r>
              <w:rPr>
                <w:rFonts w:hint="eastAsia" w:cs="Times New Roman"/>
                <w:color w:val="auto"/>
                <w:sz w:val="24"/>
                <w:szCs w:val="24"/>
                <w:highlight w:val="none"/>
                <w:lang w:eastAsia="zh-CN"/>
              </w:rPr>
              <w:t>颗粒物</w:t>
            </w:r>
            <w:r>
              <w:rPr>
                <w:rFonts w:hint="default" w:ascii="Times New Roman" w:hAnsi="Times New Roman" w:cs="Times New Roman"/>
                <w:color w:val="auto"/>
                <w:sz w:val="24"/>
                <w:szCs w:val="24"/>
                <w:highlight w:val="none"/>
              </w:rPr>
              <w:t>、SO</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、NOx。</w:t>
            </w:r>
          </w:p>
          <w:p w14:paraId="5B161433">
            <w:pPr>
              <w:pStyle w:val="3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w:t>
            </w:r>
            <w:r>
              <w:rPr>
                <w:rFonts w:hint="default" w:ascii="Times New Roman" w:hAnsi="Times New Roman" w:cs="Times New Roman"/>
                <w:color w:val="auto"/>
                <w:sz w:val="24"/>
                <w:szCs w:val="24"/>
                <w:highlight w:val="none"/>
                <w:lang w:val="en-US" w:eastAsia="zh-CN"/>
              </w:rPr>
              <w:t>自来水中含有少量的钙、镁离子容易在锅炉内壁结垢，对锅炉产生一定的影响。锅炉用水进入锅炉前需进行软化处理，降低水的硬度，软水制备系统是采用离子交换原理，去除水中钙、镁等结垢离子，通常由控制器、树脂罐、盐罐组成的一体化设备。系统采用虹吸原理吸盐，自动注水化盐、配比浓度无需盐泵、溶盐等附属设备，主要技术原理如下：</w:t>
            </w:r>
          </w:p>
          <w:p w14:paraId="543A542F">
            <w:pPr>
              <w:pStyle w:val="3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软水（交换）采用离子交换的原理除去水中的硬度，在交换塔内当离子交换树脂与原水相遇时，水中的钙（Ca）、镁（Mg）等离子与树脂（NaR）进行反应，从而去除水中的钙、镁盐类，使硬水成为软水，其反应方程为：</w:t>
            </w:r>
          </w:p>
          <w:p w14:paraId="73FF7FB2">
            <w:pPr>
              <w:pStyle w:val="3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CaR</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vertAlign w:val="superscript"/>
              </w:rPr>
              <w:t>+</w:t>
            </w:r>
            <w:r>
              <w:rPr>
                <w:rFonts w:hint="default" w:ascii="Times New Roman" w:hAnsi="Times New Roman" w:cs="Times New Roman"/>
                <w:color w:val="auto"/>
                <w:sz w:val="24"/>
                <w:szCs w:val="24"/>
                <w:highlight w:val="none"/>
              </w:rPr>
              <w:t>+2NaR→CaR</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+2Na</w:t>
            </w:r>
            <w:r>
              <w:rPr>
                <w:rFonts w:hint="default" w:ascii="Times New Roman" w:hAnsi="Times New Roman" w:cs="Times New Roman"/>
                <w:color w:val="auto"/>
                <w:sz w:val="24"/>
                <w:szCs w:val="24"/>
                <w:highlight w:val="none"/>
                <w:vertAlign w:val="superscript"/>
              </w:rPr>
              <w:t>+</w:t>
            </w:r>
            <w:r>
              <w:rPr>
                <w:rFonts w:hint="default" w:ascii="Times New Roman" w:hAnsi="Times New Roman" w:cs="Times New Roman"/>
                <w:color w:val="auto"/>
                <w:sz w:val="24"/>
                <w:szCs w:val="24"/>
                <w:highlight w:val="none"/>
              </w:rPr>
              <w:t xml:space="preserve">        MgR</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vertAlign w:val="superscript"/>
              </w:rPr>
              <w:t>+</w:t>
            </w:r>
            <w:r>
              <w:rPr>
                <w:rFonts w:hint="default" w:ascii="Times New Roman" w:hAnsi="Times New Roman" w:cs="Times New Roman"/>
                <w:color w:val="auto"/>
                <w:sz w:val="24"/>
                <w:szCs w:val="24"/>
                <w:highlight w:val="none"/>
              </w:rPr>
              <w:t>+2NaR→MgR</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+2Na</w:t>
            </w:r>
            <w:r>
              <w:rPr>
                <w:rFonts w:hint="default" w:ascii="Times New Roman" w:hAnsi="Times New Roman" w:cs="Times New Roman"/>
                <w:color w:val="auto"/>
                <w:sz w:val="24"/>
                <w:szCs w:val="24"/>
                <w:highlight w:val="none"/>
                <w:vertAlign w:val="superscript"/>
              </w:rPr>
              <w:t>+</w:t>
            </w:r>
            <w:r>
              <w:rPr>
                <w:rFonts w:hint="default" w:ascii="Times New Roman" w:hAnsi="Times New Roman" w:cs="Times New Roman"/>
                <w:color w:val="auto"/>
                <w:sz w:val="24"/>
                <w:szCs w:val="24"/>
                <w:highlight w:val="none"/>
              </w:rPr>
              <w:t>（-R为树脂团）</w:t>
            </w:r>
          </w:p>
          <w:p w14:paraId="6ACE5B76">
            <w:pPr>
              <w:pStyle w:val="30"/>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left="0" w:leftChars="0"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与原水交换后的树脂</w:t>
            </w:r>
            <w:r>
              <w:rPr>
                <w:rFonts w:hint="eastAsia" w:ascii="Times New Roman" w:hAnsi="Times New Roman" w:cs="Times New Roman"/>
                <w:color w:val="auto"/>
                <w:sz w:val="24"/>
                <w:szCs w:val="24"/>
                <w:highlight w:val="none"/>
                <w:lang w:val="en-US" w:eastAsia="zh-CN"/>
              </w:rPr>
              <w:t>称为</w:t>
            </w:r>
            <w:r>
              <w:rPr>
                <w:rFonts w:hint="default" w:ascii="Times New Roman" w:hAnsi="Times New Roman" w:cs="Times New Roman"/>
                <w:color w:val="auto"/>
                <w:sz w:val="24"/>
                <w:szCs w:val="24"/>
                <w:highlight w:val="none"/>
                <w:lang w:val="en-US" w:eastAsia="zh-CN"/>
              </w:rPr>
              <w:t>饱和树脂，饱和树脂由位差压力送入再生塔，在再生塔内与盐水置换反应，还原成新生树脂恢复焦化能力，经清洗塔清洗后由喷射器将树脂送回交换塔。其反应方程为：</w:t>
            </w:r>
          </w:p>
          <w:p w14:paraId="5E7BFD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CaR</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+2NaCl→CaCl</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+2NaR        MgR</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+2NaCl→MgCl</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+2NaR</w:t>
            </w:r>
          </w:p>
          <w:p w14:paraId="1B3ED5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此过程会产生软水制备废水和废离子交换树脂。</w:t>
            </w:r>
          </w:p>
          <w:p w14:paraId="337045C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运营期换热站工作原理及产物环节示意图：</w:t>
            </w:r>
          </w:p>
          <w:p w14:paraId="09C0C9B1">
            <w:pPr>
              <w:pStyle w:val="30"/>
              <w:numPr>
                <w:ilvl w:val="0"/>
                <w:numId w:val="0"/>
              </w:num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114300" distR="114300">
                  <wp:extent cx="4853305" cy="1832610"/>
                  <wp:effectExtent l="0" t="0" r="4445" b="15240"/>
                  <wp:docPr id="3" name="图片 2" descr="IMG_25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14"/>
                          <a:stretch>
                            <a:fillRect/>
                          </a:stretch>
                        </pic:blipFill>
                        <pic:spPr>
                          <a:xfrm>
                            <a:off x="0" y="0"/>
                            <a:ext cx="4853305" cy="1832610"/>
                          </a:xfrm>
                          <a:prstGeom prst="rect">
                            <a:avLst/>
                          </a:prstGeom>
                          <a:noFill/>
                          <a:ln w="9525">
                            <a:noFill/>
                          </a:ln>
                        </pic:spPr>
                      </pic:pic>
                    </a:graphicData>
                  </a:graphic>
                </wp:inline>
              </w:drawing>
            </w:r>
          </w:p>
          <w:p w14:paraId="786F79BF">
            <w:pPr>
              <w:spacing w:line="360" w:lineRule="auto"/>
              <w:ind w:firstLine="482" w:firstLineChars="200"/>
              <w:jc w:val="center"/>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rPr>
              <w:t>图2</w:t>
            </w:r>
            <w:r>
              <w:rPr>
                <w:rFonts w:hint="default" w:ascii="Times New Roman" w:hAnsi="Times New Roman" w:cs="Times New Roman"/>
                <w:b/>
                <w:bCs/>
                <w:color w:val="auto"/>
                <w:sz w:val="24"/>
                <w:szCs w:val="24"/>
                <w:highlight w:val="none"/>
                <w:lang w:val="en-US" w:eastAsia="zh-CN"/>
              </w:rPr>
              <w:t>-</w:t>
            </w:r>
            <w:r>
              <w:rPr>
                <w:rFonts w:hint="eastAsia" w:cs="Times New Roman"/>
                <w:b/>
                <w:bCs/>
                <w:color w:val="auto"/>
                <w:sz w:val="24"/>
                <w:szCs w:val="24"/>
                <w:highlight w:val="none"/>
                <w:lang w:val="en-US" w:eastAsia="zh-CN"/>
              </w:rPr>
              <w:t>3</w:t>
            </w:r>
            <w:r>
              <w:rPr>
                <w:rFonts w:hint="default" w:ascii="Times New Roman" w:hAnsi="Times New Roman" w:cs="Times New Roman"/>
                <w:b/>
                <w:bCs/>
                <w:color w:val="auto"/>
                <w:sz w:val="24"/>
                <w:szCs w:val="24"/>
                <w:highlight w:val="none"/>
              </w:rPr>
              <w:t xml:space="preserve">  </w:t>
            </w:r>
            <w:r>
              <w:rPr>
                <w:rFonts w:hint="default" w:ascii="Times New Roman" w:hAnsi="Times New Roman" w:cs="Times New Roman"/>
                <w:b/>
                <w:bCs/>
                <w:color w:val="auto"/>
                <w:sz w:val="24"/>
                <w:szCs w:val="24"/>
                <w:highlight w:val="none"/>
                <w:lang w:val="en-US" w:eastAsia="zh-CN"/>
              </w:rPr>
              <w:t>换热站工作原理</w:t>
            </w:r>
            <w:r>
              <w:rPr>
                <w:rFonts w:hint="default" w:ascii="Times New Roman" w:hAnsi="Times New Roman" w:cs="Times New Roman"/>
                <w:b/>
                <w:bCs/>
                <w:color w:val="auto"/>
                <w:sz w:val="24"/>
                <w:szCs w:val="24"/>
                <w:highlight w:val="none"/>
              </w:rPr>
              <w:t>及产污环节图</w:t>
            </w:r>
          </w:p>
          <w:p w14:paraId="0B7D8838">
            <w:pPr>
              <w:pStyle w:val="3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szCs w:val="24"/>
                <w:highlight w:val="none"/>
                <w:lang w:val="en-US"/>
              </w:rPr>
            </w:pPr>
            <w:r>
              <w:rPr>
                <w:rFonts w:hint="default" w:ascii="Times New Roman" w:hAnsi="Times New Roman" w:cs="Times New Roman"/>
                <w:color w:val="auto"/>
                <w:sz w:val="24"/>
                <w:szCs w:val="24"/>
                <w:highlight w:val="none"/>
                <w:lang w:val="en-US" w:eastAsia="zh-CN"/>
              </w:rPr>
              <w:t>换热站工作原理及产物环节简述：</w:t>
            </w:r>
          </w:p>
          <w:p w14:paraId="7E74C99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w:t>
            </w:r>
            <w:r>
              <w:rPr>
                <w:rFonts w:hint="default" w:ascii="Times New Roman" w:hAnsi="Times New Roman" w:cs="Times New Roman"/>
                <w:color w:val="auto"/>
                <w:sz w:val="24"/>
                <w:szCs w:val="24"/>
                <w:highlight w:val="none"/>
                <w:lang w:val="en-US" w:eastAsia="zh-CN"/>
              </w:rPr>
              <w:t>换热器是将热流体的部分热量传递给冷流体的设备，即在一个大的密闭容器内装上水或其他介质，而在容器内有管道穿过，让热水从管道流过。由于管道内热水和容器内冷热水的温差，会形成热交换（热平衡），高温物体的热量总是向低温物体传递，这样就把管道里的热量交换给了容器内的冷水。</w:t>
            </w:r>
          </w:p>
          <w:p w14:paraId="1E5B848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w:t>
            </w:r>
            <w:r>
              <w:rPr>
                <w:rFonts w:hint="default" w:ascii="Times New Roman" w:hAnsi="Times New Roman" w:cs="Times New Roman"/>
                <w:color w:val="auto"/>
                <w:sz w:val="24"/>
                <w:szCs w:val="24"/>
                <w:highlight w:val="none"/>
                <w:lang w:val="en-US" w:eastAsia="zh-CN"/>
              </w:rPr>
              <w:t>锅炉热水（90℃）通过一级管网进入换热器，将热量传递给换热器内的热水，待换热器内水温升至70℃左右，换热后的锅炉水通过一级回水管网流回至锅炉循环加热。</w:t>
            </w:r>
          </w:p>
          <w:p w14:paraId="3B2EA4A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③</w:t>
            </w:r>
            <w:r>
              <w:rPr>
                <w:rFonts w:hint="default" w:ascii="Times New Roman" w:hAnsi="Times New Roman" w:cs="Times New Roman"/>
                <w:color w:val="auto"/>
                <w:sz w:val="24"/>
                <w:szCs w:val="24"/>
                <w:highlight w:val="none"/>
                <w:lang w:val="en-US" w:eastAsia="zh-CN"/>
              </w:rPr>
              <w:t>换热器内的热水（换热后温度升高至70℃左右）通过二级管网将热水传递给用热住户，当管道内热水温度降低后通过二级回水管网流回至换热器内继续加热，由于供热过程中管道中水会有损耗，因此需要进行补水。</w:t>
            </w:r>
          </w:p>
          <w:p w14:paraId="3492E242">
            <w:pPr>
              <w:spacing w:line="360" w:lineRule="auto"/>
              <w:ind w:firstLine="480" w:firstLineChars="200"/>
              <w:jc w:val="left"/>
              <w:textAlignment w:val="baseline"/>
              <w:rPr>
                <w:rFonts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rPr>
              <w:t>产排污环节</w:t>
            </w:r>
          </w:p>
          <w:p w14:paraId="57648A96">
            <w:pPr>
              <w:spacing w:line="360" w:lineRule="auto"/>
              <w:ind w:firstLine="480" w:firstLineChars="200"/>
              <w:jc w:val="left"/>
              <w:textAlignment w:val="baseline"/>
              <w:rPr>
                <w:rFonts w:hint="eastAsia"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color w:val="auto"/>
                <w:sz w:val="24"/>
                <w:szCs w:val="24"/>
                <w:highlight w:val="none"/>
              </w:rPr>
              <w:t>本项目产排污环节</w:t>
            </w:r>
            <w:r>
              <w:rPr>
                <w:rFonts w:hint="eastAsia" w:ascii="Times New Roman" w:hAnsi="Times New Roman" w:eastAsia="宋体" w:cs="Times New Roman"/>
                <w:b w:val="0"/>
                <w:bCs w:val="0"/>
                <w:color w:val="auto"/>
                <w:sz w:val="24"/>
                <w:szCs w:val="24"/>
                <w:highlight w:val="none"/>
              </w:rPr>
              <w:t>内容见表</w:t>
            </w:r>
            <w:r>
              <w:rPr>
                <w:rFonts w:ascii="Times New Roman" w:hAnsi="Times New Roman" w:eastAsia="宋体" w:cs="Times New Roman"/>
                <w:b w:val="0"/>
                <w:bCs w:val="0"/>
                <w:color w:val="auto"/>
                <w:sz w:val="24"/>
                <w:szCs w:val="24"/>
                <w:highlight w:val="none"/>
              </w:rPr>
              <w:t>2-</w:t>
            </w:r>
            <w:r>
              <w:rPr>
                <w:rFonts w:hint="eastAsia" w:cs="Times New Roman"/>
                <w:b w:val="0"/>
                <w:bCs w:val="0"/>
                <w:color w:val="auto"/>
                <w:sz w:val="24"/>
                <w:szCs w:val="24"/>
                <w:highlight w:val="none"/>
                <w:lang w:val="en-US" w:eastAsia="zh-CN"/>
              </w:rPr>
              <w:t>6</w:t>
            </w:r>
            <w:r>
              <w:rPr>
                <w:rFonts w:hint="eastAsia" w:ascii="Times New Roman" w:hAnsi="Times New Roman" w:eastAsia="宋体" w:cs="Times New Roman"/>
                <w:b w:val="0"/>
                <w:bCs w:val="0"/>
                <w:color w:val="auto"/>
                <w:sz w:val="24"/>
                <w:szCs w:val="24"/>
                <w:highlight w:val="none"/>
              </w:rPr>
              <w:t>。</w:t>
            </w:r>
          </w:p>
          <w:p w14:paraId="30664B83">
            <w:pPr>
              <w:pStyle w:val="179"/>
              <w:rPr>
                <w:rFonts w:cs="Times New Roman"/>
                <w:b w:val="0"/>
                <w:bCs w:val="0"/>
                <w:color w:val="auto"/>
                <w:sz w:val="24"/>
                <w:szCs w:val="24"/>
                <w:highlight w:val="none"/>
              </w:rPr>
            </w:pPr>
            <w:r>
              <w:rPr>
                <w:rFonts w:hint="eastAsia" w:cs="Times New Roman"/>
                <w:b/>
                <w:bCs/>
                <w:color w:val="auto"/>
                <w:sz w:val="24"/>
                <w:szCs w:val="24"/>
                <w:highlight w:val="none"/>
              </w:rPr>
              <w:t>表</w:t>
            </w:r>
            <w:r>
              <w:rPr>
                <w:rFonts w:cs="Times New Roman"/>
                <w:b/>
                <w:bCs/>
                <w:color w:val="auto"/>
                <w:sz w:val="24"/>
                <w:szCs w:val="24"/>
                <w:highlight w:val="none"/>
              </w:rPr>
              <w:t>2-</w:t>
            </w:r>
            <w:r>
              <w:rPr>
                <w:rFonts w:hint="eastAsia" w:cs="Times New Roman"/>
                <w:b/>
                <w:bCs/>
                <w:color w:val="auto"/>
                <w:sz w:val="24"/>
                <w:szCs w:val="24"/>
                <w:highlight w:val="none"/>
                <w:lang w:val="en-US" w:eastAsia="zh-CN"/>
              </w:rPr>
              <w:t xml:space="preserve">6 </w:t>
            </w:r>
            <w:r>
              <w:rPr>
                <w:rFonts w:cs="Times New Roman"/>
                <w:b/>
                <w:bCs/>
                <w:color w:val="auto"/>
                <w:sz w:val="24"/>
                <w:szCs w:val="24"/>
                <w:highlight w:val="none"/>
              </w:rPr>
              <w:t xml:space="preserve">  </w:t>
            </w:r>
            <w:r>
              <w:rPr>
                <w:rFonts w:hint="eastAsia" w:cs="Times New Roman"/>
                <w:b/>
                <w:bCs/>
                <w:color w:val="auto"/>
                <w:sz w:val="24"/>
                <w:szCs w:val="24"/>
                <w:highlight w:val="none"/>
                <w:lang w:val="en-US" w:eastAsia="zh-CN"/>
              </w:rPr>
              <w:t>项目</w:t>
            </w:r>
            <w:r>
              <w:rPr>
                <w:rFonts w:hint="eastAsia" w:cs="Times New Roman"/>
                <w:b/>
                <w:bCs/>
                <w:color w:val="auto"/>
                <w:sz w:val="24"/>
                <w:szCs w:val="24"/>
                <w:highlight w:val="none"/>
              </w:rPr>
              <w:t>产排污环节一览表</w:t>
            </w:r>
          </w:p>
          <w:tbl>
            <w:tblPr>
              <w:tblStyle w:val="37"/>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2"/>
              <w:gridCol w:w="2063"/>
              <w:gridCol w:w="1299"/>
              <w:gridCol w:w="1897"/>
              <w:gridCol w:w="2806"/>
            </w:tblGrid>
            <w:tr w14:paraId="53D420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4" w:type="pct"/>
                  <w:tcBorders>
                    <w:tl2br w:val="nil"/>
                    <w:tr2bl w:val="nil"/>
                  </w:tcBorders>
                  <w:noWrap w:val="0"/>
                  <w:vAlign w:val="center"/>
                </w:tcPr>
                <w:p w14:paraId="304F6F3C">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类别</w:t>
                  </w:r>
                </w:p>
              </w:tc>
              <w:tc>
                <w:tcPr>
                  <w:tcW w:w="1180" w:type="pct"/>
                  <w:tcBorders>
                    <w:tl2br w:val="nil"/>
                    <w:tr2bl w:val="nil"/>
                  </w:tcBorders>
                  <w:noWrap w:val="0"/>
                  <w:vAlign w:val="center"/>
                </w:tcPr>
                <w:p w14:paraId="3FC1FDB0">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生产工序/产污环节</w:t>
                  </w:r>
                </w:p>
              </w:tc>
              <w:tc>
                <w:tcPr>
                  <w:tcW w:w="743" w:type="pct"/>
                  <w:tcBorders>
                    <w:tl2br w:val="nil"/>
                    <w:tr2bl w:val="nil"/>
                  </w:tcBorders>
                  <w:noWrap w:val="0"/>
                  <w:vAlign w:val="center"/>
                </w:tcPr>
                <w:p w14:paraId="6F894988">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污染物类型</w:t>
                  </w:r>
                </w:p>
              </w:tc>
              <w:tc>
                <w:tcPr>
                  <w:tcW w:w="1085" w:type="pct"/>
                  <w:tcBorders>
                    <w:tl2br w:val="nil"/>
                    <w:tr2bl w:val="nil"/>
                  </w:tcBorders>
                  <w:noWrap w:val="0"/>
                  <w:vAlign w:val="center"/>
                </w:tcPr>
                <w:p w14:paraId="03926438">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污染因子</w:t>
                  </w:r>
                </w:p>
              </w:tc>
              <w:tc>
                <w:tcPr>
                  <w:tcW w:w="1605" w:type="pct"/>
                  <w:tcBorders>
                    <w:tl2br w:val="nil"/>
                    <w:tr2bl w:val="nil"/>
                  </w:tcBorders>
                  <w:noWrap w:val="0"/>
                  <w:vAlign w:val="center"/>
                </w:tcPr>
                <w:p w14:paraId="183F9DFB">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治理措施</w:t>
                  </w:r>
                </w:p>
              </w:tc>
            </w:tr>
            <w:tr w14:paraId="46C7FF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4" w:type="pct"/>
                  <w:tcBorders>
                    <w:tl2br w:val="nil"/>
                    <w:tr2bl w:val="nil"/>
                  </w:tcBorders>
                  <w:noWrap w:val="0"/>
                  <w:vAlign w:val="center"/>
                </w:tcPr>
                <w:p w14:paraId="219061EF">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废气</w:t>
                  </w:r>
                </w:p>
              </w:tc>
              <w:tc>
                <w:tcPr>
                  <w:tcW w:w="1180" w:type="pct"/>
                  <w:tcBorders>
                    <w:tl2br w:val="nil"/>
                    <w:tr2bl w:val="nil"/>
                  </w:tcBorders>
                  <w:noWrap w:val="0"/>
                  <w:vAlign w:val="center"/>
                </w:tcPr>
                <w:p w14:paraId="2C4716AE">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锅炉</w:t>
                  </w:r>
                </w:p>
              </w:tc>
              <w:tc>
                <w:tcPr>
                  <w:tcW w:w="743" w:type="pct"/>
                  <w:tcBorders>
                    <w:tl2br w:val="nil"/>
                    <w:tr2bl w:val="nil"/>
                  </w:tcBorders>
                  <w:noWrap w:val="0"/>
                  <w:vAlign w:val="center"/>
                </w:tcPr>
                <w:p w14:paraId="1B66C6E6">
                  <w:pPr>
                    <w:adjustRightInd w:val="0"/>
                    <w:snapToGrid w:val="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rPr>
                    <w:t>锅炉</w:t>
                  </w:r>
                  <w:r>
                    <w:rPr>
                      <w:rFonts w:hint="eastAsia" w:ascii="Times New Roman" w:hAnsi="Times New Roman" w:eastAsia="宋体" w:cs="Times New Roman"/>
                      <w:color w:val="auto"/>
                      <w:sz w:val="21"/>
                      <w:szCs w:val="21"/>
                      <w:highlight w:val="none"/>
                      <w:lang w:val="en-US" w:eastAsia="zh-CN"/>
                    </w:rPr>
                    <w:t>烟气</w:t>
                  </w:r>
                </w:p>
              </w:tc>
              <w:tc>
                <w:tcPr>
                  <w:tcW w:w="1085" w:type="pct"/>
                  <w:tcBorders>
                    <w:tl2br w:val="nil"/>
                    <w:tr2bl w:val="nil"/>
                  </w:tcBorders>
                  <w:noWrap w:val="0"/>
                  <w:vAlign w:val="center"/>
                </w:tcPr>
                <w:p w14:paraId="6FE23AAA">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rPr>
                    <w:t>颗粒物、SO</w:t>
                  </w:r>
                  <w:r>
                    <w:rPr>
                      <w:rFonts w:hint="eastAsia" w:ascii="Times New Roman" w:hAnsi="Times New Roman" w:eastAsia="宋体" w:cs="Times New Roman"/>
                      <w:color w:val="auto"/>
                      <w:sz w:val="21"/>
                      <w:szCs w:val="21"/>
                      <w:highlight w:val="none"/>
                      <w:vertAlign w:val="subscript"/>
                    </w:rPr>
                    <w:t>2</w:t>
                  </w:r>
                  <w:r>
                    <w:rPr>
                      <w:rFonts w:hint="eastAsia" w:ascii="Times New Roman" w:hAnsi="Times New Roman" w:eastAsia="宋体" w:cs="Times New Roman"/>
                      <w:color w:val="auto"/>
                      <w:sz w:val="21"/>
                      <w:szCs w:val="21"/>
                      <w:highlight w:val="none"/>
                    </w:rPr>
                    <w:t>、NOx</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林格曼黑度</w:t>
                  </w:r>
                </w:p>
              </w:tc>
              <w:tc>
                <w:tcPr>
                  <w:tcW w:w="1605" w:type="pct"/>
                  <w:tcBorders>
                    <w:tl2br w:val="nil"/>
                    <w:tr2bl w:val="nil"/>
                  </w:tcBorders>
                  <w:noWrap w:val="0"/>
                  <w:vAlign w:val="center"/>
                </w:tcPr>
                <w:p w14:paraId="25560A89">
                  <w:pPr>
                    <w:adjustRightInd w:val="0"/>
                    <w:snapToGrid w:val="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经锅炉自带</w:t>
                  </w:r>
                  <w:r>
                    <w:rPr>
                      <w:rFonts w:hint="eastAsia" w:cs="Times New Roman"/>
                      <w:color w:val="auto"/>
                      <w:sz w:val="21"/>
                      <w:szCs w:val="21"/>
                      <w:highlight w:val="none"/>
                      <w:lang w:val="en-US" w:eastAsia="zh-CN"/>
                    </w:rPr>
                    <w:t>低氮燃烧系统</w:t>
                  </w:r>
                  <w:r>
                    <w:rPr>
                      <w:rFonts w:hint="eastAsia" w:ascii="Times New Roman" w:hAnsi="Times New Roman" w:eastAsia="宋体" w:cs="Times New Roman"/>
                      <w:color w:val="auto"/>
                      <w:sz w:val="21"/>
                      <w:szCs w:val="21"/>
                      <w:highlight w:val="none"/>
                      <w:lang w:eastAsia="zh-CN"/>
                    </w:rPr>
                    <w:t>处理后</w:t>
                  </w:r>
                  <w:r>
                    <w:rPr>
                      <w:rFonts w:hint="eastAsia" w:ascii="Times New Roman" w:hAnsi="Times New Roman" w:eastAsia="宋体" w:cs="Times New Roman"/>
                      <w:color w:val="auto"/>
                      <w:sz w:val="21"/>
                      <w:szCs w:val="21"/>
                      <w:highlight w:val="none"/>
                      <w:lang w:val="en-US" w:eastAsia="zh-CN"/>
                    </w:rPr>
                    <w:t>经不低于</w:t>
                  </w:r>
                  <w:r>
                    <w:rPr>
                      <w:rFonts w:hint="eastAsia" w:cs="Times New Roman"/>
                      <w:color w:val="auto"/>
                      <w:sz w:val="21"/>
                      <w:szCs w:val="21"/>
                      <w:highlight w:val="none"/>
                      <w:lang w:val="en-US" w:eastAsia="zh-CN"/>
                    </w:rPr>
                    <w:t>18m排气筒</w:t>
                  </w:r>
                  <w:r>
                    <w:rPr>
                      <w:rFonts w:hint="eastAsia" w:ascii="Times New Roman" w:hAnsi="Times New Roman" w:eastAsia="宋体" w:cs="Times New Roman"/>
                      <w:color w:val="auto"/>
                      <w:sz w:val="21"/>
                      <w:szCs w:val="21"/>
                      <w:highlight w:val="none"/>
                      <w:lang w:eastAsia="zh-CN"/>
                    </w:rPr>
                    <w:t>排放</w:t>
                  </w:r>
                </w:p>
              </w:tc>
            </w:tr>
            <w:tr w14:paraId="04013D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4" w:type="pct"/>
                  <w:vMerge w:val="restart"/>
                  <w:tcBorders>
                    <w:tl2br w:val="nil"/>
                    <w:tr2bl w:val="nil"/>
                  </w:tcBorders>
                  <w:noWrap w:val="0"/>
                  <w:vAlign w:val="center"/>
                </w:tcPr>
                <w:p w14:paraId="1B8D7116">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废水</w:t>
                  </w:r>
                </w:p>
              </w:tc>
              <w:tc>
                <w:tcPr>
                  <w:tcW w:w="1180" w:type="pct"/>
                  <w:tcBorders>
                    <w:tl2br w:val="nil"/>
                    <w:tr2bl w:val="nil"/>
                  </w:tcBorders>
                  <w:noWrap w:val="0"/>
                  <w:vAlign w:val="center"/>
                </w:tcPr>
                <w:p w14:paraId="2CA48C15">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锅炉</w:t>
                  </w:r>
                </w:p>
              </w:tc>
              <w:tc>
                <w:tcPr>
                  <w:tcW w:w="743" w:type="pct"/>
                  <w:vMerge w:val="restart"/>
                  <w:tcBorders>
                    <w:tl2br w:val="nil"/>
                    <w:tr2bl w:val="nil"/>
                  </w:tcBorders>
                  <w:noWrap w:val="0"/>
                  <w:vAlign w:val="center"/>
                </w:tcPr>
                <w:p w14:paraId="09D8915E">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锅炉废水</w:t>
                  </w:r>
                </w:p>
              </w:tc>
              <w:tc>
                <w:tcPr>
                  <w:tcW w:w="1085" w:type="pct"/>
                  <w:vMerge w:val="restart"/>
                  <w:tcBorders>
                    <w:tl2br w:val="nil"/>
                    <w:tr2bl w:val="nil"/>
                  </w:tcBorders>
                  <w:noWrap w:val="0"/>
                  <w:vAlign w:val="center"/>
                </w:tcPr>
                <w:p w14:paraId="6DFBDEB5">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pH、</w:t>
                  </w:r>
                  <w:r>
                    <w:rPr>
                      <w:rFonts w:hint="eastAsia" w:ascii="Times New Roman" w:hAnsi="Times New Roman" w:eastAsia="宋体" w:cs="Times New Roman"/>
                      <w:color w:val="auto"/>
                      <w:sz w:val="21"/>
                      <w:szCs w:val="21"/>
                      <w:highlight w:val="none"/>
                    </w:rPr>
                    <w:t>COD、SS</w:t>
                  </w:r>
                  <w:r>
                    <w:rPr>
                      <w:rFonts w:hint="eastAsia" w:ascii="Times New Roman" w:hAnsi="Times New Roman" w:eastAsia="宋体" w:cs="Times New Roman"/>
                      <w:color w:val="auto"/>
                      <w:sz w:val="21"/>
                      <w:szCs w:val="21"/>
                      <w:highlight w:val="none"/>
                      <w:lang w:eastAsia="zh-CN"/>
                    </w:rPr>
                    <w:t>、全盐量</w:t>
                  </w:r>
                  <w:r>
                    <w:rPr>
                      <w:rFonts w:hint="eastAsia" w:ascii="Times New Roman" w:hAnsi="Times New Roman" w:eastAsia="宋体" w:cs="Times New Roman"/>
                      <w:color w:val="auto"/>
                      <w:sz w:val="21"/>
                      <w:szCs w:val="21"/>
                      <w:highlight w:val="none"/>
                    </w:rPr>
                    <w:t>等</w:t>
                  </w:r>
                </w:p>
              </w:tc>
              <w:tc>
                <w:tcPr>
                  <w:tcW w:w="1605" w:type="pct"/>
                  <w:vMerge w:val="restart"/>
                  <w:tcBorders>
                    <w:tl2br w:val="nil"/>
                    <w:tr2bl w:val="nil"/>
                  </w:tcBorders>
                  <w:noWrap w:val="0"/>
                  <w:vAlign w:val="center"/>
                </w:tcPr>
                <w:p w14:paraId="6547A673">
                  <w:pPr>
                    <w:adjustRightInd w:val="0"/>
                    <w:snapToGrid w:val="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rPr>
                    <w:t>经</w:t>
                  </w:r>
                  <w:r>
                    <w:rPr>
                      <w:rFonts w:hint="eastAsia" w:cs="Times New Roman"/>
                      <w:color w:val="auto"/>
                      <w:sz w:val="21"/>
                      <w:szCs w:val="21"/>
                      <w:highlight w:val="none"/>
                      <w:lang w:val="en-US" w:eastAsia="zh-CN"/>
                    </w:rPr>
                    <w:t>冷却水槽冷却后排入小区化粪池，经</w:t>
                  </w:r>
                  <w:r>
                    <w:rPr>
                      <w:rFonts w:hint="eastAsia" w:ascii="Times New Roman" w:hAnsi="Times New Roman" w:eastAsia="宋体" w:cs="Times New Roman"/>
                      <w:color w:val="auto"/>
                      <w:sz w:val="21"/>
                      <w:szCs w:val="21"/>
                      <w:highlight w:val="none"/>
                    </w:rPr>
                    <w:t>市政污水管网排至</w:t>
                  </w:r>
                  <w:r>
                    <w:rPr>
                      <w:rFonts w:hint="eastAsia" w:ascii="Times New Roman" w:hAnsi="Times New Roman" w:eastAsia="宋体" w:cs="Times New Roman"/>
                      <w:color w:val="auto"/>
                      <w:sz w:val="21"/>
                      <w:szCs w:val="21"/>
                      <w:highlight w:val="none"/>
                      <w:lang w:eastAsia="zh-CN"/>
                    </w:rPr>
                    <w:t>太白县污水处理厂</w:t>
                  </w:r>
                </w:p>
              </w:tc>
            </w:tr>
            <w:tr w14:paraId="3EDAD2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4" w:type="pct"/>
                  <w:vMerge w:val="continue"/>
                  <w:tcBorders>
                    <w:tl2br w:val="nil"/>
                    <w:tr2bl w:val="nil"/>
                  </w:tcBorders>
                  <w:noWrap w:val="0"/>
                  <w:vAlign w:val="center"/>
                </w:tcPr>
                <w:p w14:paraId="4CD37ADA">
                  <w:pPr>
                    <w:adjustRightInd w:val="0"/>
                    <w:snapToGrid w:val="0"/>
                    <w:jc w:val="center"/>
                    <w:rPr>
                      <w:rFonts w:hint="eastAsia" w:ascii="Times New Roman" w:hAnsi="Times New Roman" w:eastAsia="宋体" w:cs="Times New Roman"/>
                      <w:color w:val="auto"/>
                      <w:sz w:val="21"/>
                      <w:szCs w:val="21"/>
                      <w:highlight w:val="green"/>
                    </w:rPr>
                  </w:pPr>
                </w:p>
              </w:tc>
              <w:tc>
                <w:tcPr>
                  <w:tcW w:w="1180" w:type="pct"/>
                  <w:tcBorders>
                    <w:tl2br w:val="nil"/>
                    <w:tr2bl w:val="nil"/>
                  </w:tcBorders>
                  <w:noWrap w:val="0"/>
                  <w:vAlign w:val="center"/>
                </w:tcPr>
                <w:p w14:paraId="25A021A2">
                  <w:pPr>
                    <w:adjustRightInd w:val="0"/>
                    <w:snapToGrid w:val="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rPr>
                    <w:t>软水</w:t>
                  </w:r>
                  <w:r>
                    <w:rPr>
                      <w:rFonts w:hint="eastAsia" w:cs="Times New Roman"/>
                      <w:color w:val="auto"/>
                      <w:sz w:val="21"/>
                      <w:szCs w:val="21"/>
                      <w:highlight w:val="none"/>
                      <w:lang w:val="en-US" w:eastAsia="zh-CN"/>
                    </w:rPr>
                    <w:t>设备</w:t>
                  </w:r>
                </w:p>
              </w:tc>
              <w:tc>
                <w:tcPr>
                  <w:tcW w:w="743" w:type="pct"/>
                  <w:vMerge w:val="continue"/>
                  <w:tcBorders>
                    <w:tl2br w:val="nil"/>
                    <w:tr2bl w:val="nil"/>
                  </w:tcBorders>
                  <w:noWrap w:val="0"/>
                  <w:vAlign w:val="center"/>
                </w:tcPr>
                <w:p w14:paraId="20C41A8B">
                  <w:pPr>
                    <w:adjustRightInd w:val="0"/>
                    <w:snapToGrid w:val="0"/>
                    <w:jc w:val="center"/>
                    <w:rPr>
                      <w:rFonts w:hint="eastAsia" w:ascii="Times New Roman" w:hAnsi="Times New Roman" w:eastAsia="宋体" w:cs="Times New Roman"/>
                      <w:color w:val="auto"/>
                      <w:sz w:val="21"/>
                      <w:szCs w:val="21"/>
                      <w:highlight w:val="none"/>
                    </w:rPr>
                  </w:pPr>
                </w:p>
              </w:tc>
              <w:tc>
                <w:tcPr>
                  <w:tcW w:w="1085" w:type="pct"/>
                  <w:vMerge w:val="continue"/>
                  <w:tcBorders>
                    <w:tl2br w:val="nil"/>
                    <w:tr2bl w:val="nil"/>
                  </w:tcBorders>
                  <w:noWrap w:val="0"/>
                  <w:vAlign w:val="center"/>
                </w:tcPr>
                <w:p w14:paraId="5619086E">
                  <w:pPr>
                    <w:adjustRightInd w:val="0"/>
                    <w:snapToGrid w:val="0"/>
                    <w:jc w:val="center"/>
                    <w:rPr>
                      <w:rFonts w:hint="eastAsia" w:ascii="Times New Roman" w:hAnsi="Times New Roman" w:eastAsia="宋体" w:cs="Times New Roman"/>
                      <w:color w:val="auto"/>
                      <w:sz w:val="21"/>
                      <w:szCs w:val="21"/>
                      <w:highlight w:val="none"/>
                    </w:rPr>
                  </w:pPr>
                </w:p>
              </w:tc>
              <w:tc>
                <w:tcPr>
                  <w:tcW w:w="1605" w:type="pct"/>
                  <w:vMerge w:val="continue"/>
                  <w:tcBorders>
                    <w:tl2br w:val="nil"/>
                    <w:tr2bl w:val="nil"/>
                  </w:tcBorders>
                  <w:noWrap w:val="0"/>
                  <w:vAlign w:val="center"/>
                </w:tcPr>
                <w:p w14:paraId="0B9F487A">
                  <w:pPr>
                    <w:adjustRightInd w:val="0"/>
                    <w:snapToGrid w:val="0"/>
                    <w:jc w:val="center"/>
                    <w:rPr>
                      <w:rFonts w:hint="eastAsia" w:ascii="Times New Roman" w:hAnsi="Times New Roman" w:eastAsia="宋体" w:cs="Times New Roman"/>
                      <w:color w:val="auto"/>
                      <w:sz w:val="21"/>
                      <w:szCs w:val="21"/>
                      <w:highlight w:val="none"/>
                    </w:rPr>
                  </w:pPr>
                </w:p>
              </w:tc>
            </w:tr>
            <w:tr w14:paraId="718A6C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4" w:type="pct"/>
                  <w:tcBorders>
                    <w:tl2br w:val="nil"/>
                    <w:tr2bl w:val="nil"/>
                  </w:tcBorders>
                  <w:noWrap w:val="0"/>
                  <w:vAlign w:val="center"/>
                </w:tcPr>
                <w:p w14:paraId="34D1114B">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噪声</w:t>
                  </w:r>
                </w:p>
              </w:tc>
              <w:tc>
                <w:tcPr>
                  <w:tcW w:w="1180" w:type="pct"/>
                  <w:tcBorders>
                    <w:tl2br w:val="nil"/>
                    <w:tr2bl w:val="nil"/>
                  </w:tcBorders>
                  <w:noWrap w:val="0"/>
                  <w:vAlign w:val="center"/>
                </w:tcPr>
                <w:p w14:paraId="5C28F606">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水泵等</w:t>
                  </w:r>
                </w:p>
              </w:tc>
              <w:tc>
                <w:tcPr>
                  <w:tcW w:w="743" w:type="pct"/>
                  <w:tcBorders>
                    <w:tl2br w:val="nil"/>
                    <w:tr2bl w:val="nil"/>
                  </w:tcBorders>
                  <w:noWrap w:val="0"/>
                  <w:vAlign w:val="center"/>
                </w:tcPr>
                <w:p w14:paraId="13621AC3">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设备噪声</w:t>
                  </w:r>
                </w:p>
              </w:tc>
              <w:tc>
                <w:tcPr>
                  <w:tcW w:w="1085" w:type="pct"/>
                  <w:tcBorders>
                    <w:tl2br w:val="nil"/>
                    <w:tr2bl w:val="nil"/>
                  </w:tcBorders>
                  <w:noWrap w:val="0"/>
                  <w:vAlign w:val="center"/>
                </w:tcPr>
                <w:p w14:paraId="6ACAC889">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dB(A)</w:t>
                  </w:r>
                </w:p>
              </w:tc>
              <w:tc>
                <w:tcPr>
                  <w:tcW w:w="1605" w:type="pct"/>
                  <w:tcBorders>
                    <w:tl2br w:val="nil"/>
                    <w:tr2bl w:val="nil"/>
                  </w:tcBorders>
                  <w:noWrap w:val="0"/>
                  <w:vAlign w:val="center"/>
                </w:tcPr>
                <w:p w14:paraId="628F4C8E">
                  <w:pPr>
                    <w:adjustRightInd w:val="0"/>
                    <w:snapToGrid w:val="0"/>
                    <w:jc w:val="center"/>
                    <w:rPr>
                      <w:rFonts w:hint="eastAsia" w:ascii="Times New Roman" w:hAnsi="Times New Roman" w:eastAsia="宋体" w:cs="Times New Roman"/>
                      <w:color w:val="auto"/>
                      <w:sz w:val="21"/>
                      <w:szCs w:val="21"/>
                      <w:highlight w:val="none"/>
                      <w:lang w:val="en-US" w:eastAsia="zh-CN"/>
                    </w:rPr>
                  </w:pPr>
                  <w:r>
                    <w:rPr>
                      <w:rFonts w:hint="eastAsia" w:eastAsia="宋体"/>
                      <w:color w:val="auto"/>
                      <w:sz w:val="21"/>
                      <w:szCs w:val="21"/>
                      <w:highlight w:val="none"/>
                      <w:lang w:val="en-US" w:eastAsia="zh-CN"/>
                    </w:rPr>
                    <w:t>低噪声设备，</w:t>
                  </w:r>
                  <w:r>
                    <w:rPr>
                      <w:rFonts w:hint="eastAsia"/>
                      <w:color w:val="auto"/>
                      <w:sz w:val="21"/>
                      <w:szCs w:val="21"/>
                      <w:highlight w:val="none"/>
                    </w:rPr>
                    <w:t>水泵基础进行</w:t>
                  </w:r>
                  <w:r>
                    <w:rPr>
                      <w:rFonts w:hint="eastAsia"/>
                      <w:color w:val="auto"/>
                      <w:sz w:val="21"/>
                      <w:szCs w:val="21"/>
                      <w:highlight w:val="none"/>
                      <w:lang w:eastAsia="zh-CN"/>
                    </w:rPr>
                    <w:t>减振</w:t>
                  </w:r>
                  <w:r>
                    <w:rPr>
                      <w:rFonts w:hint="eastAsia"/>
                      <w:color w:val="auto"/>
                      <w:sz w:val="21"/>
                      <w:szCs w:val="21"/>
                      <w:highlight w:val="none"/>
                    </w:rPr>
                    <w:t>处理，</w:t>
                  </w:r>
                  <w:r>
                    <w:rPr>
                      <w:rFonts w:hint="eastAsia" w:eastAsia="宋体"/>
                      <w:color w:val="auto"/>
                      <w:sz w:val="21"/>
                      <w:szCs w:val="21"/>
                      <w:highlight w:val="none"/>
                      <w:lang w:val="en-US" w:eastAsia="zh-CN"/>
                    </w:rPr>
                    <w:t>隔声</w:t>
                  </w:r>
                  <w:r>
                    <w:rPr>
                      <w:rFonts w:hint="eastAsia"/>
                      <w:color w:val="auto"/>
                      <w:szCs w:val="21"/>
                      <w:highlight w:val="none"/>
                      <w:lang w:val="en-US" w:eastAsia="zh-CN"/>
                    </w:rPr>
                    <w:t>等</w:t>
                  </w:r>
                </w:p>
              </w:tc>
            </w:tr>
            <w:tr w14:paraId="5B303A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4" w:type="pct"/>
                  <w:vMerge w:val="restart"/>
                  <w:tcBorders>
                    <w:tl2br w:val="nil"/>
                    <w:tr2bl w:val="nil"/>
                  </w:tcBorders>
                  <w:noWrap w:val="0"/>
                  <w:vAlign w:val="center"/>
                </w:tcPr>
                <w:p w14:paraId="6255DA28">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固体</w:t>
                  </w:r>
                </w:p>
                <w:p w14:paraId="72D053CD">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废物</w:t>
                  </w:r>
                </w:p>
              </w:tc>
              <w:tc>
                <w:tcPr>
                  <w:tcW w:w="1180" w:type="pct"/>
                  <w:vMerge w:val="restart"/>
                  <w:tcBorders>
                    <w:tl2br w:val="nil"/>
                    <w:tr2bl w:val="nil"/>
                  </w:tcBorders>
                  <w:noWrap w:val="0"/>
                  <w:vAlign w:val="center"/>
                </w:tcPr>
                <w:p w14:paraId="41278DF8">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全自动软水装置</w:t>
                  </w:r>
                </w:p>
              </w:tc>
              <w:tc>
                <w:tcPr>
                  <w:tcW w:w="743" w:type="pct"/>
                  <w:vMerge w:val="restart"/>
                  <w:tcBorders>
                    <w:tl2br w:val="nil"/>
                    <w:tr2bl w:val="nil"/>
                  </w:tcBorders>
                  <w:noWrap w:val="0"/>
                  <w:vAlign w:val="center"/>
                </w:tcPr>
                <w:p w14:paraId="12C67D51">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一般固体</w:t>
                  </w:r>
                </w:p>
                <w:p w14:paraId="69EC647F">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废物</w:t>
                  </w:r>
                </w:p>
              </w:tc>
              <w:tc>
                <w:tcPr>
                  <w:tcW w:w="1085" w:type="pct"/>
                  <w:tcBorders>
                    <w:tl2br w:val="nil"/>
                    <w:tr2bl w:val="nil"/>
                  </w:tcBorders>
                  <w:noWrap w:val="0"/>
                  <w:vAlign w:val="center"/>
                </w:tcPr>
                <w:p w14:paraId="69FA8E74">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rPr>
                    <w:t>废离子交换树脂</w:t>
                  </w:r>
                </w:p>
              </w:tc>
              <w:tc>
                <w:tcPr>
                  <w:tcW w:w="1605" w:type="pct"/>
                  <w:tcBorders>
                    <w:tl2br w:val="nil"/>
                    <w:tr2bl w:val="nil"/>
                  </w:tcBorders>
                  <w:noWrap w:val="0"/>
                  <w:vAlign w:val="center"/>
                </w:tcPr>
                <w:p w14:paraId="37DE653F">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定期由厂家供货商更换后回收处置</w:t>
                  </w:r>
                </w:p>
              </w:tc>
            </w:tr>
            <w:tr w14:paraId="5884BA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4" w:type="pct"/>
                  <w:vMerge w:val="continue"/>
                  <w:tcBorders>
                    <w:tl2br w:val="nil"/>
                    <w:tr2bl w:val="nil"/>
                  </w:tcBorders>
                  <w:noWrap w:val="0"/>
                  <w:vAlign w:val="center"/>
                </w:tcPr>
                <w:p w14:paraId="37B0D7E1">
                  <w:pPr>
                    <w:adjustRightInd w:val="0"/>
                    <w:snapToGrid w:val="0"/>
                    <w:jc w:val="center"/>
                    <w:rPr>
                      <w:rFonts w:hint="eastAsia" w:ascii="Times New Roman" w:hAnsi="Times New Roman" w:eastAsia="宋体" w:cs="Times New Roman"/>
                      <w:color w:val="auto"/>
                      <w:sz w:val="21"/>
                      <w:szCs w:val="21"/>
                      <w:highlight w:val="green"/>
                    </w:rPr>
                  </w:pPr>
                </w:p>
              </w:tc>
              <w:tc>
                <w:tcPr>
                  <w:tcW w:w="1180" w:type="pct"/>
                  <w:vMerge w:val="continue"/>
                  <w:tcBorders>
                    <w:tl2br w:val="nil"/>
                    <w:tr2bl w:val="nil"/>
                  </w:tcBorders>
                  <w:noWrap w:val="0"/>
                  <w:vAlign w:val="center"/>
                </w:tcPr>
                <w:p w14:paraId="6BCA30F6">
                  <w:pPr>
                    <w:adjustRightInd w:val="0"/>
                    <w:snapToGrid w:val="0"/>
                    <w:jc w:val="center"/>
                    <w:rPr>
                      <w:rFonts w:hint="eastAsia" w:ascii="Times New Roman" w:hAnsi="Times New Roman" w:eastAsia="宋体" w:cs="Times New Roman"/>
                      <w:color w:val="auto"/>
                      <w:sz w:val="21"/>
                      <w:szCs w:val="21"/>
                      <w:highlight w:val="green"/>
                      <w:lang w:val="en-US" w:eastAsia="zh-CN"/>
                    </w:rPr>
                  </w:pPr>
                </w:p>
              </w:tc>
              <w:tc>
                <w:tcPr>
                  <w:tcW w:w="743" w:type="pct"/>
                  <w:vMerge w:val="continue"/>
                  <w:tcBorders>
                    <w:tl2br w:val="nil"/>
                    <w:tr2bl w:val="nil"/>
                  </w:tcBorders>
                  <w:noWrap w:val="0"/>
                  <w:vAlign w:val="center"/>
                </w:tcPr>
                <w:p w14:paraId="5218E545">
                  <w:pPr>
                    <w:adjustRightInd w:val="0"/>
                    <w:snapToGrid w:val="0"/>
                    <w:jc w:val="center"/>
                    <w:rPr>
                      <w:rFonts w:hint="eastAsia" w:ascii="Times New Roman" w:hAnsi="Times New Roman" w:eastAsia="宋体" w:cs="Times New Roman"/>
                      <w:color w:val="auto"/>
                      <w:sz w:val="21"/>
                      <w:szCs w:val="21"/>
                      <w:highlight w:val="green"/>
                    </w:rPr>
                  </w:pPr>
                </w:p>
              </w:tc>
              <w:tc>
                <w:tcPr>
                  <w:tcW w:w="1085" w:type="pct"/>
                  <w:tcBorders>
                    <w:tl2br w:val="nil"/>
                    <w:tr2bl w:val="nil"/>
                  </w:tcBorders>
                  <w:noWrap w:val="0"/>
                  <w:vAlign w:val="center"/>
                </w:tcPr>
                <w:p w14:paraId="6DEDC6CB">
                  <w:pPr>
                    <w:adjustRightInd w:val="0"/>
                    <w:snapToGrid w:val="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废包装材料</w:t>
                  </w:r>
                </w:p>
              </w:tc>
              <w:tc>
                <w:tcPr>
                  <w:tcW w:w="1605" w:type="pct"/>
                  <w:tcBorders>
                    <w:tl2br w:val="nil"/>
                    <w:tr2bl w:val="nil"/>
                  </w:tcBorders>
                  <w:noWrap w:val="0"/>
                  <w:vAlign w:val="center"/>
                </w:tcPr>
                <w:p w14:paraId="3D648D39">
                  <w:pPr>
                    <w:adjustRightInd w:val="0"/>
                    <w:snapToGrid w:val="0"/>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集中收集后出售综合利用</w:t>
                  </w:r>
                </w:p>
              </w:tc>
            </w:tr>
            <w:tr w14:paraId="75127A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4" w:type="pct"/>
                  <w:vMerge w:val="continue"/>
                  <w:tcBorders>
                    <w:tl2br w:val="nil"/>
                    <w:tr2bl w:val="nil"/>
                  </w:tcBorders>
                  <w:noWrap w:val="0"/>
                  <w:vAlign w:val="center"/>
                </w:tcPr>
                <w:p w14:paraId="13289D94">
                  <w:pPr>
                    <w:adjustRightInd w:val="0"/>
                    <w:snapToGrid w:val="0"/>
                    <w:jc w:val="center"/>
                    <w:rPr>
                      <w:rFonts w:hint="eastAsia" w:ascii="Times New Roman" w:hAnsi="Times New Roman" w:eastAsia="宋体" w:cs="Times New Roman"/>
                      <w:color w:val="auto"/>
                      <w:sz w:val="21"/>
                      <w:szCs w:val="21"/>
                      <w:highlight w:val="green"/>
                    </w:rPr>
                  </w:pPr>
                </w:p>
              </w:tc>
              <w:tc>
                <w:tcPr>
                  <w:tcW w:w="1180" w:type="pct"/>
                  <w:vMerge w:val="restart"/>
                  <w:tcBorders>
                    <w:tl2br w:val="nil"/>
                    <w:tr2bl w:val="nil"/>
                  </w:tcBorders>
                  <w:noWrap w:val="0"/>
                  <w:vAlign w:val="center"/>
                </w:tcPr>
                <w:p w14:paraId="397D25FC">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设备保养</w:t>
                  </w:r>
                </w:p>
              </w:tc>
              <w:tc>
                <w:tcPr>
                  <w:tcW w:w="743" w:type="pct"/>
                  <w:vMerge w:val="restart"/>
                  <w:tcBorders>
                    <w:tl2br w:val="nil"/>
                    <w:tr2bl w:val="nil"/>
                  </w:tcBorders>
                  <w:noWrap w:val="0"/>
                  <w:vAlign w:val="center"/>
                </w:tcPr>
                <w:p w14:paraId="1A1163BF">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危险废物</w:t>
                  </w:r>
                </w:p>
              </w:tc>
              <w:tc>
                <w:tcPr>
                  <w:tcW w:w="1085" w:type="pct"/>
                  <w:tcBorders>
                    <w:tl2br w:val="nil"/>
                    <w:tr2bl w:val="nil"/>
                  </w:tcBorders>
                  <w:shd w:val="clear" w:color="auto" w:fill="auto"/>
                  <w:noWrap w:val="0"/>
                  <w:vAlign w:val="center"/>
                </w:tcPr>
                <w:p w14:paraId="6E40581A">
                  <w:pPr>
                    <w:adjustRightInd w:val="0"/>
                    <w:snapToGrid w:val="0"/>
                    <w:jc w:val="center"/>
                    <w:rPr>
                      <w:rFonts w:hint="eastAsia" w:ascii="Times New Roman" w:hAnsi="宋体" w:eastAsia="宋体" w:cs="Times New Roman"/>
                      <w:b w:val="0"/>
                      <w:bCs/>
                      <w:color w:val="auto"/>
                      <w:kern w:val="0"/>
                      <w:sz w:val="21"/>
                      <w:szCs w:val="21"/>
                      <w:highlight w:val="none"/>
                      <w:lang w:val="en-US" w:eastAsia="zh-CN" w:bidi="ar-SA"/>
                    </w:rPr>
                  </w:pPr>
                  <w:r>
                    <w:rPr>
                      <w:rFonts w:hint="eastAsia" w:hAnsi="宋体"/>
                      <w:b w:val="0"/>
                      <w:bCs/>
                      <w:color w:val="auto"/>
                      <w:kern w:val="0"/>
                      <w:sz w:val="21"/>
                      <w:szCs w:val="21"/>
                      <w:highlight w:val="none"/>
                      <w:lang w:val="en-US" w:eastAsia="zh-CN"/>
                    </w:rPr>
                    <w:t>废润滑油</w:t>
                  </w:r>
                </w:p>
              </w:tc>
              <w:tc>
                <w:tcPr>
                  <w:tcW w:w="1605" w:type="pct"/>
                  <w:vMerge w:val="restart"/>
                  <w:tcBorders>
                    <w:tl2br w:val="nil"/>
                    <w:tr2bl w:val="nil"/>
                  </w:tcBorders>
                  <w:noWrap w:val="0"/>
                  <w:vAlign w:val="center"/>
                </w:tcPr>
                <w:p w14:paraId="3D33A38D">
                  <w:pPr>
                    <w:adjustRightInd w:val="0"/>
                    <w:snapToGrid w:val="0"/>
                    <w:jc w:val="center"/>
                    <w:rPr>
                      <w:rFonts w:hint="eastAsia" w:ascii="Times New Roman" w:hAnsi="Times New Roman" w:eastAsia="宋体" w:cs="Times New Roman"/>
                      <w:color w:val="auto"/>
                      <w:sz w:val="21"/>
                      <w:szCs w:val="21"/>
                      <w:highlight w:val="none"/>
                      <w:lang w:val="en-US" w:eastAsia="zh-CN"/>
                    </w:rPr>
                  </w:pPr>
                  <w:r>
                    <w:rPr>
                      <w:rFonts w:hint="eastAsia"/>
                      <w:b w:val="0"/>
                      <w:bCs/>
                      <w:color w:val="auto"/>
                      <w:kern w:val="0"/>
                      <w:sz w:val="21"/>
                      <w:szCs w:val="21"/>
                      <w:highlight w:val="none"/>
                      <w:lang w:val="en-US" w:eastAsia="zh-CN"/>
                    </w:rPr>
                    <w:t>委托有资质单位处置</w:t>
                  </w:r>
                </w:p>
              </w:tc>
            </w:tr>
            <w:tr w14:paraId="2DFF96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4" w:type="pct"/>
                  <w:vMerge w:val="continue"/>
                  <w:tcBorders>
                    <w:tl2br w:val="nil"/>
                    <w:tr2bl w:val="nil"/>
                  </w:tcBorders>
                  <w:noWrap w:val="0"/>
                  <w:vAlign w:val="center"/>
                </w:tcPr>
                <w:p w14:paraId="73CFA7A1">
                  <w:pPr>
                    <w:adjustRightInd w:val="0"/>
                    <w:snapToGrid w:val="0"/>
                    <w:jc w:val="center"/>
                    <w:rPr>
                      <w:rFonts w:hint="eastAsia" w:ascii="Times New Roman" w:hAnsi="Times New Roman" w:eastAsia="宋体" w:cs="Times New Roman"/>
                      <w:color w:val="auto"/>
                      <w:sz w:val="21"/>
                      <w:szCs w:val="21"/>
                      <w:highlight w:val="green"/>
                    </w:rPr>
                  </w:pPr>
                </w:p>
              </w:tc>
              <w:tc>
                <w:tcPr>
                  <w:tcW w:w="1180" w:type="pct"/>
                  <w:vMerge w:val="continue"/>
                  <w:tcBorders>
                    <w:tl2br w:val="nil"/>
                    <w:tr2bl w:val="nil"/>
                  </w:tcBorders>
                  <w:noWrap w:val="0"/>
                  <w:vAlign w:val="center"/>
                </w:tcPr>
                <w:p w14:paraId="4674C79D">
                  <w:pPr>
                    <w:adjustRightInd w:val="0"/>
                    <w:snapToGrid w:val="0"/>
                    <w:jc w:val="center"/>
                    <w:rPr>
                      <w:rFonts w:hint="eastAsia" w:ascii="Times New Roman" w:hAnsi="Times New Roman" w:eastAsia="宋体" w:cs="Times New Roman"/>
                      <w:color w:val="auto"/>
                      <w:sz w:val="21"/>
                      <w:szCs w:val="21"/>
                      <w:highlight w:val="green"/>
                      <w:lang w:val="en-US" w:eastAsia="zh-CN"/>
                    </w:rPr>
                  </w:pPr>
                </w:p>
              </w:tc>
              <w:tc>
                <w:tcPr>
                  <w:tcW w:w="743" w:type="pct"/>
                  <w:vMerge w:val="continue"/>
                  <w:tcBorders>
                    <w:tl2br w:val="nil"/>
                    <w:tr2bl w:val="nil"/>
                  </w:tcBorders>
                  <w:noWrap w:val="0"/>
                  <w:vAlign w:val="center"/>
                </w:tcPr>
                <w:p w14:paraId="1E297735">
                  <w:pPr>
                    <w:adjustRightInd w:val="0"/>
                    <w:snapToGrid w:val="0"/>
                    <w:jc w:val="center"/>
                    <w:rPr>
                      <w:rFonts w:hint="eastAsia" w:ascii="Times New Roman" w:hAnsi="Times New Roman" w:eastAsia="宋体" w:cs="Times New Roman"/>
                      <w:color w:val="auto"/>
                      <w:sz w:val="21"/>
                      <w:szCs w:val="21"/>
                      <w:highlight w:val="none"/>
                    </w:rPr>
                  </w:pPr>
                </w:p>
              </w:tc>
              <w:tc>
                <w:tcPr>
                  <w:tcW w:w="1085" w:type="pct"/>
                  <w:tcBorders>
                    <w:tl2br w:val="nil"/>
                    <w:tr2bl w:val="nil"/>
                  </w:tcBorders>
                  <w:shd w:val="clear" w:color="auto" w:fill="auto"/>
                  <w:noWrap w:val="0"/>
                  <w:vAlign w:val="center"/>
                </w:tcPr>
                <w:p w14:paraId="0A16AC4C">
                  <w:pPr>
                    <w:adjustRightInd w:val="0"/>
                    <w:snapToGrid w:val="0"/>
                    <w:jc w:val="center"/>
                    <w:rPr>
                      <w:rFonts w:hint="eastAsia" w:ascii="Times New Roman" w:hAnsi="宋体" w:eastAsia="宋体" w:cs="Times New Roman"/>
                      <w:b w:val="0"/>
                      <w:bCs/>
                      <w:color w:val="auto"/>
                      <w:kern w:val="0"/>
                      <w:sz w:val="21"/>
                      <w:szCs w:val="21"/>
                      <w:highlight w:val="none"/>
                      <w:lang w:val="en-US" w:eastAsia="zh-CN" w:bidi="ar-SA"/>
                    </w:rPr>
                  </w:pPr>
                  <w:r>
                    <w:rPr>
                      <w:rFonts w:hint="eastAsia" w:hAnsi="宋体"/>
                      <w:b w:val="0"/>
                      <w:bCs/>
                      <w:color w:val="auto"/>
                      <w:kern w:val="0"/>
                      <w:sz w:val="21"/>
                      <w:szCs w:val="21"/>
                      <w:highlight w:val="none"/>
                      <w:lang w:val="en-US" w:eastAsia="zh-CN"/>
                    </w:rPr>
                    <w:t>废油桶</w:t>
                  </w:r>
                </w:p>
              </w:tc>
              <w:tc>
                <w:tcPr>
                  <w:tcW w:w="1605" w:type="pct"/>
                  <w:vMerge w:val="continue"/>
                  <w:tcBorders>
                    <w:tl2br w:val="nil"/>
                    <w:tr2bl w:val="nil"/>
                  </w:tcBorders>
                  <w:noWrap w:val="0"/>
                  <w:vAlign w:val="center"/>
                </w:tcPr>
                <w:p w14:paraId="771B055B">
                  <w:pPr>
                    <w:adjustRightInd w:val="0"/>
                    <w:snapToGrid w:val="0"/>
                    <w:jc w:val="center"/>
                    <w:rPr>
                      <w:rFonts w:hint="eastAsia" w:ascii="Times New Roman" w:hAnsi="Times New Roman" w:eastAsia="宋体" w:cs="Times New Roman"/>
                      <w:color w:val="auto"/>
                      <w:sz w:val="21"/>
                      <w:szCs w:val="21"/>
                      <w:highlight w:val="green"/>
                      <w:lang w:val="en-US" w:eastAsia="zh-CN"/>
                    </w:rPr>
                  </w:pPr>
                </w:p>
              </w:tc>
            </w:tr>
            <w:tr w14:paraId="05B449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4" w:type="pct"/>
                  <w:vMerge w:val="continue"/>
                  <w:tcBorders>
                    <w:tl2br w:val="nil"/>
                    <w:tr2bl w:val="nil"/>
                  </w:tcBorders>
                  <w:noWrap w:val="0"/>
                  <w:vAlign w:val="center"/>
                </w:tcPr>
                <w:p w14:paraId="4E160904">
                  <w:pPr>
                    <w:adjustRightInd w:val="0"/>
                    <w:snapToGrid w:val="0"/>
                    <w:jc w:val="center"/>
                    <w:rPr>
                      <w:rFonts w:hint="eastAsia" w:ascii="Times New Roman" w:hAnsi="Times New Roman" w:eastAsia="宋体" w:cs="Times New Roman"/>
                      <w:color w:val="auto"/>
                      <w:sz w:val="21"/>
                      <w:szCs w:val="21"/>
                      <w:highlight w:val="green"/>
                    </w:rPr>
                  </w:pPr>
                </w:p>
              </w:tc>
              <w:tc>
                <w:tcPr>
                  <w:tcW w:w="1180" w:type="pct"/>
                  <w:vMerge w:val="continue"/>
                  <w:tcBorders>
                    <w:tl2br w:val="nil"/>
                    <w:tr2bl w:val="nil"/>
                  </w:tcBorders>
                  <w:noWrap w:val="0"/>
                  <w:vAlign w:val="center"/>
                </w:tcPr>
                <w:p w14:paraId="69CADF4D">
                  <w:pPr>
                    <w:adjustRightInd w:val="0"/>
                    <w:snapToGrid w:val="0"/>
                    <w:jc w:val="center"/>
                    <w:rPr>
                      <w:rFonts w:hint="eastAsia" w:ascii="Times New Roman" w:hAnsi="Times New Roman" w:eastAsia="宋体" w:cs="Times New Roman"/>
                      <w:color w:val="auto"/>
                      <w:sz w:val="21"/>
                      <w:szCs w:val="21"/>
                      <w:highlight w:val="green"/>
                      <w:lang w:val="en-US" w:eastAsia="zh-CN"/>
                    </w:rPr>
                  </w:pPr>
                </w:p>
              </w:tc>
              <w:tc>
                <w:tcPr>
                  <w:tcW w:w="743" w:type="pct"/>
                  <w:vMerge w:val="continue"/>
                  <w:tcBorders>
                    <w:tl2br w:val="nil"/>
                    <w:tr2bl w:val="nil"/>
                  </w:tcBorders>
                  <w:noWrap w:val="0"/>
                  <w:vAlign w:val="center"/>
                </w:tcPr>
                <w:p w14:paraId="6DF04A6B">
                  <w:pPr>
                    <w:adjustRightInd w:val="0"/>
                    <w:snapToGrid w:val="0"/>
                    <w:jc w:val="center"/>
                    <w:rPr>
                      <w:rFonts w:hint="eastAsia" w:ascii="Times New Roman" w:hAnsi="Times New Roman" w:eastAsia="宋体" w:cs="Times New Roman"/>
                      <w:color w:val="auto"/>
                      <w:sz w:val="21"/>
                      <w:szCs w:val="21"/>
                      <w:highlight w:val="none"/>
                    </w:rPr>
                  </w:pPr>
                </w:p>
              </w:tc>
              <w:tc>
                <w:tcPr>
                  <w:tcW w:w="1085" w:type="pct"/>
                  <w:tcBorders>
                    <w:tl2br w:val="nil"/>
                    <w:tr2bl w:val="nil"/>
                  </w:tcBorders>
                  <w:shd w:val="clear" w:color="auto" w:fill="auto"/>
                  <w:noWrap w:val="0"/>
                  <w:vAlign w:val="center"/>
                </w:tcPr>
                <w:p w14:paraId="20157B5A">
                  <w:pPr>
                    <w:adjustRightInd w:val="0"/>
                    <w:snapToGrid w:val="0"/>
                    <w:jc w:val="center"/>
                    <w:rPr>
                      <w:rFonts w:hint="eastAsia" w:ascii="Times New Roman" w:hAnsi="宋体" w:eastAsia="宋体" w:cs="Times New Roman"/>
                      <w:b w:val="0"/>
                      <w:bCs/>
                      <w:color w:val="auto"/>
                      <w:kern w:val="0"/>
                      <w:sz w:val="21"/>
                      <w:szCs w:val="21"/>
                      <w:highlight w:val="none"/>
                      <w:lang w:val="en-US" w:eastAsia="zh-CN" w:bidi="ar-SA"/>
                    </w:rPr>
                  </w:pPr>
                  <w:r>
                    <w:rPr>
                      <w:rFonts w:hint="eastAsia" w:hAnsi="宋体"/>
                      <w:b w:val="0"/>
                      <w:bCs/>
                      <w:color w:val="auto"/>
                      <w:kern w:val="0"/>
                      <w:sz w:val="21"/>
                      <w:szCs w:val="21"/>
                      <w:highlight w:val="none"/>
                      <w:lang w:val="en-US" w:eastAsia="zh-CN"/>
                    </w:rPr>
                    <w:t>废含油抹布</w:t>
                  </w:r>
                </w:p>
              </w:tc>
              <w:tc>
                <w:tcPr>
                  <w:tcW w:w="1605" w:type="pct"/>
                  <w:vMerge w:val="continue"/>
                  <w:tcBorders>
                    <w:tl2br w:val="nil"/>
                    <w:tr2bl w:val="nil"/>
                  </w:tcBorders>
                  <w:noWrap w:val="0"/>
                  <w:vAlign w:val="center"/>
                </w:tcPr>
                <w:p w14:paraId="525FF09A">
                  <w:pPr>
                    <w:adjustRightInd w:val="0"/>
                    <w:snapToGrid w:val="0"/>
                    <w:jc w:val="center"/>
                    <w:rPr>
                      <w:rFonts w:hint="eastAsia" w:ascii="Times New Roman" w:hAnsi="Times New Roman" w:eastAsia="宋体" w:cs="Times New Roman"/>
                      <w:color w:val="auto"/>
                      <w:sz w:val="21"/>
                      <w:szCs w:val="21"/>
                      <w:highlight w:val="green"/>
                      <w:lang w:val="en-US" w:eastAsia="zh-CN"/>
                    </w:rPr>
                  </w:pPr>
                </w:p>
              </w:tc>
            </w:tr>
          </w:tbl>
          <w:p w14:paraId="6DC4AB17">
            <w:pPr>
              <w:rPr>
                <w:b/>
                <w:bCs w:val="0"/>
                <w:color w:val="auto"/>
                <w:sz w:val="24"/>
                <w:szCs w:val="24"/>
                <w:highlight w:val="green"/>
              </w:rPr>
            </w:pPr>
          </w:p>
          <w:p w14:paraId="6F1A69FF">
            <w:pPr>
              <w:pStyle w:val="30"/>
              <w:rPr>
                <w:color w:val="auto"/>
                <w:highlight w:val="green"/>
              </w:rPr>
            </w:pPr>
          </w:p>
          <w:p w14:paraId="70BE4F03">
            <w:pPr>
              <w:rPr>
                <w:color w:val="auto"/>
                <w:highlight w:val="green"/>
              </w:rPr>
            </w:pPr>
          </w:p>
          <w:p w14:paraId="00BCD3ED">
            <w:pPr>
              <w:rPr>
                <w:color w:val="auto"/>
                <w:highlight w:val="green"/>
              </w:rPr>
            </w:pPr>
          </w:p>
        </w:tc>
      </w:tr>
      <w:tr w14:paraId="244055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1" w:type="dxa"/>
            <w:noWrap w:val="0"/>
            <w:vAlign w:val="center"/>
          </w:tcPr>
          <w:p w14:paraId="59C8A9EA">
            <w:pPr>
              <w:pStyle w:val="33"/>
              <w:adjustRightInd w:val="0"/>
              <w:snapToGrid w:val="0"/>
              <w:spacing w:before="0" w:beforeAutospacing="0" w:after="0" w:afterAutospacing="0"/>
              <w:jc w:val="center"/>
              <w:rPr>
                <w:b w:val="0"/>
                <w:bCs/>
                <w:color w:val="auto"/>
                <w:kern w:val="2"/>
                <w:sz w:val="24"/>
                <w:szCs w:val="24"/>
                <w:highlight w:val="green"/>
                <w:lang w:val="en-US" w:eastAsia="zh-CN"/>
              </w:rPr>
            </w:pPr>
            <w:r>
              <w:rPr>
                <w:rFonts w:ascii="Times New Roman"/>
                <w:b w:val="0"/>
                <w:bCs/>
                <w:color w:val="auto"/>
                <w:kern w:val="2"/>
                <w:sz w:val="24"/>
                <w:szCs w:val="24"/>
                <w:highlight w:val="none"/>
                <w:lang w:val="en-US" w:eastAsia="zh-CN"/>
              </w:rPr>
              <w:t>与项目有关的原有环境污染问题</w:t>
            </w:r>
          </w:p>
        </w:tc>
        <w:tc>
          <w:tcPr>
            <w:tcW w:w="8958" w:type="dxa"/>
            <w:noWrap w:val="0"/>
            <w:vAlign w:val="top"/>
          </w:tcPr>
          <w:p w14:paraId="39957D26">
            <w:pPr>
              <w:pStyle w:val="73"/>
              <w:rPr>
                <w:rFonts w:hAnsi="宋体"/>
                <w:b w:val="0"/>
                <w:bCs/>
                <w:color w:val="auto"/>
                <w:sz w:val="24"/>
                <w:szCs w:val="24"/>
                <w:highlight w:val="green"/>
              </w:rPr>
            </w:pPr>
          </w:p>
          <w:p w14:paraId="65CC2719">
            <w:pPr>
              <w:pStyle w:val="73"/>
              <w:spacing w:line="360" w:lineRule="auto"/>
              <w:ind w:firstLine="480" w:firstLineChars="200"/>
              <w:rPr>
                <w:rFonts w:hint="default" w:hAnsi="宋体" w:eastAsia="宋体"/>
                <w:b w:val="0"/>
                <w:bCs/>
                <w:color w:val="auto"/>
                <w:sz w:val="24"/>
                <w:szCs w:val="24"/>
                <w:highlight w:val="green"/>
                <w:lang w:val="en-US" w:eastAsia="zh-CN"/>
              </w:rPr>
            </w:pPr>
            <w:r>
              <w:rPr>
                <w:rFonts w:hint="eastAsia" w:hAnsi="宋体"/>
                <w:b w:val="0"/>
                <w:bCs/>
                <w:color w:val="auto"/>
                <w:sz w:val="24"/>
                <w:szCs w:val="24"/>
                <w:highlight w:val="none"/>
                <w:lang w:val="en-US" w:eastAsia="zh-CN"/>
              </w:rPr>
              <w:t>项目为新建项目，项目锅炉房建设利用商业楼楼顶进行建设，换热站利用原换热站站房进行建设，不存在与项目有关的原有环境污染问题。</w:t>
            </w:r>
          </w:p>
          <w:p w14:paraId="3CC51673">
            <w:pPr>
              <w:spacing w:line="440" w:lineRule="exact"/>
              <w:jc w:val="center"/>
              <w:rPr>
                <w:rFonts w:hint="eastAsia" w:hAnsi="宋体"/>
                <w:b w:val="0"/>
                <w:bCs/>
                <w:color w:val="auto"/>
                <w:sz w:val="24"/>
                <w:szCs w:val="24"/>
                <w:highlight w:val="green"/>
              </w:rPr>
            </w:pPr>
          </w:p>
          <w:p w14:paraId="560377F1">
            <w:pPr>
              <w:spacing w:line="440" w:lineRule="exact"/>
              <w:jc w:val="center"/>
              <w:rPr>
                <w:rFonts w:hint="eastAsia" w:hAnsi="宋体"/>
                <w:b w:val="0"/>
                <w:bCs/>
                <w:color w:val="auto"/>
                <w:sz w:val="24"/>
                <w:szCs w:val="24"/>
                <w:highlight w:val="green"/>
              </w:rPr>
            </w:pPr>
          </w:p>
          <w:p w14:paraId="210FEA90">
            <w:pPr>
              <w:pStyle w:val="21"/>
              <w:rPr>
                <w:rFonts w:hint="eastAsia" w:hAnsi="宋体"/>
                <w:b w:val="0"/>
                <w:bCs/>
                <w:color w:val="auto"/>
                <w:sz w:val="24"/>
                <w:szCs w:val="24"/>
                <w:highlight w:val="green"/>
              </w:rPr>
            </w:pPr>
          </w:p>
          <w:p w14:paraId="00F16540">
            <w:pPr>
              <w:spacing w:line="440" w:lineRule="exact"/>
              <w:jc w:val="center"/>
              <w:rPr>
                <w:rFonts w:hint="eastAsia" w:hAnsi="宋体"/>
                <w:b w:val="0"/>
                <w:bCs/>
                <w:color w:val="auto"/>
                <w:sz w:val="24"/>
                <w:szCs w:val="24"/>
                <w:highlight w:val="green"/>
              </w:rPr>
            </w:pPr>
          </w:p>
          <w:p w14:paraId="549A014E">
            <w:pPr>
              <w:pStyle w:val="30"/>
              <w:rPr>
                <w:rFonts w:hint="eastAsia" w:hAnsi="宋体"/>
                <w:b w:val="0"/>
                <w:bCs/>
                <w:color w:val="auto"/>
                <w:sz w:val="24"/>
                <w:szCs w:val="24"/>
                <w:highlight w:val="green"/>
              </w:rPr>
            </w:pPr>
          </w:p>
          <w:p w14:paraId="0964AD47">
            <w:pPr>
              <w:rPr>
                <w:rFonts w:hint="eastAsia" w:hAnsi="宋体"/>
                <w:b w:val="0"/>
                <w:bCs/>
                <w:color w:val="auto"/>
                <w:sz w:val="24"/>
                <w:szCs w:val="24"/>
                <w:highlight w:val="green"/>
              </w:rPr>
            </w:pPr>
          </w:p>
          <w:p w14:paraId="4A588DCA">
            <w:pPr>
              <w:pStyle w:val="36"/>
              <w:rPr>
                <w:rFonts w:hint="eastAsia" w:hAnsi="宋体"/>
                <w:b w:val="0"/>
                <w:bCs/>
                <w:color w:val="auto"/>
                <w:sz w:val="24"/>
                <w:szCs w:val="24"/>
                <w:highlight w:val="green"/>
              </w:rPr>
            </w:pPr>
          </w:p>
          <w:p w14:paraId="190123DB">
            <w:pPr>
              <w:rPr>
                <w:rFonts w:hint="eastAsia"/>
                <w:color w:val="auto"/>
                <w:highlight w:val="green"/>
              </w:rPr>
            </w:pPr>
          </w:p>
          <w:p w14:paraId="2B77E4FC">
            <w:pPr>
              <w:rPr>
                <w:rFonts w:hint="eastAsia" w:hAnsi="宋体"/>
                <w:b w:val="0"/>
                <w:bCs/>
                <w:color w:val="auto"/>
                <w:sz w:val="24"/>
                <w:szCs w:val="24"/>
                <w:highlight w:val="green"/>
              </w:rPr>
            </w:pPr>
          </w:p>
          <w:p w14:paraId="694C075F">
            <w:pPr>
              <w:rPr>
                <w:rFonts w:hint="eastAsia"/>
                <w:color w:val="auto"/>
                <w:sz w:val="24"/>
                <w:szCs w:val="24"/>
                <w:highlight w:val="green"/>
              </w:rPr>
            </w:pPr>
          </w:p>
          <w:p w14:paraId="63FCB3CC">
            <w:pPr>
              <w:pStyle w:val="3"/>
              <w:rPr>
                <w:rFonts w:hint="eastAsia"/>
                <w:color w:val="auto"/>
                <w:sz w:val="24"/>
                <w:szCs w:val="24"/>
                <w:highlight w:val="green"/>
              </w:rPr>
            </w:pPr>
          </w:p>
          <w:p w14:paraId="2B645FEA">
            <w:pPr>
              <w:rPr>
                <w:rFonts w:hint="eastAsia"/>
                <w:color w:val="auto"/>
                <w:sz w:val="24"/>
                <w:szCs w:val="24"/>
                <w:highlight w:val="green"/>
              </w:rPr>
            </w:pPr>
          </w:p>
          <w:p w14:paraId="54C87D86">
            <w:pPr>
              <w:pStyle w:val="3"/>
              <w:rPr>
                <w:rFonts w:hint="eastAsia"/>
                <w:color w:val="auto"/>
                <w:sz w:val="24"/>
                <w:szCs w:val="24"/>
                <w:highlight w:val="green"/>
              </w:rPr>
            </w:pPr>
          </w:p>
          <w:p w14:paraId="12C42E16">
            <w:pPr>
              <w:rPr>
                <w:rFonts w:hint="eastAsia"/>
                <w:color w:val="auto"/>
                <w:sz w:val="24"/>
                <w:szCs w:val="24"/>
                <w:highlight w:val="green"/>
              </w:rPr>
            </w:pPr>
          </w:p>
          <w:p w14:paraId="152CEE7A">
            <w:pPr>
              <w:pStyle w:val="3"/>
              <w:rPr>
                <w:rFonts w:hint="eastAsia"/>
                <w:color w:val="auto"/>
                <w:sz w:val="24"/>
                <w:szCs w:val="24"/>
                <w:highlight w:val="green"/>
              </w:rPr>
            </w:pPr>
          </w:p>
          <w:p w14:paraId="6796C042">
            <w:pPr>
              <w:rPr>
                <w:rFonts w:hint="eastAsia"/>
                <w:color w:val="auto"/>
                <w:sz w:val="24"/>
                <w:szCs w:val="24"/>
                <w:highlight w:val="green"/>
              </w:rPr>
            </w:pPr>
          </w:p>
          <w:p w14:paraId="16FD045A">
            <w:pPr>
              <w:pStyle w:val="3"/>
              <w:rPr>
                <w:rFonts w:hint="eastAsia"/>
                <w:color w:val="auto"/>
                <w:sz w:val="24"/>
                <w:szCs w:val="24"/>
                <w:highlight w:val="green"/>
              </w:rPr>
            </w:pPr>
          </w:p>
          <w:p w14:paraId="5A5E806E">
            <w:pPr>
              <w:rPr>
                <w:rFonts w:hint="eastAsia"/>
                <w:color w:val="auto"/>
                <w:sz w:val="24"/>
                <w:szCs w:val="24"/>
                <w:highlight w:val="green"/>
              </w:rPr>
            </w:pPr>
          </w:p>
          <w:p w14:paraId="1E945842">
            <w:pPr>
              <w:pStyle w:val="30"/>
              <w:rPr>
                <w:rFonts w:hint="eastAsia"/>
                <w:color w:val="auto"/>
                <w:sz w:val="24"/>
                <w:szCs w:val="24"/>
                <w:highlight w:val="green"/>
              </w:rPr>
            </w:pPr>
          </w:p>
          <w:p w14:paraId="067EFF1C">
            <w:pPr>
              <w:pStyle w:val="30"/>
              <w:rPr>
                <w:rFonts w:hint="eastAsia"/>
                <w:color w:val="auto"/>
                <w:highlight w:val="green"/>
              </w:rPr>
            </w:pPr>
          </w:p>
          <w:p w14:paraId="095C8EB3">
            <w:pPr>
              <w:spacing w:line="440" w:lineRule="exact"/>
              <w:jc w:val="center"/>
              <w:rPr>
                <w:rFonts w:hint="eastAsia" w:hAnsi="宋体"/>
                <w:b w:val="0"/>
                <w:bCs/>
                <w:color w:val="auto"/>
                <w:sz w:val="24"/>
                <w:szCs w:val="24"/>
                <w:highlight w:val="green"/>
              </w:rPr>
            </w:pPr>
          </w:p>
        </w:tc>
      </w:tr>
    </w:tbl>
    <w:p w14:paraId="1D6A21BE">
      <w:pPr>
        <w:pStyle w:val="33"/>
        <w:jc w:val="center"/>
        <w:rPr>
          <w:rFonts w:ascii="Times New Roman" w:hAnsi="Times New Roman"/>
          <w:snapToGrid w:val="0"/>
          <w:color w:val="auto"/>
          <w:sz w:val="36"/>
          <w:szCs w:val="36"/>
          <w:highlight w:val="green"/>
        </w:rPr>
        <w:sectPr>
          <w:pgSz w:w="11905" w:h="16838"/>
          <w:pgMar w:top="1134" w:right="1134" w:bottom="1134" w:left="1247" w:header="851" w:footer="1077" w:gutter="0"/>
          <w:pgBorders>
            <w:top w:val="none" w:sz="0" w:space="0"/>
            <w:left w:val="none" w:sz="0" w:space="0"/>
            <w:bottom w:val="none" w:sz="0" w:space="0"/>
            <w:right w:val="none" w:sz="0" w:space="0"/>
          </w:pgBorders>
          <w:pgNumType w:fmt="decimal"/>
          <w:cols w:space="720" w:num="1"/>
          <w:docGrid w:linePitch="312" w:charSpace="0"/>
        </w:sectPr>
      </w:pPr>
    </w:p>
    <w:p w14:paraId="2068C44F">
      <w:pPr>
        <w:pStyle w:val="33"/>
        <w:adjustRightInd w:val="0"/>
        <w:snapToGrid w:val="0"/>
        <w:spacing w:before="0" w:beforeAutospacing="0" w:after="0" w:afterAutospacing="0" w:line="14" w:lineRule="auto"/>
        <w:jc w:val="center"/>
        <w:outlineLvl w:val="0"/>
        <w:rPr>
          <w:rFonts w:ascii="Times New Roman" w:hAnsi="Times New Roman"/>
          <w:snapToGrid w:val="0"/>
          <w:color w:val="auto"/>
          <w:sz w:val="30"/>
          <w:szCs w:val="30"/>
          <w:highlight w:val="green"/>
        </w:rPr>
      </w:pPr>
    </w:p>
    <w:p w14:paraId="33F14489">
      <w:pPr>
        <w:pStyle w:val="33"/>
        <w:spacing w:before="0" w:beforeAutospacing="0" w:after="0" w:afterAutospacing="0"/>
        <w:jc w:val="center"/>
        <w:outlineLvl w:val="0"/>
        <w:rPr>
          <w:rFonts w:ascii="黑体" w:hAnsi="黑体" w:eastAsia="黑体"/>
          <w:snapToGrid w:val="0"/>
          <w:color w:val="auto"/>
          <w:sz w:val="30"/>
          <w:szCs w:val="30"/>
          <w:highlight w:val="none"/>
        </w:rPr>
      </w:pPr>
      <w:bookmarkStart w:id="5" w:name="_Toc18963"/>
      <w:r>
        <w:rPr>
          <w:rFonts w:ascii="黑体" w:hAnsi="黑体" w:eastAsia="黑体"/>
          <w:snapToGrid w:val="0"/>
          <w:color w:val="auto"/>
          <w:sz w:val="30"/>
          <w:szCs w:val="30"/>
          <w:highlight w:val="none"/>
        </w:rPr>
        <w:t>三、区域环境质量现状、环境保护目标及评价标准</w:t>
      </w:r>
      <w:bookmarkEnd w:id="5"/>
    </w:p>
    <w:tbl>
      <w:tblPr>
        <w:tblStyle w:val="37"/>
        <w:tblW w:w="964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814"/>
      </w:tblGrid>
      <w:tr w14:paraId="283B52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828" w:type="dxa"/>
            <w:noWrap w:val="0"/>
            <w:vAlign w:val="center"/>
          </w:tcPr>
          <w:p w14:paraId="02CD7CD4">
            <w:pPr>
              <w:adjustRightInd w:val="0"/>
              <w:snapToGrid w:val="0"/>
              <w:jc w:val="center"/>
              <w:rPr>
                <w:b w:val="0"/>
                <w:bCs w:val="0"/>
                <w:color w:val="auto"/>
                <w:kern w:val="0"/>
                <w:sz w:val="24"/>
                <w:szCs w:val="24"/>
                <w:highlight w:val="none"/>
              </w:rPr>
            </w:pPr>
            <w:r>
              <w:rPr>
                <w:rFonts w:hAnsi="宋体"/>
                <w:b w:val="0"/>
                <w:bCs w:val="0"/>
                <w:color w:val="auto"/>
                <w:kern w:val="0"/>
                <w:sz w:val="24"/>
                <w:szCs w:val="24"/>
                <w:highlight w:val="none"/>
              </w:rPr>
              <w:t>区域</w:t>
            </w:r>
          </w:p>
          <w:p w14:paraId="4B28B6A0">
            <w:pPr>
              <w:adjustRightInd w:val="0"/>
              <w:snapToGrid w:val="0"/>
              <w:jc w:val="center"/>
              <w:rPr>
                <w:b w:val="0"/>
                <w:bCs w:val="0"/>
                <w:color w:val="auto"/>
                <w:kern w:val="0"/>
                <w:sz w:val="24"/>
                <w:szCs w:val="24"/>
                <w:highlight w:val="none"/>
              </w:rPr>
            </w:pPr>
            <w:r>
              <w:rPr>
                <w:rFonts w:hAnsi="宋体"/>
                <w:b w:val="0"/>
                <w:bCs w:val="0"/>
                <w:color w:val="auto"/>
                <w:kern w:val="0"/>
                <w:sz w:val="24"/>
                <w:szCs w:val="24"/>
                <w:highlight w:val="none"/>
              </w:rPr>
              <w:t>环境</w:t>
            </w:r>
          </w:p>
          <w:p w14:paraId="3E461FB6">
            <w:pPr>
              <w:adjustRightInd w:val="0"/>
              <w:snapToGrid w:val="0"/>
              <w:jc w:val="center"/>
              <w:rPr>
                <w:b w:val="0"/>
                <w:bCs w:val="0"/>
                <w:color w:val="auto"/>
                <w:kern w:val="0"/>
                <w:sz w:val="24"/>
                <w:szCs w:val="24"/>
                <w:highlight w:val="none"/>
              </w:rPr>
            </w:pPr>
            <w:r>
              <w:rPr>
                <w:rFonts w:hAnsi="宋体"/>
                <w:b w:val="0"/>
                <w:bCs w:val="0"/>
                <w:color w:val="auto"/>
                <w:kern w:val="0"/>
                <w:sz w:val="24"/>
                <w:szCs w:val="24"/>
                <w:highlight w:val="none"/>
              </w:rPr>
              <w:t>质量</w:t>
            </w:r>
          </w:p>
          <w:p w14:paraId="5097A8C8">
            <w:pPr>
              <w:adjustRightInd w:val="0"/>
              <w:snapToGrid w:val="0"/>
              <w:jc w:val="center"/>
              <w:rPr>
                <w:b w:val="0"/>
                <w:bCs w:val="0"/>
                <w:color w:val="auto"/>
                <w:kern w:val="0"/>
                <w:sz w:val="24"/>
                <w:szCs w:val="24"/>
                <w:highlight w:val="green"/>
              </w:rPr>
            </w:pPr>
            <w:r>
              <w:rPr>
                <w:rFonts w:hAnsi="宋体"/>
                <w:b w:val="0"/>
                <w:bCs w:val="0"/>
                <w:color w:val="auto"/>
                <w:kern w:val="0"/>
                <w:sz w:val="24"/>
                <w:szCs w:val="24"/>
                <w:highlight w:val="none"/>
              </w:rPr>
              <w:t>现状</w:t>
            </w:r>
          </w:p>
        </w:tc>
        <w:tc>
          <w:tcPr>
            <w:tcW w:w="8814" w:type="dxa"/>
            <w:noWrap w:val="0"/>
            <w:vAlign w:val="center"/>
          </w:tcPr>
          <w:p w14:paraId="2D989826">
            <w:pPr>
              <w:keepNext/>
              <w:keepLines/>
              <w:adjustRightInd w:val="0"/>
              <w:snapToGrid w:val="0"/>
              <w:spacing w:line="360" w:lineRule="auto"/>
              <w:ind w:firstLine="480" w:firstLineChars="200"/>
              <w:textAlignment w:val="baseline"/>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val="en-US" w:eastAsia="zh-CN"/>
              </w:rPr>
              <w:t>大气环境</w:t>
            </w:r>
          </w:p>
          <w:p w14:paraId="5C0ADA9E">
            <w:pPr>
              <w:keepNext/>
              <w:keepLines/>
              <w:adjustRightInd w:val="0"/>
              <w:snapToGrid w:val="0"/>
              <w:spacing w:line="360" w:lineRule="auto"/>
              <w:ind w:firstLine="480" w:firstLineChars="200"/>
              <w:textAlignment w:val="baseline"/>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fldChar w:fldCharType="begin"/>
            </w:r>
            <w:r>
              <w:rPr>
                <w:rFonts w:hint="eastAsia" w:ascii="Times New Roman" w:hAnsi="Times New Roman" w:eastAsia="宋体" w:cs="Times New Roman"/>
                <w:color w:val="auto"/>
                <w:sz w:val="24"/>
                <w:szCs w:val="24"/>
                <w:highlight w:val="none"/>
                <w:lang w:val="en-US" w:eastAsia="zh-CN"/>
              </w:rPr>
              <w:instrText xml:space="preserve">= 1 \* GB2</w:instrText>
            </w:r>
            <w:r>
              <w:rPr>
                <w:rFonts w:hint="eastAsia" w:ascii="Times New Roman" w:hAnsi="Times New Roman" w:eastAsia="宋体" w:cs="Times New Roman"/>
                <w:color w:val="auto"/>
                <w:sz w:val="24"/>
                <w:szCs w:val="24"/>
                <w:highlight w:val="none"/>
                <w:lang w:val="en-US" w:eastAsia="zh-CN"/>
              </w:rPr>
              <w:fldChar w:fldCharType="separate"/>
            </w:r>
            <w:r>
              <w:rPr>
                <w:rFonts w:hint="eastAsia" w:ascii="Times New Roman" w:hAnsi="Times New Roman" w:eastAsia="宋体" w:cs="Times New Roman"/>
                <w:color w:val="auto"/>
                <w:sz w:val="24"/>
                <w:szCs w:val="24"/>
                <w:highlight w:val="none"/>
                <w:lang w:val="en-US" w:eastAsia="zh-CN"/>
              </w:rPr>
              <w:t>⑴</w:t>
            </w:r>
            <w:r>
              <w:rPr>
                <w:rFonts w:hint="eastAsia" w:ascii="Times New Roman" w:hAnsi="Times New Roman" w:eastAsia="宋体" w:cs="Times New Roman"/>
                <w:color w:val="auto"/>
                <w:sz w:val="24"/>
                <w:szCs w:val="24"/>
                <w:highlight w:val="none"/>
                <w:lang w:val="en-US" w:eastAsia="zh-CN"/>
              </w:rPr>
              <w:fldChar w:fldCharType="end"/>
            </w:r>
            <w:r>
              <w:rPr>
                <w:rFonts w:hint="eastAsia" w:ascii="Times New Roman" w:hAnsi="Times New Roman" w:eastAsia="宋体" w:cs="Times New Roman"/>
                <w:color w:val="auto"/>
                <w:sz w:val="24"/>
                <w:szCs w:val="24"/>
                <w:highlight w:val="none"/>
                <w:lang w:val="en-US" w:eastAsia="zh-CN"/>
              </w:rPr>
              <w:t>达标区判定</w:t>
            </w:r>
          </w:p>
          <w:p w14:paraId="22A15F6B">
            <w:pPr>
              <w:keepNext/>
              <w:keepLines/>
              <w:adjustRightInd w:val="0"/>
              <w:snapToGrid w:val="0"/>
              <w:spacing w:line="360" w:lineRule="auto"/>
              <w:ind w:firstLine="480" w:firstLineChars="200"/>
              <w:textAlignment w:val="baseline"/>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本项目位于宝鸡市太白县，根据大气功能区划，本项目所在地为二类功能区，环境空气质量执行《环境空气质量标准》（GB3095-2026）</w:t>
            </w:r>
            <w:r>
              <w:rPr>
                <w:rFonts w:hint="eastAsia" w:cs="Times New Roman"/>
                <w:color w:val="auto"/>
                <w:sz w:val="24"/>
                <w:szCs w:val="24"/>
                <w:highlight w:val="none"/>
                <w:lang w:val="en-US" w:eastAsia="zh-CN"/>
              </w:rPr>
              <w:t>过渡阶段</w:t>
            </w:r>
            <w:r>
              <w:rPr>
                <w:rFonts w:hint="eastAsia" w:ascii="Times New Roman" w:hAnsi="Times New Roman" w:eastAsia="宋体" w:cs="Times New Roman"/>
                <w:color w:val="auto"/>
                <w:sz w:val="24"/>
                <w:szCs w:val="24"/>
                <w:highlight w:val="none"/>
                <w:lang w:val="en-US" w:eastAsia="zh-CN"/>
              </w:rPr>
              <w:t>二级标准要求。</w:t>
            </w:r>
            <w:r>
              <w:rPr>
                <w:rFonts w:hint="default" w:ascii="Times New Roman" w:hAnsi="Times New Roman" w:eastAsia="宋体" w:cs="Times New Roman"/>
                <w:color w:val="auto"/>
                <w:sz w:val="24"/>
                <w:szCs w:val="24"/>
                <w:highlight w:val="none"/>
              </w:rPr>
              <w:t>根据</w:t>
            </w:r>
            <w:r>
              <w:rPr>
                <w:rFonts w:hint="eastAsia" w:cs="Times New Roman"/>
                <w:color w:val="auto"/>
                <w:sz w:val="24"/>
                <w:szCs w:val="24"/>
                <w:highlight w:val="none"/>
                <w:lang w:val="en-US" w:eastAsia="zh-CN"/>
              </w:rPr>
              <w:t>宝鸡市生态环境局发布的</w:t>
            </w:r>
            <w:r>
              <w:rPr>
                <w:rFonts w:hint="default" w:ascii="Times New Roman" w:hAnsi="Times New Roman" w:eastAsia="宋体" w:cs="Times New Roman"/>
                <w:color w:val="auto"/>
                <w:sz w:val="24"/>
                <w:szCs w:val="24"/>
                <w:highlight w:val="none"/>
              </w:rPr>
              <w:t>《宝鸡市</w:t>
            </w:r>
            <w:r>
              <w:rPr>
                <w:rFonts w:hint="eastAsia" w:cs="Times New Roman"/>
                <w:color w:val="auto"/>
                <w:sz w:val="24"/>
                <w:szCs w:val="24"/>
                <w:highlight w:val="none"/>
                <w:lang w:val="en-US" w:eastAsia="zh-CN"/>
              </w:rPr>
              <w:t>2025年1-12月份各县（区）空气质量状况统计表</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宝鸡市太白县</w:t>
            </w:r>
            <w:r>
              <w:rPr>
                <w:rFonts w:hint="default" w:ascii="Times New Roman" w:hAnsi="Times New Roman" w:eastAsia="宋体" w:cs="Times New Roman"/>
                <w:color w:val="auto"/>
                <w:sz w:val="24"/>
                <w:szCs w:val="24"/>
                <w:highlight w:val="none"/>
              </w:rPr>
              <w:t>统计结果</w:t>
            </w:r>
            <w:r>
              <w:rPr>
                <w:rFonts w:hint="default" w:ascii="Times New Roman" w:hAnsi="Times New Roman" w:eastAsia="宋体" w:cs="Times New Roman"/>
                <w:color w:val="auto"/>
                <w:sz w:val="24"/>
                <w:szCs w:val="24"/>
                <w:highlight w:val="none"/>
                <w:lang w:eastAsia="zh-CN"/>
              </w:rPr>
              <w:t>见</w:t>
            </w:r>
            <w:r>
              <w:rPr>
                <w:rFonts w:hint="default" w:ascii="Times New Roman" w:hAnsi="Times New Roman" w:eastAsia="宋体" w:cs="Times New Roman"/>
                <w:color w:val="auto"/>
                <w:sz w:val="24"/>
                <w:szCs w:val="24"/>
                <w:highlight w:val="none"/>
              </w:rPr>
              <w:t>表</w:t>
            </w:r>
            <w:r>
              <w:rPr>
                <w:rFonts w:hint="eastAsia" w:ascii="Times New Roman" w:hAnsi="Times New Roman" w:eastAsia="宋体" w:cs="Times New Roman"/>
                <w:color w:val="auto"/>
                <w:sz w:val="24"/>
                <w:szCs w:val="24"/>
                <w:highlight w:val="none"/>
                <w:lang w:val="en-US" w:eastAsia="zh-CN"/>
              </w:rPr>
              <w:t>3-1</w:t>
            </w:r>
            <w:r>
              <w:rPr>
                <w:rFonts w:hint="default" w:ascii="Times New Roman" w:hAnsi="Times New Roman" w:eastAsia="宋体" w:cs="Times New Roman"/>
                <w:color w:val="auto"/>
                <w:sz w:val="24"/>
                <w:szCs w:val="24"/>
                <w:highlight w:val="none"/>
              </w:rPr>
              <w:t>。</w:t>
            </w:r>
          </w:p>
          <w:p w14:paraId="5B11FA55">
            <w:pPr>
              <w:keepNext/>
              <w:keepLines/>
              <w:pageBreakBefore w:val="0"/>
              <w:widowControl w:val="0"/>
              <w:kinsoku/>
              <w:wordWrap/>
              <w:overflowPunct/>
              <w:topLinePunct w:val="0"/>
              <w:autoSpaceDE/>
              <w:autoSpaceDN/>
              <w:bidi w:val="0"/>
              <w:adjustRightInd w:val="0"/>
              <w:snapToGrid w:val="0"/>
              <w:spacing w:line="240" w:lineRule="auto"/>
              <w:ind w:firstLine="482" w:firstLineChars="200"/>
              <w:jc w:val="center"/>
              <w:textAlignment w:val="baseline"/>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表</w:t>
            </w:r>
            <w:r>
              <w:rPr>
                <w:rFonts w:hint="eastAsia" w:ascii="Times New Roman" w:hAnsi="Times New Roman" w:eastAsia="宋体" w:cs="Times New Roman"/>
                <w:b/>
                <w:bCs/>
                <w:color w:val="auto"/>
                <w:sz w:val="24"/>
                <w:szCs w:val="24"/>
                <w:highlight w:val="none"/>
                <w:lang w:val="en-US" w:eastAsia="zh-CN"/>
              </w:rPr>
              <w:t>3-1</w:t>
            </w:r>
            <w:r>
              <w:rPr>
                <w:rFonts w:hint="default" w:ascii="Times New Roman" w:hAnsi="Times New Roman" w:eastAsia="宋体" w:cs="Times New Roman"/>
                <w:b/>
                <w:bCs/>
                <w:color w:val="auto"/>
                <w:sz w:val="24"/>
                <w:szCs w:val="24"/>
                <w:highlight w:val="none"/>
                <w:lang w:val="en-US" w:eastAsia="zh-CN"/>
              </w:rPr>
              <w:t xml:space="preserve">  </w:t>
            </w:r>
            <w:r>
              <w:rPr>
                <w:rFonts w:hint="eastAsia"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eastAsia="宋体" w:cs="Times New Roman"/>
                <w:b/>
                <w:bCs/>
                <w:color w:val="auto"/>
                <w:sz w:val="24"/>
                <w:szCs w:val="24"/>
                <w:highlight w:val="none"/>
              </w:rPr>
              <w:t>区域环境质量现状评价表</w:t>
            </w:r>
          </w:p>
          <w:tbl>
            <w:tblPr>
              <w:tblStyle w:val="37"/>
              <w:tblW w:w="4998" w:type="pct"/>
              <w:tblInd w:w="6"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1950"/>
              <w:gridCol w:w="1210"/>
              <w:gridCol w:w="1035"/>
              <w:gridCol w:w="1200"/>
              <w:gridCol w:w="1171"/>
            </w:tblGrid>
            <w:tr w14:paraId="61FDC8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27" w:type="dxa"/>
                  <w:tcBorders>
                    <w:tl2br w:val="nil"/>
                    <w:tr2bl w:val="nil"/>
                  </w:tcBorders>
                  <w:noWrap w:val="0"/>
                  <w:vAlign w:val="center"/>
                </w:tcPr>
                <w:p w14:paraId="12BAE804">
                  <w:pPr>
                    <w:adjustRightInd w:val="0"/>
                    <w:snapToGrid w:val="0"/>
                    <w:jc w:val="center"/>
                    <w:rPr>
                      <w:color w:val="auto"/>
                      <w:szCs w:val="21"/>
                      <w:highlight w:val="none"/>
                    </w:rPr>
                  </w:pPr>
                  <w:r>
                    <w:rPr>
                      <w:color w:val="auto"/>
                      <w:szCs w:val="21"/>
                      <w:highlight w:val="none"/>
                    </w:rPr>
                    <w:t>污染物</w:t>
                  </w:r>
                </w:p>
              </w:tc>
              <w:tc>
                <w:tcPr>
                  <w:tcW w:w="1945" w:type="dxa"/>
                  <w:tcBorders>
                    <w:tl2br w:val="nil"/>
                    <w:tr2bl w:val="nil"/>
                  </w:tcBorders>
                  <w:noWrap w:val="0"/>
                  <w:vAlign w:val="center"/>
                </w:tcPr>
                <w:p w14:paraId="21DFBF3E">
                  <w:pPr>
                    <w:adjustRightInd w:val="0"/>
                    <w:snapToGrid w:val="0"/>
                    <w:jc w:val="center"/>
                    <w:rPr>
                      <w:color w:val="auto"/>
                      <w:szCs w:val="21"/>
                      <w:highlight w:val="none"/>
                    </w:rPr>
                  </w:pPr>
                  <w:r>
                    <w:rPr>
                      <w:color w:val="auto"/>
                      <w:szCs w:val="21"/>
                      <w:highlight w:val="none"/>
                    </w:rPr>
                    <w:t>年评价指标</w:t>
                  </w:r>
                </w:p>
              </w:tc>
              <w:tc>
                <w:tcPr>
                  <w:tcW w:w="1209" w:type="dxa"/>
                  <w:tcBorders>
                    <w:tl2br w:val="nil"/>
                    <w:tr2bl w:val="nil"/>
                  </w:tcBorders>
                  <w:noWrap w:val="0"/>
                  <w:vAlign w:val="center"/>
                </w:tcPr>
                <w:p w14:paraId="3163D48E">
                  <w:pPr>
                    <w:adjustRightInd w:val="0"/>
                    <w:snapToGrid w:val="0"/>
                    <w:jc w:val="center"/>
                    <w:rPr>
                      <w:color w:val="auto"/>
                      <w:szCs w:val="21"/>
                      <w:highlight w:val="none"/>
                    </w:rPr>
                  </w:pPr>
                  <w:r>
                    <w:rPr>
                      <w:color w:val="auto"/>
                      <w:szCs w:val="21"/>
                      <w:highlight w:val="none"/>
                    </w:rPr>
                    <w:t>现状浓度</w:t>
                  </w:r>
                </w:p>
              </w:tc>
              <w:tc>
                <w:tcPr>
                  <w:tcW w:w="1032" w:type="dxa"/>
                  <w:tcBorders>
                    <w:tl2br w:val="nil"/>
                    <w:tr2bl w:val="nil"/>
                  </w:tcBorders>
                  <w:noWrap w:val="0"/>
                  <w:vAlign w:val="center"/>
                </w:tcPr>
                <w:p w14:paraId="1A40B144">
                  <w:pPr>
                    <w:adjustRightInd w:val="0"/>
                    <w:snapToGrid w:val="0"/>
                    <w:jc w:val="center"/>
                    <w:rPr>
                      <w:color w:val="auto"/>
                      <w:szCs w:val="21"/>
                      <w:highlight w:val="none"/>
                    </w:rPr>
                  </w:pPr>
                  <w:r>
                    <w:rPr>
                      <w:color w:val="auto"/>
                      <w:szCs w:val="21"/>
                      <w:highlight w:val="none"/>
                    </w:rPr>
                    <w:t>标准值</w:t>
                  </w:r>
                </w:p>
              </w:tc>
              <w:tc>
                <w:tcPr>
                  <w:tcW w:w="1199" w:type="dxa"/>
                  <w:tcBorders>
                    <w:tl2br w:val="nil"/>
                    <w:tr2bl w:val="nil"/>
                  </w:tcBorders>
                  <w:noWrap w:val="0"/>
                  <w:vAlign w:val="center"/>
                </w:tcPr>
                <w:p w14:paraId="06439961">
                  <w:pPr>
                    <w:adjustRightInd w:val="0"/>
                    <w:snapToGrid w:val="0"/>
                    <w:jc w:val="center"/>
                    <w:rPr>
                      <w:color w:val="auto"/>
                      <w:szCs w:val="21"/>
                      <w:highlight w:val="none"/>
                    </w:rPr>
                  </w:pPr>
                  <w:r>
                    <w:rPr>
                      <w:color w:val="auto"/>
                      <w:szCs w:val="21"/>
                      <w:highlight w:val="none"/>
                    </w:rPr>
                    <w:t>占标率</w:t>
                  </w:r>
                </w:p>
                <w:p w14:paraId="3B2899E1">
                  <w:pPr>
                    <w:adjustRightInd w:val="0"/>
                    <w:snapToGrid w:val="0"/>
                    <w:jc w:val="center"/>
                    <w:rPr>
                      <w:color w:val="auto"/>
                      <w:szCs w:val="21"/>
                      <w:highlight w:val="none"/>
                    </w:rPr>
                  </w:pPr>
                  <w:r>
                    <w:rPr>
                      <w:color w:val="auto"/>
                      <w:szCs w:val="21"/>
                      <w:highlight w:val="none"/>
                    </w:rPr>
                    <w:t>（%）</w:t>
                  </w:r>
                </w:p>
              </w:tc>
              <w:tc>
                <w:tcPr>
                  <w:tcW w:w="1167" w:type="dxa"/>
                  <w:tcBorders>
                    <w:tl2br w:val="nil"/>
                    <w:tr2bl w:val="nil"/>
                  </w:tcBorders>
                  <w:noWrap w:val="0"/>
                  <w:vAlign w:val="center"/>
                </w:tcPr>
                <w:p w14:paraId="032F7166">
                  <w:pPr>
                    <w:adjustRightInd w:val="0"/>
                    <w:snapToGrid w:val="0"/>
                    <w:jc w:val="center"/>
                    <w:rPr>
                      <w:color w:val="auto"/>
                      <w:szCs w:val="21"/>
                      <w:highlight w:val="none"/>
                    </w:rPr>
                  </w:pPr>
                  <w:r>
                    <w:rPr>
                      <w:color w:val="auto"/>
                      <w:szCs w:val="21"/>
                      <w:highlight w:val="none"/>
                    </w:rPr>
                    <w:t>达标</w:t>
                  </w:r>
                </w:p>
                <w:p w14:paraId="6CA2B3B0">
                  <w:pPr>
                    <w:adjustRightInd w:val="0"/>
                    <w:snapToGrid w:val="0"/>
                    <w:jc w:val="center"/>
                    <w:rPr>
                      <w:color w:val="auto"/>
                      <w:szCs w:val="21"/>
                      <w:highlight w:val="none"/>
                    </w:rPr>
                  </w:pPr>
                  <w:r>
                    <w:rPr>
                      <w:color w:val="auto"/>
                      <w:szCs w:val="21"/>
                      <w:highlight w:val="none"/>
                    </w:rPr>
                    <w:t>情况</w:t>
                  </w:r>
                </w:p>
              </w:tc>
            </w:tr>
            <w:tr w14:paraId="3B9415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27" w:type="dxa"/>
                  <w:tcBorders>
                    <w:tl2br w:val="nil"/>
                    <w:tr2bl w:val="nil"/>
                  </w:tcBorders>
                  <w:noWrap w:val="0"/>
                  <w:vAlign w:val="center"/>
                </w:tcPr>
                <w:p w14:paraId="4126E1EF">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PM</w:t>
                  </w:r>
                  <w:r>
                    <w:rPr>
                      <w:rFonts w:hint="default" w:ascii="Times New Roman" w:hAnsi="Times New Roman" w:cs="Times New Roman"/>
                      <w:color w:val="auto"/>
                      <w:szCs w:val="21"/>
                      <w:highlight w:val="none"/>
                      <w:vertAlign w:val="subscript"/>
                    </w:rPr>
                    <w:t>10</w:t>
                  </w:r>
                  <w:r>
                    <w:rPr>
                      <w:rFonts w:hint="default" w:ascii="Times New Roman" w:hAnsi="Times New Roman" w:cs="Times New Roman"/>
                      <w:color w:val="auto"/>
                      <w:szCs w:val="21"/>
                      <w:highlight w:val="none"/>
                      <w:vertAlign w:val="baseline"/>
                      <w:lang w:eastAsia="zh-CN"/>
                    </w:rPr>
                    <w:t>（</w:t>
                  </w:r>
                  <w:r>
                    <w:rPr>
                      <w:rFonts w:hint="default" w:ascii="Times New Roman" w:hAnsi="Times New Roman" w:eastAsia="宋体" w:cs="Times New Roman"/>
                      <w:color w:val="auto"/>
                      <w:szCs w:val="21"/>
                      <w:highlight w:val="none"/>
                      <w:vertAlign w:val="baseline"/>
                      <w:lang w:eastAsia="zh-CN"/>
                    </w:rPr>
                    <w:t>μ</w:t>
                  </w:r>
                  <w:r>
                    <w:rPr>
                      <w:rFonts w:hint="default" w:ascii="Times New Roman" w:hAnsi="Times New Roman" w:cs="Times New Roman"/>
                      <w:color w:val="auto"/>
                      <w:szCs w:val="21"/>
                      <w:highlight w:val="none"/>
                      <w:vertAlign w:val="baseline"/>
                      <w:lang w:eastAsia="zh-CN"/>
                    </w:rPr>
                    <w:t>g/m</w:t>
                  </w:r>
                  <w:r>
                    <w:rPr>
                      <w:rFonts w:hint="default" w:ascii="Times New Roman" w:hAnsi="Times New Roman" w:cs="Times New Roman"/>
                      <w:color w:val="auto"/>
                      <w:szCs w:val="21"/>
                      <w:highlight w:val="none"/>
                      <w:vertAlign w:val="superscript"/>
                      <w:lang w:eastAsia="zh-CN"/>
                    </w:rPr>
                    <w:t>3</w:t>
                  </w:r>
                  <w:r>
                    <w:rPr>
                      <w:rFonts w:hint="default" w:ascii="Times New Roman" w:hAnsi="Times New Roman" w:cs="Times New Roman"/>
                      <w:color w:val="auto"/>
                      <w:szCs w:val="21"/>
                      <w:highlight w:val="none"/>
                      <w:vertAlign w:val="baseline"/>
                      <w:lang w:eastAsia="zh-CN"/>
                    </w:rPr>
                    <w:t>）</w:t>
                  </w:r>
                </w:p>
              </w:tc>
              <w:tc>
                <w:tcPr>
                  <w:tcW w:w="1945" w:type="dxa"/>
                  <w:tcBorders>
                    <w:tl2br w:val="nil"/>
                    <w:tr2bl w:val="nil"/>
                  </w:tcBorders>
                  <w:noWrap w:val="0"/>
                  <w:vAlign w:val="center"/>
                </w:tcPr>
                <w:p w14:paraId="4F9843CB">
                  <w:pPr>
                    <w:adjustRightInd w:val="0"/>
                    <w:snapToGrid w:val="0"/>
                    <w:jc w:val="center"/>
                    <w:rPr>
                      <w:color w:val="auto"/>
                      <w:szCs w:val="21"/>
                      <w:highlight w:val="none"/>
                    </w:rPr>
                  </w:pPr>
                  <w:r>
                    <w:rPr>
                      <w:color w:val="auto"/>
                      <w:szCs w:val="21"/>
                      <w:highlight w:val="none"/>
                    </w:rPr>
                    <w:t>年平均质量浓度</w:t>
                  </w:r>
                </w:p>
              </w:tc>
              <w:tc>
                <w:tcPr>
                  <w:tcW w:w="1209" w:type="dxa"/>
                  <w:tcBorders>
                    <w:tl2br w:val="nil"/>
                    <w:tr2bl w:val="nil"/>
                  </w:tcBorders>
                  <w:noWrap w:val="0"/>
                  <w:vAlign w:val="center"/>
                </w:tcPr>
                <w:p w14:paraId="29CDD607">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26</w:t>
                  </w:r>
                </w:p>
              </w:tc>
              <w:tc>
                <w:tcPr>
                  <w:tcW w:w="1032" w:type="dxa"/>
                  <w:tcBorders>
                    <w:tl2br w:val="nil"/>
                    <w:tr2bl w:val="nil"/>
                  </w:tcBorders>
                  <w:noWrap w:val="0"/>
                  <w:vAlign w:val="center"/>
                </w:tcPr>
                <w:p w14:paraId="7FF132DE">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60</w:t>
                  </w:r>
                </w:p>
              </w:tc>
              <w:tc>
                <w:tcPr>
                  <w:tcW w:w="1199" w:type="dxa"/>
                  <w:tcBorders>
                    <w:tl2br w:val="nil"/>
                    <w:tr2bl w:val="nil"/>
                  </w:tcBorders>
                  <w:noWrap w:val="0"/>
                  <w:vAlign w:val="center"/>
                </w:tcPr>
                <w:p w14:paraId="32FBE33F">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43.3</w:t>
                  </w:r>
                </w:p>
              </w:tc>
              <w:tc>
                <w:tcPr>
                  <w:tcW w:w="1167" w:type="dxa"/>
                  <w:tcBorders>
                    <w:tl2br w:val="nil"/>
                    <w:tr2bl w:val="nil"/>
                  </w:tcBorders>
                  <w:noWrap w:val="0"/>
                  <w:vAlign w:val="center"/>
                </w:tcPr>
                <w:p w14:paraId="23109CF4">
                  <w:pPr>
                    <w:adjustRightInd w:val="0"/>
                    <w:snapToGrid w:val="0"/>
                    <w:jc w:val="center"/>
                    <w:rPr>
                      <w:color w:val="auto"/>
                      <w:szCs w:val="21"/>
                      <w:highlight w:val="none"/>
                    </w:rPr>
                  </w:pPr>
                  <w:r>
                    <w:rPr>
                      <w:color w:val="auto"/>
                      <w:szCs w:val="21"/>
                      <w:highlight w:val="none"/>
                    </w:rPr>
                    <w:t>达标</w:t>
                  </w:r>
                </w:p>
              </w:tc>
            </w:tr>
            <w:tr w14:paraId="196FD5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27" w:type="dxa"/>
                  <w:tcBorders>
                    <w:tl2br w:val="nil"/>
                    <w:tr2bl w:val="nil"/>
                  </w:tcBorders>
                  <w:noWrap w:val="0"/>
                  <w:vAlign w:val="center"/>
                </w:tcPr>
                <w:p w14:paraId="4941B8F0">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PM</w:t>
                  </w:r>
                  <w:r>
                    <w:rPr>
                      <w:rFonts w:hint="default" w:ascii="Times New Roman" w:hAnsi="Times New Roman" w:cs="Times New Roman"/>
                      <w:color w:val="auto"/>
                      <w:szCs w:val="21"/>
                      <w:highlight w:val="none"/>
                      <w:vertAlign w:val="subscript"/>
                    </w:rPr>
                    <w:t>2.5</w:t>
                  </w:r>
                  <w:r>
                    <w:rPr>
                      <w:rFonts w:hint="default" w:ascii="Times New Roman" w:hAnsi="Times New Roman" w:cs="Times New Roman"/>
                      <w:color w:val="auto"/>
                      <w:szCs w:val="21"/>
                      <w:highlight w:val="none"/>
                      <w:vertAlign w:val="baseline"/>
                      <w:lang w:eastAsia="zh-CN"/>
                    </w:rPr>
                    <w:t>（</w:t>
                  </w:r>
                  <w:r>
                    <w:rPr>
                      <w:rFonts w:hint="default" w:ascii="Times New Roman" w:hAnsi="Times New Roman" w:eastAsia="宋体" w:cs="Times New Roman"/>
                      <w:color w:val="auto"/>
                      <w:szCs w:val="21"/>
                      <w:highlight w:val="none"/>
                      <w:vertAlign w:val="baseline"/>
                      <w:lang w:eastAsia="zh-CN"/>
                    </w:rPr>
                    <w:t>μ</w:t>
                  </w:r>
                  <w:r>
                    <w:rPr>
                      <w:rFonts w:hint="default" w:ascii="Times New Roman" w:hAnsi="Times New Roman" w:cs="Times New Roman"/>
                      <w:color w:val="auto"/>
                      <w:szCs w:val="21"/>
                      <w:highlight w:val="none"/>
                      <w:vertAlign w:val="baseline"/>
                      <w:lang w:eastAsia="zh-CN"/>
                    </w:rPr>
                    <w:t>g/m</w:t>
                  </w:r>
                  <w:r>
                    <w:rPr>
                      <w:rFonts w:hint="default" w:ascii="Times New Roman" w:hAnsi="Times New Roman" w:cs="Times New Roman"/>
                      <w:color w:val="auto"/>
                      <w:szCs w:val="21"/>
                      <w:highlight w:val="none"/>
                      <w:vertAlign w:val="superscript"/>
                      <w:lang w:eastAsia="zh-CN"/>
                    </w:rPr>
                    <w:t>3</w:t>
                  </w:r>
                  <w:r>
                    <w:rPr>
                      <w:rFonts w:hint="default" w:ascii="Times New Roman" w:hAnsi="Times New Roman" w:cs="Times New Roman"/>
                      <w:color w:val="auto"/>
                      <w:szCs w:val="21"/>
                      <w:highlight w:val="none"/>
                      <w:vertAlign w:val="baseline"/>
                      <w:lang w:eastAsia="zh-CN"/>
                    </w:rPr>
                    <w:t>）</w:t>
                  </w:r>
                </w:p>
              </w:tc>
              <w:tc>
                <w:tcPr>
                  <w:tcW w:w="1945" w:type="dxa"/>
                  <w:tcBorders>
                    <w:tl2br w:val="nil"/>
                    <w:tr2bl w:val="nil"/>
                  </w:tcBorders>
                  <w:noWrap w:val="0"/>
                  <w:vAlign w:val="center"/>
                </w:tcPr>
                <w:p w14:paraId="5FE78674">
                  <w:pPr>
                    <w:adjustRightInd w:val="0"/>
                    <w:snapToGrid w:val="0"/>
                    <w:jc w:val="center"/>
                    <w:rPr>
                      <w:color w:val="auto"/>
                      <w:szCs w:val="21"/>
                      <w:highlight w:val="none"/>
                    </w:rPr>
                  </w:pPr>
                  <w:r>
                    <w:rPr>
                      <w:color w:val="auto"/>
                      <w:szCs w:val="21"/>
                      <w:highlight w:val="none"/>
                    </w:rPr>
                    <w:t>年平均质量浓度</w:t>
                  </w:r>
                </w:p>
              </w:tc>
              <w:tc>
                <w:tcPr>
                  <w:tcW w:w="1209" w:type="dxa"/>
                  <w:tcBorders>
                    <w:tl2br w:val="nil"/>
                    <w:tr2bl w:val="nil"/>
                  </w:tcBorders>
                  <w:noWrap w:val="0"/>
                  <w:vAlign w:val="center"/>
                </w:tcPr>
                <w:p w14:paraId="7A67E6AD">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12.8</w:t>
                  </w:r>
                </w:p>
              </w:tc>
              <w:tc>
                <w:tcPr>
                  <w:tcW w:w="1032" w:type="dxa"/>
                  <w:tcBorders>
                    <w:tl2br w:val="nil"/>
                    <w:tr2bl w:val="nil"/>
                  </w:tcBorders>
                  <w:noWrap w:val="0"/>
                  <w:vAlign w:val="center"/>
                </w:tcPr>
                <w:p w14:paraId="048F7B76">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30</w:t>
                  </w:r>
                </w:p>
              </w:tc>
              <w:tc>
                <w:tcPr>
                  <w:tcW w:w="1199" w:type="dxa"/>
                  <w:tcBorders>
                    <w:tl2br w:val="nil"/>
                    <w:tr2bl w:val="nil"/>
                  </w:tcBorders>
                  <w:noWrap w:val="0"/>
                  <w:vAlign w:val="center"/>
                </w:tcPr>
                <w:p w14:paraId="253E0252">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42.7</w:t>
                  </w:r>
                </w:p>
              </w:tc>
              <w:tc>
                <w:tcPr>
                  <w:tcW w:w="1167" w:type="dxa"/>
                  <w:tcBorders>
                    <w:tl2br w:val="nil"/>
                    <w:tr2bl w:val="nil"/>
                  </w:tcBorders>
                  <w:noWrap w:val="0"/>
                  <w:vAlign w:val="center"/>
                </w:tcPr>
                <w:p w14:paraId="3308A43D">
                  <w:pPr>
                    <w:adjustRightInd w:val="0"/>
                    <w:snapToGrid w:val="0"/>
                    <w:jc w:val="center"/>
                    <w:rPr>
                      <w:color w:val="auto"/>
                      <w:szCs w:val="21"/>
                      <w:highlight w:val="none"/>
                    </w:rPr>
                  </w:pPr>
                  <w:r>
                    <w:rPr>
                      <w:color w:val="auto"/>
                      <w:szCs w:val="21"/>
                      <w:highlight w:val="none"/>
                    </w:rPr>
                    <w:t>达标</w:t>
                  </w:r>
                </w:p>
              </w:tc>
            </w:tr>
            <w:tr w14:paraId="46894F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27" w:type="dxa"/>
                  <w:tcBorders>
                    <w:tl2br w:val="nil"/>
                    <w:tr2bl w:val="nil"/>
                  </w:tcBorders>
                  <w:noWrap w:val="0"/>
                  <w:vAlign w:val="center"/>
                </w:tcPr>
                <w:p w14:paraId="2394985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SO</w:t>
                  </w:r>
                  <w:r>
                    <w:rPr>
                      <w:rFonts w:hint="default" w:ascii="Times New Roman" w:hAnsi="Times New Roman" w:cs="Times New Roman"/>
                      <w:color w:val="auto"/>
                      <w:szCs w:val="21"/>
                      <w:highlight w:val="none"/>
                      <w:vertAlign w:val="subscript"/>
                    </w:rPr>
                    <w:t>2</w:t>
                  </w:r>
                  <w:r>
                    <w:rPr>
                      <w:rFonts w:hint="default" w:ascii="Times New Roman" w:hAnsi="Times New Roman" w:cs="Times New Roman"/>
                      <w:color w:val="auto"/>
                      <w:szCs w:val="21"/>
                      <w:highlight w:val="none"/>
                      <w:vertAlign w:val="baseline"/>
                      <w:lang w:eastAsia="zh-CN"/>
                    </w:rPr>
                    <w:t>（</w:t>
                  </w:r>
                  <w:r>
                    <w:rPr>
                      <w:rFonts w:hint="default" w:ascii="Times New Roman" w:hAnsi="Times New Roman" w:eastAsia="宋体" w:cs="Times New Roman"/>
                      <w:color w:val="auto"/>
                      <w:szCs w:val="21"/>
                      <w:highlight w:val="none"/>
                      <w:vertAlign w:val="baseline"/>
                      <w:lang w:eastAsia="zh-CN"/>
                    </w:rPr>
                    <w:t>μ</w:t>
                  </w:r>
                  <w:r>
                    <w:rPr>
                      <w:rFonts w:hint="default" w:ascii="Times New Roman" w:hAnsi="Times New Roman" w:cs="Times New Roman"/>
                      <w:color w:val="auto"/>
                      <w:szCs w:val="21"/>
                      <w:highlight w:val="none"/>
                      <w:vertAlign w:val="baseline"/>
                      <w:lang w:eastAsia="zh-CN"/>
                    </w:rPr>
                    <w:t>g/m</w:t>
                  </w:r>
                  <w:r>
                    <w:rPr>
                      <w:rFonts w:hint="default" w:ascii="Times New Roman" w:hAnsi="Times New Roman" w:cs="Times New Roman"/>
                      <w:color w:val="auto"/>
                      <w:szCs w:val="21"/>
                      <w:highlight w:val="none"/>
                      <w:vertAlign w:val="superscript"/>
                      <w:lang w:eastAsia="zh-CN"/>
                    </w:rPr>
                    <w:t>3</w:t>
                  </w:r>
                  <w:r>
                    <w:rPr>
                      <w:rFonts w:hint="default" w:ascii="Times New Roman" w:hAnsi="Times New Roman" w:cs="Times New Roman"/>
                      <w:color w:val="auto"/>
                      <w:szCs w:val="21"/>
                      <w:highlight w:val="none"/>
                      <w:vertAlign w:val="baseline"/>
                      <w:lang w:eastAsia="zh-CN"/>
                    </w:rPr>
                    <w:t>）</w:t>
                  </w:r>
                </w:p>
              </w:tc>
              <w:tc>
                <w:tcPr>
                  <w:tcW w:w="1945" w:type="dxa"/>
                  <w:tcBorders>
                    <w:tl2br w:val="nil"/>
                    <w:tr2bl w:val="nil"/>
                  </w:tcBorders>
                  <w:noWrap w:val="0"/>
                  <w:vAlign w:val="center"/>
                </w:tcPr>
                <w:p w14:paraId="656192F8">
                  <w:pPr>
                    <w:adjustRightInd w:val="0"/>
                    <w:snapToGrid w:val="0"/>
                    <w:jc w:val="center"/>
                    <w:rPr>
                      <w:color w:val="auto"/>
                      <w:szCs w:val="21"/>
                      <w:highlight w:val="none"/>
                    </w:rPr>
                  </w:pPr>
                  <w:r>
                    <w:rPr>
                      <w:color w:val="auto"/>
                      <w:szCs w:val="21"/>
                      <w:highlight w:val="none"/>
                    </w:rPr>
                    <w:t>年平均质量浓度</w:t>
                  </w:r>
                </w:p>
              </w:tc>
              <w:tc>
                <w:tcPr>
                  <w:tcW w:w="1209" w:type="dxa"/>
                  <w:tcBorders>
                    <w:tl2br w:val="nil"/>
                    <w:tr2bl w:val="nil"/>
                  </w:tcBorders>
                  <w:noWrap w:val="0"/>
                  <w:vAlign w:val="center"/>
                </w:tcPr>
                <w:p w14:paraId="5DBB8EDB">
                  <w:pPr>
                    <w:adjustRightInd w:val="0"/>
                    <w:snapToGrid w:val="0"/>
                    <w:jc w:val="center"/>
                    <w:rPr>
                      <w:rFonts w:hint="eastAsia" w:eastAsia="宋体"/>
                      <w:color w:val="auto"/>
                      <w:szCs w:val="21"/>
                      <w:highlight w:val="none"/>
                      <w:lang w:eastAsia="zh-CN"/>
                    </w:rPr>
                  </w:pPr>
                  <w:r>
                    <w:rPr>
                      <w:rFonts w:hint="eastAsia"/>
                      <w:color w:val="auto"/>
                      <w:szCs w:val="21"/>
                      <w:highlight w:val="none"/>
                      <w:lang w:val="en-US" w:eastAsia="zh-CN"/>
                    </w:rPr>
                    <w:t>7</w:t>
                  </w:r>
                </w:p>
              </w:tc>
              <w:tc>
                <w:tcPr>
                  <w:tcW w:w="1032" w:type="dxa"/>
                  <w:tcBorders>
                    <w:tl2br w:val="nil"/>
                    <w:tr2bl w:val="nil"/>
                  </w:tcBorders>
                  <w:noWrap w:val="0"/>
                  <w:vAlign w:val="center"/>
                </w:tcPr>
                <w:p w14:paraId="2AB65BAD">
                  <w:pPr>
                    <w:adjustRightInd w:val="0"/>
                    <w:snapToGrid w:val="0"/>
                    <w:jc w:val="center"/>
                    <w:rPr>
                      <w:color w:val="auto"/>
                      <w:szCs w:val="21"/>
                      <w:highlight w:val="none"/>
                    </w:rPr>
                  </w:pPr>
                  <w:r>
                    <w:rPr>
                      <w:color w:val="auto"/>
                      <w:szCs w:val="21"/>
                      <w:highlight w:val="none"/>
                    </w:rPr>
                    <w:t>60</w:t>
                  </w:r>
                </w:p>
              </w:tc>
              <w:tc>
                <w:tcPr>
                  <w:tcW w:w="1199" w:type="dxa"/>
                  <w:tcBorders>
                    <w:tl2br w:val="nil"/>
                    <w:tr2bl w:val="nil"/>
                  </w:tcBorders>
                  <w:noWrap w:val="0"/>
                  <w:vAlign w:val="center"/>
                </w:tcPr>
                <w:p w14:paraId="74204014">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11.7</w:t>
                  </w:r>
                </w:p>
              </w:tc>
              <w:tc>
                <w:tcPr>
                  <w:tcW w:w="1167" w:type="dxa"/>
                  <w:tcBorders>
                    <w:tl2br w:val="nil"/>
                    <w:tr2bl w:val="nil"/>
                  </w:tcBorders>
                  <w:noWrap w:val="0"/>
                  <w:vAlign w:val="center"/>
                </w:tcPr>
                <w:p w14:paraId="321B6C40">
                  <w:pPr>
                    <w:adjustRightInd w:val="0"/>
                    <w:snapToGrid w:val="0"/>
                    <w:jc w:val="center"/>
                    <w:rPr>
                      <w:color w:val="auto"/>
                      <w:szCs w:val="21"/>
                      <w:highlight w:val="none"/>
                    </w:rPr>
                  </w:pPr>
                  <w:r>
                    <w:rPr>
                      <w:color w:val="auto"/>
                      <w:szCs w:val="21"/>
                      <w:highlight w:val="none"/>
                    </w:rPr>
                    <w:t>达标</w:t>
                  </w:r>
                </w:p>
              </w:tc>
            </w:tr>
            <w:tr w14:paraId="317CAE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27" w:type="dxa"/>
                  <w:tcBorders>
                    <w:tl2br w:val="nil"/>
                    <w:tr2bl w:val="nil"/>
                  </w:tcBorders>
                  <w:noWrap w:val="0"/>
                  <w:vAlign w:val="center"/>
                </w:tcPr>
                <w:p w14:paraId="353C84B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NO</w:t>
                  </w:r>
                  <w:r>
                    <w:rPr>
                      <w:rFonts w:hint="default" w:ascii="Times New Roman" w:hAnsi="Times New Roman" w:cs="Times New Roman"/>
                      <w:color w:val="auto"/>
                      <w:szCs w:val="21"/>
                      <w:highlight w:val="none"/>
                      <w:vertAlign w:val="subscript"/>
                    </w:rPr>
                    <w:t>2</w:t>
                  </w:r>
                  <w:r>
                    <w:rPr>
                      <w:rFonts w:hint="default" w:ascii="Times New Roman" w:hAnsi="Times New Roman" w:cs="Times New Roman"/>
                      <w:color w:val="auto"/>
                      <w:szCs w:val="21"/>
                      <w:highlight w:val="none"/>
                      <w:vertAlign w:val="baseline"/>
                      <w:lang w:eastAsia="zh-CN"/>
                    </w:rPr>
                    <w:t>（</w:t>
                  </w:r>
                  <w:r>
                    <w:rPr>
                      <w:rFonts w:hint="default" w:ascii="Times New Roman" w:hAnsi="Times New Roman" w:eastAsia="宋体" w:cs="Times New Roman"/>
                      <w:color w:val="auto"/>
                      <w:szCs w:val="21"/>
                      <w:highlight w:val="none"/>
                      <w:vertAlign w:val="baseline"/>
                      <w:lang w:eastAsia="zh-CN"/>
                    </w:rPr>
                    <w:t>μ</w:t>
                  </w:r>
                  <w:r>
                    <w:rPr>
                      <w:rFonts w:hint="default" w:ascii="Times New Roman" w:hAnsi="Times New Roman" w:cs="Times New Roman"/>
                      <w:color w:val="auto"/>
                      <w:szCs w:val="21"/>
                      <w:highlight w:val="none"/>
                      <w:vertAlign w:val="baseline"/>
                      <w:lang w:eastAsia="zh-CN"/>
                    </w:rPr>
                    <w:t>g/m</w:t>
                  </w:r>
                  <w:r>
                    <w:rPr>
                      <w:rFonts w:hint="default" w:ascii="Times New Roman" w:hAnsi="Times New Roman" w:cs="Times New Roman"/>
                      <w:color w:val="auto"/>
                      <w:szCs w:val="21"/>
                      <w:highlight w:val="none"/>
                      <w:vertAlign w:val="superscript"/>
                      <w:lang w:eastAsia="zh-CN"/>
                    </w:rPr>
                    <w:t>3</w:t>
                  </w:r>
                  <w:r>
                    <w:rPr>
                      <w:rFonts w:hint="default" w:ascii="Times New Roman" w:hAnsi="Times New Roman" w:cs="Times New Roman"/>
                      <w:color w:val="auto"/>
                      <w:szCs w:val="21"/>
                      <w:highlight w:val="none"/>
                      <w:vertAlign w:val="baseline"/>
                      <w:lang w:eastAsia="zh-CN"/>
                    </w:rPr>
                    <w:t>）</w:t>
                  </w:r>
                </w:p>
              </w:tc>
              <w:tc>
                <w:tcPr>
                  <w:tcW w:w="1945" w:type="dxa"/>
                  <w:tcBorders>
                    <w:tl2br w:val="nil"/>
                    <w:tr2bl w:val="nil"/>
                  </w:tcBorders>
                  <w:noWrap w:val="0"/>
                  <w:vAlign w:val="center"/>
                </w:tcPr>
                <w:p w14:paraId="40760DF1">
                  <w:pPr>
                    <w:adjustRightInd w:val="0"/>
                    <w:snapToGrid w:val="0"/>
                    <w:jc w:val="center"/>
                    <w:rPr>
                      <w:color w:val="auto"/>
                      <w:szCs w:val="21"/>
                      <w:highlight w:val="none"/>
                    </w:rPr>
                  </w:pPr>
                  <w:r>
                    <w:rPr>
                      <w:color w:val="auto"/>
                      <w:szCs w:val="21"/>
                      <w:highlight w:val="none"/>
                    </w:rPr>
                    <w:t>年平均质量浓度</w:t>
                  </w:r>
                </w:p>
              </w:tc>
              <w:tc>
                <w:tcPr>
                  <w:tcW w:w="1209" w:type="dxa"/>
                  <w:tcBorders>
                    <w:tl2br w:val="nil"/>
                    <w:tr2bl w:val="nil"/>
                  </w:tcBorders>
                  <w:noWrap w:val="0"/>
                  <w:vAlign w:val="center"/>
                </w:tcPr>
                <w:p w14:paraId="54C5E470">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9</w:t>
                  </w:r>
                </w:p>
              </w:tc>
              <w:tc>
                <w:tcPr>
                  <w:tcW w:w="1032" w:type="dxa"/>
                  <w:tcBorders>
                    <w:tl2br w:val="nil"/>
                    <w:tr2bl w:val="nil"/>
                  </w:tcBorders>
                  <w:noWrap w:val="0"/>
                  <w:vAlign w:val="center"/>
                </w:tcPr>
                <w:p w14:paraId="5E31B3DD">
                  <w:pPr>
                    <w:adjustRightInd w:val="0"/>
                    <w:snapToGrid w:val="0"/>
                    <w:jc w:val="center"/>
                    <w:rPr>
                      <w:color w:val="auto"/>
                      <w:szCs w:val="21"/>
                      <w:highlight w:val="none"/>
                    </w:rPr>
                  </w:pPr>
                  <w:r>
                    <w:rPr>
                      <w:color w:val="auto"/>
                      <w:szCs w:val="21"/>
                      <w:highlight w:val="none"/>
                    </w:rPr>
                    <w:t>40</w:t>
                  </w:r>
                </w:p>
              </w:tc>
              <w:tc>
                <w:tcPr>
                  <w:tcW w:w="1199" w:type="dxa"/>
                  <w:tcBorders>
                    <w:tl2br w:val="nil"/>
                    <w:tr2bl w:val="nil"/>
                  </w:tcBorders>
                  <w:noWrap w:val="0"/>
                  <w:vAlign w:val="center"/>
                </w:tcPr>
                <w:p w14:paraId="4F739050">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22.5</w:t>
                  </w:r>
                </w:p>
              </w:tc>
              <w:tc>
                <w:tcPr>
                  <w:tcW w:w="1167" w:type="dxa"/>
                  <w:tcBorders>
                    <w:tl2br w:val="nil"/>
                    <w:tr2bl w:val="nil"/>
                  </w:tcBorders>
                  <w:noWrap w:val="0"/>
                  <w:vAlign w:val="center"/>
                </w:tcPr>
                <w:p w14:paraId="6258AB28">
                  <w:pPr>
                    <w:adjustRightInd w:val="0"/>
                    <w:snapToGrid w:val="0"/>
                    <w:jc w:val="center"/>
                    <w:rPr>
                      <w:color w:val="auto"/>
                      <w:szCs w:val="21"/>
                      <w:highlight w:val="none"/>
                    </w:rPr>
                  </w:pPr>
                  <w:r>
                    <w:rPr>
                      <w:color w:val="auto"/>
                      <w:szCs w:val="21"/>
                      <w:highlight w:val="none"/>
                    </w:rPr>
                    <w:t>达标</w:t>
                  </w:r>
                </w:p>
              </w:tc>
            </w:tr>
            <w:tr w14:paraId="32A63C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27" w:type="dxa"/>
                  <w:tcBorders>
                    <w:tl2br w:val="nil"/>
                    <w:tr2bl w:val="nil"/>
                  </w:tcBorders>
                  <w:noWrap w:val="0"/>
                  <w:vAlign w:val="center"/>
                </w:tcPr>
                <w:p w14:paraId="37372D5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CO</w:t>
                  </w:r>
                  <w:r>
                    <w:rPr>
                      <w:rFonts w:hint="default" w:ascii="Times New Roman" w:hAnsi="Times New Roman" w:cs="Times New Roman"/>
                      <w:color w:val="auto"/>
                      <w:szCs w:val="21"/>
                      <w:highlight w:val="none"/>
                      <w:vertAlign w:val="baseline"/>
                      <w:lang w:eastAsia="zh-CN"/>
                    </w:rPr>
                    <w:t>（</w:t>
                  </w:r>
                  <w:r>
                    <w:rPr>
                      <w:rFonts w:hint="eastAsia" w:ascii="Times New Roman" w:hAnsi="Times New Roman" w:eastAsia="宋体" w:cs="Times New Roman"/>
                      <w:color w:val="auto"/>
                      <w:szCs w:val="21"/>
                      <w:highlight w:val="none"/>
                      <w:vertAlign w:val="baseline"/>
                      <w:lang w:val="en-US" w:eastAsia="zh-CN"/>
                    </w:rPr>
                    <w:t>m</w:t>
                  </w:r>
                  <w:r>
                    <w:rPr>
                      <w:rFonts w:hint="default" w:ascii="Times New Roman" w:hAnsi="Times New Roman" w:cs="Times New Roman"/>
                      <w:color w:val="auto"/>
                      <w:szCs w:val="21"/>
                      <w:highlight w:val="none"/>
                      <w:vertAlign w:val="baseline"/>
                      <w:lang w:eastAsia="zh-CN"/>
                    </w:rPr>
                    <w:t>g/m</w:t>
                  </w:r>
                  <w:r>
                    <w:rPr>
                      <w:rFonts w:hint="default" w:ascii="Times New Roman" w:hAnsi="Times New Roman" w:cs="Times New Roman"/>
                      <w:color w:val="auto"/>
                      <w:szCs w:val="21"/>
                      <w:highlight w:val="none"/>
                      <w:vertAlign w:val="superscript"/>
                      <w:lang w:eastAsia="zh-CN"/>
                    </w:rPr>
                    <w:t>3</w:t>
                  </w:r>
                  <w:r>
                    <w:rPr>
                      <w:rFonts w:hint="default" w:ascii="Times New Roman" w:hAnsi="Times New Roman" w:cs="Times New Roman"/>
                      <w:color w:val="auto"/>
                      <w:szCs w:val="21"/>
                      <w:highlight w:val="none"/>
                      <w:vertAlign w:val="baseline"/>
                      <w:lang w:eastAsia="zh-CN"/>
                    </w:rPr>
                    <w:t>）</w:t>
                  </w:r>
                </w:p>
              </w:tc>
              <w:tc>
                <w:tcPr>
                  <w:tcW w:w="1945" w:type="dxa"/>
                  <w:tcBorders>
                    <w:tl2br w:val="nil"/>
                    <w:tr2bl w:val="nil"/>
                  </w:tcBorders>
                  <w:noWrap w:val="0"/>
                  <w:vAlign w:val="center"/>
                </w:tcPr>
                <w:p w14:paraId="55751F39">
                  <w:pPr>
                    <w:adjustRightInd w:val="0"/>
                    <w:snapToGrid w:val="0"/>
                    <w:jc w:val="center"/>
                    <w:rPr>
                      <w:color w:val="auto"/>
                      <w:szCs w:val="21"/>
                      <w:highlight w:val="none"/>
                    </w:rPr>
                  </w:pPr>
                  <w:r>
                    <w:rPr>
                      <w:color w:val="auto"/>
                      <w:szCs w:val="21"/>
                      <w:highlight w:val="none"/>
                    </w:rPr>
                    <w:t>第95百分位浓度</w:t>
                  </w:r>
                </w:p>
              </w:tc>
              <w:tc>
                <w:tcPr>
                  <w:tcW w:w="1209" w:type="dxa"/>
                  <w:tcBorders>
                    <w:tl2br w:val="nil"/>
                    <w:tr2bl w:val="nil"/>
                  </w:tcBorders>
                  <w:noWrap w:val="0"/>
                  <w:vAlign w:val="center"/>
                </w:tcPr>
                <w:p w14:paraId="198F4BA6">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0.6</w:t>
                  </w:r>
                </w:p>
              </w:tc>
              <w:tc>
                <w:tcPr>
                  <w:tcW w:w="1032" w:type="dxa"/>
                  <w:tcBorders>
                    <w:tl2br w:val="nil"/>
                    <w:tr2bl w:val="nil"/>
                  </w:tcBorders>
                  <w:noWrap w:val="0"/>
                  <w:vAlign w:val="center"/>
                </w:tcPr>
                <w:p w14:paraId="4C332F1B">
                  <w:pPr>
                    <w:adjustRightInd w:val="0"/>
                    <w:snapToGrid w:val="0"/>
                    <w:jc w:val="center"/>
                    <w:rPr>
                      <w:color w:val="auto"/>
                      <w:szCs w:val="21"/>
                      <w:highlight w:val="none"/>
                    </w:rPr>
                  </w:pPr>
                  <w:r>
                    <w:rPr>
                      <w:color w:val="auto"/>
                      <w:szCs w:val="21"/>
                      <w:highlight w:val="none"/>
                    </w:rPr>
                    <w:t>4</w:t>
                  </w:r>
                </w:p>
              </w:tc>
              <w:tc>
                <w:tcPr>
                  <w:tcW w:w="1199" w:type="dxa"/>
                  <w:tcBorders>
                    <w:tl2br w:val="nil"/>
                    <w:tr2bl w:val="nil"/>
                  </w:tcBorders>
                  <w:noWrap w:val="0"/>
                  <w:vAlign w:val="center"/>
                </w:tcPr>
                <w:p w14:paraId="7680ACB3">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15.0</w:t>
                  </w:r>
                </w:p>
              </w:tc>
              <w:tc>
                <w:tcPr>
                  <w:tcW w:w="1167" w:type="dxa"/>
                  <w:tcBorders>
                    <w:tl2br w:val="nil"/>
                    <w:tr2bl w:val="nil"/>
                  </w:tcBorders>
                  <w:noWrap w:val="0"/>
                  <w:vAlign w:val="center"/>
                </w:tcPr>
                <w:p w14:paraId="26DFFCE8">
                  <w:pPr>
                    <w:adjustRightInd w:val="0"/>
                    <w:snapToGrid w:val="0"/>
                    <w:jc w:val="center"/>
                    <w:rPr>
                      <w:color w:val="auto"/>
                      <w:szCs w:val="21"/>
                      <w:highlight w:val="none"/>
                    </w:rPr>
                  </w:pPr>
                  <w:r>
                    <w:rPr>
                      <w:color w:val="auto"/>
                      <w:szCs w:val="21"/>
                      <w:highlight w:val="none"/>
                    </w:rPr>
                    <w:t>达标</w:t>
                  </w:r>
                </w:p>
              </w:tc>
            </w:tr>
            <w:tr w14:paraId="208BD9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27" w:type="dxa"/>
                  <w:tcBorders>
                    <w:tl2br w:val="nil"/>
                    <w:tr2bl w:val="nil"/>
                  </w:tcBorders>
                  <w:noWrap w:val="0"/>
                  <w:vAlign w:val="center"/>
                </w:tcPr>
                <w:p w14:paraId="061B46FE">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O</w:t>
                  </w:r>
                  <w:r>
                    <w:rPr>
                      <w:rFonts w:hint="default" w:ascii="Times New Roman" w:hAnsi="Times New Roman" w:cs="Times New Roman"/>
                      <w:color w:val="auto"/>
                      <w:szCs w:val="21"/>
                      <w:highlight w:val="none"/>
                      <w:vertAlign w:val="subscript"/>
                    </w:rPr>
                    <w:t>3</w:t>
                  </w:r>
                  <w:r>
                    <w:rPr>
                      <w:rFonts w:hint="default" w:ascii="Times New Roman" w:hAnsi="Times New Roman" w:cs="Times New Roman"/>
                      <w:color w:val="auto"/>
                      <w:szCs w:val="21"/>
                      <w:highlight w:val="none"/>
                      <w:vertAlign w:val="baseline"/>
                      <w:lang w:eastAsia="zh-CN"/>
                    </w:rPr>
                    <w:t>（</w:t>
                  </w:r>
                  <w:r>
                    <w:rPr>
                      <w:rFonts w:hint="default" w:ascii="Times New Roman" w:hAnsi="Times New Roman" w:eastAsia="宋体" w:cs="Times New Roman"/>
                      <w:color w:val="auto"/>
                      <w:szCs w:val="21"/>
                      <w:highlight w:val="none"/>
                      <w:vertAlign w:val="baseline"/>
                      <w:lang w:eastAsia="zh-CN"/>
                    </w:rPr>
                    <w:t>μ</w:t>
                  </w:r>
                  <w:r>
                    <w:rPr>
                      <w:rFonts w:hint="default" w:ascii="Times New Roman" w:hAnsi="Times New Roman" w:cs="Times New Roman"/>
                      <w:color w:val="auto"/>
                      <w:szCs w:val="21"/>
                      <w:highlight w:val="none"/>
                      <w:vertAlign w:val="baseline"/>
                      <w:lang w:eastAsia="zh-CN"/>
                    </w:rPr>
                    <w:t>g/m</w:t>
                  </w:r>
                  <w:r>
                    <w:rPr>
                      <w:rFonts w:hint="default" w:ascii="Times New Roman" w:hAnsi="Times New Roman" w:cs="Times New Roman"/>
                      <w:color w:val="auto"/>
                      <w:szCs w:val="21"/>
                      <w:highlight w:val="none"/>
                      <w:vertAlign w:val="superscript"/>
                      <w:lang w:eastAsia="zh-CN"/>
                    </w:rPr>
                    <w:t>3</w:t>
                  </w:r>
                  <w:r>
                    <w:rPr>
                      <w:rFonts w:hint="default" w:ascii="Times New Roman" w:hAnsi="Times New Roman" w:cs="Times New Roman"/>
                      <w:color w:val="auto"/>
                      <w:szCs w:val="21"/>
                      <w:highlight w:val="none"/>
                      <w:vertAlign w:val="baseline"/>
                      <w:lang w:eastAsia="zh-CN"/>
                    </w:rPr>
                    <w:t>）</w:t>
                  </w:r>
                </w:p>
              </w:tc>
              <w:tc>
                <w:tcPr>
                  <w:tcW w:w="1945" w:type="dxa"/>
                  <w:tcBorders>
                    <w:tl2br w:val="nil"/>
                    <w:tr2bl w:val="nil"/>
                  </w:tcBorders>
                  <w:noWrap w:val="0"/>
                  <w:vAlign w:val="center"/>
                </w:tcPr>
                <w:p w14:paraId="659600DD">
                  <w:pPr>
                    <w:adjustRightInd w:val="0"/>
                    <w:snapToGrid w:val="0"/>
                    <w:jc w:val="center"/>
                    <w:rPr>
                      <w:color w:val="auto"/>
                      <w:szCs w:val="21"/>
                      <w:highlight w:val="none"/>
                    </w:rPr>
                  </w:pPr>
                  <w:r>
                    <w:rPr>
                      <w:color w:val="auto"/>
                      <w:szCs w:val="21"/>
                      <w:highlight w:val="none"/>
                    </w:rPr>
                    <w:t>第90百分位浓度</w:t>
                  </w:r>
                </w:p>
              </w:tc>
              <w:tc>
                <w:tcPr>
                  <w:tcW w:w="1209" w:type="dxa"/>
                  <w:tcBorders>
                    <w:tl2br w:val="nil"/>
                    <w:tr2bl w:val="nil"/>
                  </w:tcBorders>
                  <w:noWrap w:val="0"/>
                  <w:vAlign w:val="center"/>
                </w:tcPr>
                <w:p w14:paraId="05871D9F">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126</w:t>
                  </w:r>
                </w:p>
              </w:tc>
              <w:tc>
                <w:tcPr>
                  <w:tcW w:w="1032" w:type="dxa"/>
                  <w:tcBorders>
                    <w:tl2br w:val="nil"/>
                    <w:tr2bl w:val="nil"/>
                  </w:tcBorders>
                  <w:noWrap w:val="0"/>
                  <w:vAlign w:val="center"/>
                </w:tcPr>
                <w:p w14:paraId="0693B6B0">
                  <w:pPr>
                    <w:adjustRightInd w:val="0"/>
                    <w:snapToGrid w:val="0"/>
                    <w:jc w:val="center"/>
                    <w:rPr>
                      <w:color w:val="auto"/>
                      <w:szCs w:val="21"/>
                      <w:highlight w:val="none"/>
                    </w:rPr>
                  </w:pPr>
                  <w:r>
                    <w:rPr>
                      <w:color w:val="auto"/>
                      <w:szCs w:val="21"/>
                      <w:highlight w:val="none"/>
                    </w:rPr>
                    <w:t>160</w:t>
                  </w:r>
                </w:p>
              </w:tc>
              <w:tc>
                <w:tcPr>
                  <w:tcW w:w="1199" w:type="dxa"/>
                  <w:tcBorders>
                    <w:tl2br w:val="nil"/>
                    <w:tr2bl w:val="nil"/>
                  </w:tcBorders>
                  <w:noWrap w:val="0"/>
                  <w:vAlign w:val="center"/>
                </w:tcPr>
                <w:p w14:paraId="5234F380">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78.8</w:t>
                  </w:r>
                </w:p>
              </w:tc>
              <w:tc>
                <w:tcPr>
                  <w:tcW w:w="1167" w:type="dxa"/>
                  <w:tcBorders>
                    <w:tl2br w:val="nil"/>
                    <w:tr2bl w:val="nil"/>
                  </w:tcBorders>
                  <w:noWrap w:val="0"/>
                  <w:vAlign w:val="center"/>
                </w:tcPr>
                <w:p w14:paraId="087DD028">
                  <w:pPr>
                    <w:adjustRightInd w:val="0"/>
                    <w:snapToGrid w:val="0"/>
                    <w:jc w:val="center"/>
                    <w:rPr>
                      <w:color w:val="auto"/>
                      <w:szCs w:val="21"/>
                      <w:highlight w:val="none"/>
                    </w:rPr>
                  </w:pPr>
                  <w:r>
                    <w:rPr>
                      <w:color w:val="auto"/>
                      <w:szCs w:val="21"/>
                      <w:highlight w:val="none"/>
                    </w:rPr>
                    <w:t>达标</w:t>
                  </w:r>
                </w:p>
              </w:tc>
            </w:tr>
          </w:tbl>
          <w:p w14:paraId="00D61D7B">
            <w:pPr>
              <w:keepNext/>
              <w:keepLines/>
              <w:adjustRightInd w:val="0"/>
              <w:snapToGrid w:val="0"/>
              <w:spacing w:line="360" w:lineRule="auto"/>
              <w:ind w:firstLine="480" w:firstLineChars="200"/>
              <w:textAlignment w:val="baseline"/>
              <w:rPr>
                <w:color w:val="auto"/>
                <w:sz w:val="24"/>
                <w:highlight w:val="none"/>
              </w:rPr>
            </w:pPr>
            <w:r>
              <w:rPr>
                <w:rFonts w:hint="eastAsia" w:ascii="Times New Roman" w:hAnsi="Times New Roman" w:eastAsia="宋体" w:cs="Times New Roman"/>
                <w:color w:val="auto"/>
                <w:sz w:val="24"/>
                <w:szCs w:val="24"/>
                <w:highlight w:val="none"/>
              </w:rPr>
              <w:t>由上表可知，宝鸡市</w:t>
            </w:r>
            <w:r>
              <w:rPr>
                <w:rFonts w:hint="eastAsia" w:ascii="Times New Roman" w:hAnsi="Times New Roman" w:eastAsia="宋体" w:cs="Times New Roman"/>
                <w:color w:val="auto"/>
                <w:sz w:val="24"/>
                <w:szCs w:val="24"/>
                <w:highlight w:val="none"/>
                <w:lang w:val="en-US" w:eastAsia="zh-CN"/>
              </w:rPr>
              <w:t>太白县</w:t>
            </w:r>
            <w:r>
              <w:rPr>
                <w:rFonts w:hint="eastAsia" w:ascii="Times New Roman" w:hAnsi="Times New Roman" w:eastAsia="宋体" w:cs="Times New Roman"/>
                <w:color w:val="auto"/>
                <w:sz w:val="24"/>
                <w:szCs w:val="24"/>
                <w:highlight w:val="none"/>
              </w:rPr>
              <w:t>环境空气中</w:t>
            </w:r>
            <w:r>
              <w:rPr>
                <w:color w:val="auto"/>
                <w:sz w:val="24"/>
                <w:highlight w:val="none"/>
              </w:rPr>
              <w:t>PM</w:t>
            </w:r>
            <w:r>
              <w:rPr>
                <w:color w:val="auto"/>
                <w:sz w:val="24"/>
                <w:highlight w:val="none"/>
                <w:vertAlign w:val="subscript"/>
              </w:rPr>
              <w:t>2.5</w:t>
            </w:r>
            <w:r>
              <w:rPr>
                <w:rFonts w:hint="eastAsia"/>
                <w:color w:val="auto"/>
                <w:sz w:val="24"/>
                <w:highlight w:val="none"/>
                <w:lang w:eastAsia="zh-CN"/>
              </w:rPr>
              <w:t>、</w:t>
            </w:r>
            <w:r>
              <w:rPr>
                <w:color w:val="auto"/>
                <w:sz w:val="24"/>
                <w:highlight w:val="none"/>
              </w:rPr>
              <w:t>PM</w:t>
            </w:r>
            <w:r>
              <w:rPr>
                <w:color w:val="auto"/>
                <w:sz w:val="24"/>
                <w:highlight w:val="none"/>
                <w:vertAlign w:val="subscript"/>
              </w:rPr>
              <w:t>10</w:t>
            </w:r>
            <w:r>
              <w:rPr>
                <w:color w:val="auto"/>
                <w:sz w:val="24"/>
                <w:highlight w:val="none"/>
              </w:rPr>
              <w:t>、NO</w:t>
            </w:r>
            <w:r>
              <w:rPr>
                <w:color w:val="auto"/>
                <w:sz w:val="24"/>
                <w:highlight w:val="none"/>
                <w:vertAlign w:val="subscript"/>
              </w:rPr>
              <w:t>2</w:t>
            </w:r>
            <w:r>
              <w:rPr>
                <w:rFonts w:hint="eastAsia"/>
                <w:color w:val="auto"/>
                <w:sz w:val="24"/>
                <w:highlight w:val="none"/>
                <w:vertAlign w:val="baseline"/>
                <w:lang w:eastAsia="zh-CN"/>
              </w:rPr>
              <w:t>、</w:t>
            </w:r>
            <w:r>
              <w:rPr>
                <w:color w:val="auto"/>
                <w:sz w:val="24"/>
                <w:highlight w:val="none"/>
              </w:rPr>
              <w:t>SO</w:t>
            </w:r>
            <w:r>
              <w:rPr>
                <w:color w:val="auto"/>
                <w:sz w:val="24"/>
                <w:highlight w:val="none"/>
                <w:vertAlign w:val="subscript"/>
              </w:rPr>
              <w:t>2</w:t>
            </w:r>
            <w:r>
              <w:rPr>
                <w:color w:val="auto"/>
                <w:sz w:val="24"/>
                <w:highlight w:val="none"/>
              </w:rPr>
              <w:t>年平均值、CO</w:t>
            </w:r>
            <w:r>
              <w:rPr>
                <w:color w:val="auto"/>
                <w:szCs w:val="21"/>
                <w:highlight w:val="none"/>
              </w:rPr>
              <w:t>第95百分位浓度</w:t>
            </w:r>
            <w:r>
              <w:rPr>
                <w:color w:val="auto"/>
                <w:sz w:val="24"/>
                <w:highlight w:val="none"/>
              </w:rPr>
              <w:t>、O</w:t>
            </w:r>
            <w:r>
              <w:rPr>
                <w:color w:val="auto"/>
                <w:sz w:val="24"/>
                <w:highlight w:val="none"/>
                <w:vertAlign w:val="subscript"/>
              </w:rPr>
              <w:t>3</w:t>
            </w:r>
            <w:r>
              <w:rPr>
                <w:color w:val="auto"/>
                <w:sz w:val="24"/>
                <w:highlight w:val="none"/>
              </w:rPr>
              <w:t>第90百分位浓度</w:t>
            </w:r>
            <w:r>
              <w:rPr>
                <w:rFonts w:hint="eastAsia"/>
                <w:color w:val="auto"/>
                <w:sz w:val="24"/>
                <w:highlight w:val="none"/>
                <w:lang w:val="en-US" w:eastAsia="zh-CN"/>
              </w:rPr>
              <w:t>均</w:t>
            </w:r>
            <w:r>
              <w:rPr>
                <w:color w:val="auto"/>
                <w:sz w:val="24"/>
                <w:highlight w:val="none"/>
              </w:rPr>
              <w:t>符合</w:t>
            </w:r>
            <w:r>
              <w:rPr>
                <w:rFonts w:ascii="Times New Roman" w:hAnsi="宋体"/>
                <w:color w:val="auto"/>
                <w:sz w:val="24"/>
                <w:szCs w:val="24"/>
                <w:highlight w:val="none"/>
              </w:rPr>
              <w:t>《环境空气质量标准》（</w:t>
            </w:r>
            <w:r>
              <w:rPr>
                <w:rFonts w:ascii="Times New Roman" w:hAnsi="Times New Roman"/>
                <w:color w:val="auto"/>
                <w:sz w:val="24"/>
                <w:szCs w:val="24"/>
                <w:highlight w:val="none"/>
              </w:rPr>
              <w:t>GB3095-20</w:t>
            </w:r>
            <w:r>
              <w:rPr>
                <w:rFonts w:hint="eastAsia" w:ascii="Times New Roman" w:hAnsi="Times New Roman"/>
                <w:color w:val="auto"/>
                <w:sz w:val="24"/>
                <w:szCs w:val="24"/>
                <w:highlight w:val="none"/>
                <w:lang w:val="en-US" w:eastAsia="zh-CN"/>
              </w:rPr>
              <w:t>26</w:t>
            </w:r>
            <w:r>
              <w:rPr>
                <w:rFonts w:ascii="Times New Roman" w:hAnsi="宋体"/>
                <w:color w:val="auto"/>
                <w:sz w:val="24"/>
                <w:szCs w:val="24"/>
                <w:highlight w:val="none"/>
              </w:rPr>
              <w:t>）</w:t>
            </w:r>
            <w:r>
              <w:rPr>
                <w:rFonts w:hint="eastAsia" w:ascii="Times New Roman" w:hAnsi="宋体"/>
                <w:color w:val="auto"/>
                <w:sz w:val="24"/>
                <w:szCs w:val="24"/>
                <w:highlight w:val="none"/>
                <w:lang w:val="en-US" w:eastAsia="zh-CN"/>
              </w:rPr>
              <w:t>中过渡阶段浓度限值的</w:t>
            </w:r>
            <w:r>
              <w:rPr>
                <w:rFonts w:ascii="Times New Roman" w:hAnsi="宋体"/>
                <w:color w:val="auto"/>
                <w:sz w:val="24"/>
                <w:szCs w:val="24"/>
                <w:highlight w:val="none"/>
              </w:rPr>
              <w:t>二级标准</w:t>
            </w:r>
            <w:r>
              <w:rPr>
                <w:rFonts w:hint="eastAsia" w:ascii="Times New Roman" w:hAnsi="宋体"/>
                <w:color w:val="auto"/>
                <w:sz w:val="24"/>
                <w:szCs w:val="24"/>
                <w:highlight w:val="none"/>
                <w:lang w:val="en-US" w:eastAsia="zh-CN"/>
              </w:rPr>
              <w:t>要求</w:t>
            </w:r>
            <w:r>
              <w:rPr>
                <w:rFonts w:hint="eastAsia" w:ascii="Times New Roman" w:hAnsi="宋体"/>
                <w:color w:val="auto"/>
                <w:sz w:val="24"/>
                <w:szCs w:val="24"/>
                <w:highlight w:val="none"/>
                <w:lang w:eastAsia="zh-CN"/>
              </w:rPr>
              <w:t>，</w:t>
            </w:r>
            <w:r>
              <w:rPr>
                <w:rFonts w:hint="eastAsia" w:ascii="Times New Roman" w:hAnsi="宋体"/>
                <w:color w:val="auto"/>
                <w:sz w:val="24"/>
                <w:szCs w:val="24"/>
                <w:highlight w:val="none"/>
              </w:rPr>
              <w:t>根据《环境影响评价技术导则  大气环境》中达标区判定规定，本项目所在区域环境空气质量为达标区。</w:t>
            </w:r>
          </w:p>
          <w:p w14:paraId="70AE77E3">
            <w:pPr>
              <w:keepNext/>
              <w:keepLines/>
              <w:adjustRightInd w:val="0"/>
              <w:snapToGrid w:val="0"/>
              <w:spacing w:line="360" w:lineRule="auto"/>
              <w:ind w:firstLine="480" w:firstLineChars="200"/>
              <w:textAlignment w:val="baseline"/>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其他污染物</w:t>
            </w:r>
          </w:p>
          <w:p w14:paraId="4B83F2FB">
            <w:pPr>
              <w:keepNext w:val="0"/>
              <w:keepLines w:val="0"/>
              <w:widowControl/>
              <w:suppressLineNumbers w:val="0"/>
              <w:spacing w:before="0" w:beforeAutospacing="0" w:after="0" w:afterAutospacing="0" w:line="360" w:lineRule="auto"/>
              <w:ind w:left="0" w:right="0" w:firstLine="48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szCs w:val="24"/>
                <w:highlight w:val="none"/>
                <w:lang w:val="en-US" w:eastAsia="zh-CN"/>
              </w:rPr>
              <w:t>为了解项目所在区域环境空气中氮氧化物的</w:t>
            </w:r>
            <w:r>
              <w:rPr>
                <w:rFonts w:hint="eastAsia" w:ascii="Times New Roman" w:hAnsi="Times New Roman" w:eastAsia="宋体" w:cs="Times New Roman"/>
                <w:color w:val="auto"/>
                <w:sz w:val="24"/>
                <w:szCs w:val="24"/>
                <w:highlight w:val="none"/>
                <w:lang w:val="en-US" w:eastAsia="zh-CN"/>
              </w:rPr>
              <w:t>环境</w:t>
            </w:r>
            <w:r>
              <w:rPr>
                <w:rFonts w:hint="default" w:ascii="Times New Roman" w:hAnsi="Times New Roman" w:eastAsia="宋体" w:cs="Times New Roman"/>
                <w:color w:val="auto"/>
                <w:sz w:val="24"/>
                <w:szCs w:val="24"/>
                <w:highlight w:val="none"/>
                <w:lang w:val="en-US" w:eastAsia="zh-CN"/>
              </w:rPr>
              <w:t>现状</w:t>
            </w:r>
            <w:r>
              <w:rPr>
                <w:rFonts w:hint="eastAsia" w:ascii="Times New Roman" w:hAnsi="Times New Roman" w:eastAsia="宋体" w:cs="Times New Roman"/>
                <w:color w:val="auto"/>
                <w:sz w:val="24"/>
                <w:szCs w:val="24"/>
                <w:highlight w:val="none"/>
                <w:lang w:val="en-US" w:eastAsia="zh-CN"/>
              </w:rPr>
              <w:t>，本次环评</w:t>
            </w:r>
            <w:r>
              <w:rPr>
                <w:rFonts w:hint="eastAsia" w:cs="Times New Roman"/>
                <w:color w:val="auto"/>
                <w:sz w:val="24"/>
                <w:szCs w:val="24"/>
                <w:highlight w:val="none"/>
                <w:lang w:val="en-US" w:eastAsia="zh-CN"/>
              </w:rPr>
              <w:t>采用已审批的</w:t>
            </w:r>
            <w:r>
              <w:rPr>
                <w:rFonts w:hint="eastAsia" w:ascii="宋体" w:hAnsi="宋体" w:eastAsia="宋体" w:cs="宋体"/>
                <w:color w:val="auto"/>
                <w:sz w:val="24"/>
                <w:szCs w:val="24"/>
                <w:highlight w:val="none"/>
                <w:lang w:val="en-US" w:eastAsia="zh-CN"/>
              </w:rPr>
              <w:t>《翠矶山拆迁安置一期清洁能源热源站建设项目环境影响报告表》</w:t>
            </w:r>
            <w:r>
              <w:rPr>
                <w:rFonts w:hint="eastAsia" w:ascii="宋体" w:hAnsi="宋体" w:cs="宋体"/>
                <w:color w:val="auto"/>
                <w:sz w:val="24"/>
                <w:szCs w:val="24"/>
                <w:highlight w:val="none"/>
                <w:lang w:val="en-US" w:eastAsia="zh-CN"/>
              </w:rPr>
              <w:t>中NOx监测数据，</w:t>
            </w:r>
            <w:r>
              <w:rPr>
                <w:rFonts w:hint="eastAsia" w:cs="Times New Roman"/>
                <w:color w:val="auto"/>
                <w:sz w:val="24"/>
                <w:szCs w:val="24"/>
                <w:highlight w:val="none"/>
                <w:lang w:val="en-US" w:eastAsia="zh-CN"/>
              </w:rPr>
              <w:t>监测时间2025年9月23日—2025年9月26日，</w:t>
            </w:r>
            <w:r>
              <w:rPr>
                <w:rFonts w:hint="eastAsia" w:ascii="Times New Roman" w:hAnsi="宋体" w:eastAsia="宋体" w:cs="Times New Roman"/>
                <w:color w:val="auto"/>
                <w:sz w:val="24"/>
                <w:szCs w:val="24"/>
                <w:highlight w:val="none"/>
                <w:lang w:eastAsia="zh-CN"/>
              </w:rPr>
              <w:t>监测点位为</w:t>
            </w:r>
            <w:r>
              <w:rPr>
                <w:rFonts w:hint="eastAsia" w:ascii="Times New Roman" w:hAnsi="宋体" w:eastAsia="宋体" w:cs="Times New Roman"/>
                <w:color w:val="auto"/>
                <w:sz w:val="24"/>
                <w:szCs w:val="24"/>
                <w:highlight w:val="none"/>
                <w:lang w:val="en-US" w:eastAsia="zh-CN"/>
              </w:rPr>
              <w:t>该</w:t>
            </w:r>
            <w:r>
              <w:rPr>
                <w:rFonts w:hint="eastAsia" w:ascii="Times New Roman" w:hAnsi="宋体" w:cs="Times New Roman"/>
                <w:color w:val="auto"/>
                <w:sz w:val="24"/>
                <w:szCs w:val="24"/>
                <w:highlight w:val="none"/>
                <w:lang w:val="en-US" w:eastAsia="zh-CN"/>
              </w:rPr>
              <w:t>锅炉房建设地</w:t>
            </w:r>
            <w:r>
              <w:rPr>
                <w:rFonts w:hint="eastAsia" w:ascii="Times New Roman" w:hAnsi="宋体" w:eastAsia="宋体" w:cs="Times New Roman"/>
                <w:color w:val="auto"/>
                <w:sz w:val="24"/>
                <w:szCs w:val="24"/>
                <w:highlight w:val="none"/>
                <w:lang w:eastAsia="zh-CN"/>
              </w:rPr>
              <w:t>，位于本项目</w:t>
            </w:r>
            <w:r>
              <w:rPr>
                <w:rFonts w:hint="eastAsia" w:ascii="Times New Roman" w:hAnsi="宋体" w:cs="Times New Roman"/>
                <w:color w:val="auto"/>
                <w:sz w:val="24"/>
                <w:szCs w:val="24"/>
                <w:highlight w:val="none"/>
                <w:lang w:val="en-US" w:eastAsia="zh-CN"/>
              </w:rPr>
              <w:t>东北</w:t>
            </w:r>
            <w:r>
              <w:rPr>
                <w:rFonts w:hint="eastAsia" w:ascii="Times New Roman" w:hAnsi="宋体" w:eastAsia="宋体" w:cs="Times New Roman"/>
                <w:color w:val="auto"/>
                <w:sz w:val="24"/>
                <w:szCs w:val="24"/>
                <w:highlight w:val="none"/>
                <w:lang w:eastAsia="zh-CN"/>
              </w:rPr>
              <w:t>侧</w:t>
            </w:r>
            <w:r>
              <w:rPr>
                <w:rFonts w:hint="eastAsia" w:ascii="Times New Roman" w:hAnsi="宋体" w:cs="Times New Roman"/>
                <w:color w:val="auto"/>
                <w:sz w:val="24"/>
                <w:szCs w:val="24"/>
                <w:highlight w:val="none"/>
                <w:lang w:val="en-US" w:eastAsia="zh-CN"/>
              </w:rPr>
              <w:t>1.29k</w:t>
            </w:r>
            <w:r>
              <w:rPr>
                <w:rFonts w:hint="eastAsia" w:ascii="Times New Roman" w:hAnsi="宋体" w:eastAsia="宋体" w:cs="Times New Roman"/>
                <w:color w:val="auto"/>
                <w:sz w:val="24"/>
                <w:szCs w:val="24"/>
                <w:highlight w:val="none"/>
                <w:lang w:val="en-US" w:eastAsia="zh-CN"/>
              </w:rPr>
              <w:t>m</w:t>
            </w:r>
            <w:r>
              <w:rPr>
                <w:rFonts w:hint="eastAsia" w:ascii="Times New Roman" w:hAnsi="宋体" w:eastAsia="宋体" w:cs="Times New Roman"/>
                <w:color w:val="auto"/>
                <w:sz w:val="24"/>
                <w:szCs w:val="24"/>
                <w:highlight w:val="none"/>
                <w:lang w:eastAsia="zh-CN"/>
              </w:rPr>
              <w:t>，为项目周边5km范围内近3年的现有监测数据，符合要求。</w:t>
            </w:r>
            <w:r>
              <w:rPr>
                <w:rFonts w:hint="eastAsia" w:ascii="Times New Roman" w:hAnsi="Times New Roman" w:eastAsia="宋体" w:cs="Times New Roman"/>
                <w:color w:val="auto"/>
                <w:sz w:val="24"/>
                <w:highlight w:val="none"/>
              </w:rPr>
              <w:t>监测点位</w:t>
            </w:r>
            <w:r>
              <w:rPr>
                <w:rFonts w:hint="eastAsia" w:ascii="Times New Roman" w:hAnsi="Times New Roman" w:eastAsia="宋体" w:cs="Times New Roman"/>
                <w:color w:val="auto"/>
                <w:sz w:val="24"/>
                <w:highlight w:val="none"/>
                <w:lang w:eastAsia="zh-CN"/>
              </w:rPr>
              <w:t>见</w:t>
            </w:r>
            <w:r>
              <w:rPr>
                <w:rFonts w:hint="eastAsia" w:ascii="Times New Roman" w:hAnsi="Times New Roman" w:eastAsia="宋体" w:cs="Times New Roman"/>
                <w:color w:val="auto"/>
                <w:sz w:val="24"/>
                <w:highlight w:val="none"/>
              </w:rPr>
              <w:t>表</w:t>
            </w:r>
            <w:r>
              <w:rPr>
                <w:rFonts w:hint="eastAsia" w:ascii="Times New Roman" w:hAnsi="Times New Roman" w:eastAsia="宋体" w:cs="Times New Roman"/>
                <w:color w:val="auto"/>
                <w:sz w:val="24"/>
                <w:highlight w:val="none"/>
                <w:lang w:val="en-US" w:eastAsia="zh-CN"/>
              </w:rPr>
              <w:t>3-2</w:t>
            </w:r>
            <w:r>
              <w:rPr>
                <w:rFonts w:hint="eastAsia" w:ascii="Times New Roman" w:hAnsi="Times New Roman" w:eastAsia="宋体" w:cs="Times New Roman"/>
                <w:color w:val="auto"/>
                <w:sz w:val="24"/>
                <w:highlight w:val="none"/>
              </w:rPr>
              <w:t>，环境空气监测分析方法见表</w:t>
            </w:r>
            <w:r>
              <w:rPr>
                <w:rFonts w:hint="eastAsia" w:ascii="Times New Roman" w:hAnsi="Times New Roman" w:eastAsia="宋体" w:cs="Times New Roman"/>
                <w:color w:val="auto"/>
                <w:sz w:val="24"/>
                <w:highlight w:val="none"/>
                <w:lang w:val="en-US" w:eastAsia="zh-CN"/>
              </w:rPr>
              <w:t>3-3</w:t>
            </w:r>
            <w:r>
              <w:rPr>
                <w:rFonts w:hint="eastAsia" w:ascii="Times New Roman" w:hAnsi="Times New Roman" w:eastAsia="宋体" w:cs="Times New Roman"/>
                <w:color w:val="auto"/>
                <w:sz w:val="24"/>
                <w:highlight w:val="none"/>
              </w:rPr>
              <w:t>，环境空气质量现状监测结果见表</w:t>
            </w:r>
            <w:r>
              <w:rPr>
                <w:rFonts w:hint="eastAsia" w:ascii="Times New Roman" w:hAnsi="Times New Roman" w:eastAsia="宋体" w:cs="Times New Roman"/>
                <w:color w:val="auto"/>
                <w:sz w:val="24"/>
                <w:highlight w:val="none"/>
                <w:lang w:val="en-US" w:eastAsia="zh-CN"/>
              </w:rPr>
              <w:t>3-4</w:t>
            </w:r>
            <w:r>
              <w:rPr>
                <w:rFonts w:hint="eastAsia" w:ascii="Times New Roman" w:hAnsi="Times New Roman" w:eastAsia="宋体" w:cs="Times New Roman"/>
                <w:color w:val="auto"/>
                <w:sz w:val="24"/>
                <w:highlight w:val="none"/>
              </w:rPr>
              <w:t>。</w:t>
            </w:r>
          </w:p>
          <w:p w14:paraId="159C7C04">
            <w:pPr>
              <w:keepNext/>
              <w:keepLines/>
              <w:pageBreakBefore w:val="0"/>
              <w:widowControl w:val="0"/>
              <w:kinsoku/>
              <w:wordWrap/>
              <w:overflowPunct/>
              <w:topLinePunct w:val="0"/>
              <w:autoSpaceDE/>
              <w:autoSpaceDN/>
              <w:bidi w:val="0"/>
              <w:adjustRightInd w:val="0"/>
              <w:snapToGrid w:val="0"/>
              <w:spacing w:line="240" w:lineRule="auto"/>
              <w:ind w:firstLine="482" w:firstLineChars="200"/>
              <w:jc w:val="center"/>
              <w:textAlignment w:val="baseline"/>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 xml:space="preserve">表3-2 </w:t>
            </w:r>
            <w:r>
              <w:rPr>
                <w:rFonts w:hint="eastAsia" w:cs="Times New Roman"/>
                <w:b/>
                <w:bCs/>
                <w:color w:val="auto"/>
                <w:sz w:val="24"/>
                <w:szCs w:val="24"/>
                <w:highlight w:val="none"/>
                <w:lang w:val="en-US" w:eastAsia="zh-CN"/>
              </w:rPr>
              <w:t xml:space="preserve">  </w:t>
            </w:r>
            <w:r>
              <w:rPr>
                <w:rFonts w:hint="eastAsia" w:ascii="Times New Roman" w:hAnsi="Times New Roman" w:eastAsia="宋体" w:cs="Times New Roman"/>
                <w:b/>
                <w:bCs/>
                <w:color w:val="auto"/>
                <w:sz w:val="24"/>
                <w:szCs w:val="24"/>
                <w:highlight w:val="none"/>
                <w:lang w:val="en-US" w:eastAsia="zh-CN"/>
              </w:rPr>
              <w:t>监测点位基本信息表</w:t>
            </w:r>
          </w:p>
          <w:tbl>
            <w:tblPr>
              <w:tblStyle w:val="38"/>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84"/>
              <w:gridCol w:w="4605"/>
            </w:tblGrid>
            <w:tr w14:paraId="6C4988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19" w:type="pct"/>
                  <w:tcBorders>
                    <w:tl2br w:val="nil"/>
                    <w:tr2bl w:val="nil"/>
                  </w:tcBorders>
                  <w:noWrap w:val="0"/>
                  <w:vAlign w:val="center"/>
                </w:tcPr>
                <w:p w14:paraId="5220967C">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监测点位置</w:t>
                  </w:r>
                </w:p>
              </w:tc>
              <w:tc>
                <w:tcPr>
                  <w:tcW w:w="2680" w:type="pct"/>
                  <w:tcBorders>
                    <w:tl2br w:val="nil"/>
                    <w:tr2bl w:val="nil"/>
                  </w:tcBorders>
                  <w:noWrap w:val="0"/>
                  <w:vAlign w:val="center"/>
                </w:tcPr>
                <w:p w14:paraId="0E78682B">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监测因子</w:t>
                  </w:r>
                </w:p>
              </w:tc>
            </w:tr>
            <w:tr w14:paraId="26CA37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19" w:type="pct"/>
                  <w:tcBorders>
                    <w:tl2br w:val="nil"/>
                    <w:tr2bl w:val="nil"/>
                  </w:tcBorders>
                  <w:noWrap w:val="0"/>
                  <w:vAlign w:val="center"/>
                </w:tcPr>
                <w:p w14:paraId="5DFF3861">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翠矶山拆迁安置一期锅炉房所在地</w:t>
                  </w:r>
                </w:p>
              </w:tc>
              <w:tc>
                <w:tcPr>
                  <w:tcW w:w="2680" w:type="pct"/>
                  <w:tcBorders>
                    <w:tl2br w:val="nil"/>
                    <w:tr2bl w:val="nil"/>
                  </w:tcBorders>
                  <w:noWrap w:val="0"/>
                  <w:vAlign w:val="center"/>
                </w:tcPr>
                <w:p w14:paraId="7EC56060">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NOx</w:t>
                  </w:r>
                </w:p>
              </w:tc>
            </w:tr>
          </w:tbl>
          <w:p w14:paraId="5F11DC8A">
            <w:pPr>
              <w:keepNext/>
              <w:keepLines/>
              <w:pageBreakBefore w:val="0"/>
              <w:widowControl w:val="0"/>
              <w:kinsoku/>
              <w:wordWrap/>
              <w:overflowPunct/>
              <w:topLinePunct w:val="0"/>
              <w:autoSpaceDE/>
              <w:autoSpaceDN/>
              <w:bidi w:val="0"/>
              <w:adjustRightInd w:val="0"/>
              <w:snapToGrid w:val="0"/>
              <w:spacing w:line="240" w:lineRule="auto"/>
              <w:ind w:firstLine="482" w:firstLineChars="200"/>
              <w:jc w:val="center"/>
              <w:textAlignment w:val="baseline"/>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 xml:space="preserve">表3-3  </w:t>
            </w:r>
            <w:r>
              <w:rPr>
                <w:rFonts w:hint="eastAsia" w:cs="Times New Roman"/>
                <w:b/>
                <w:bCs/>
                <w:color w:val="auto"/>
                <w:sz w:val="24"/>
                <w:szCs w:val="24"/>
                <w:highlight w:val="none"/>
                <w:lang w:val="en-US" w:eastAsia="zh-CN"/>
              </w:rPr>
              <w:t xml:space="preserve"> </w:t>
            </w:r>
            <w:r>
              <w:rPr>
                <w:rFonts w:hint="eastAsia" w:ascii="Times New Roman" w:hAnsi="Times New Roman" w:eastAsia="宋体" w:cs="Times New Roman"/>
                <w:b/>
                <w:bCs/>
                <w:color w:val="auto"/>
                <w:sz w:val="24"/>
                <w:szCs w:val="24"/>
                <w:highlight w:val="none"/>
                <w:lang w:val="en-US" w:eastAsia="zh-CN"/>
              </w:rPr>
              <w:t>环境空气质量现状监测项目及采样分析方法</w:t>
            </w:r>
          </w:p>
          <w:tbl>
            <w:tblPr>
              <w:tblStyle w:val="3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4620"/>
              <w:gridCol w:w="2625"/>
            </w:tblGrid>
            <w:tr w14:paraId="1585C7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6" w:type="dxa"/>
                  <w:tcBorders>
                    <w:tl2br w:val="nil"/>
                    <w:tr2bl w:val="nil"/>
                  </w:tcBorders>
                  <w:noWrap w:val="0"/>
                  <w:vAlign w:val="center"/>
                </w:tcPr>
                <w:p w14:paraId="7D1C5D37">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监测因子</w:t>
                  </w:r>
                </w:p>
              </w:tc>
              <w:tc>
                <w:tcPr>
                  <w:tcW w:w="4620" w:type="dxa"/>
                  <w:tcBorders>
                    <w:tl2br w:val="nil"/>
                    <w:tr2bl w:val="nil"/>
                  </w:tcBorders>
                  <w:noWrap w:val="0"/>
                  <w:vAlign w:val="center"/>
                </w:tcPr>
                <w:p w14:paraId="3C71EC8C">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分析方法</w:t>
                  </w:r>
                </w:p>
              </w:tc>
              <w:tc>
                <w:tcPr>
                  <w:tcW w:w="2625" w:type="dxa"/>
                  <w:tcBorders>
                    <w:tl2br w:val="nil"/>
                    <w:tr2bl w:val="nil"/>
                  </w:tcBorders>
                  <w:noWrap w:val="0"/>
                  <w:vAlign w:val="center"/>
                </w:tcPr>
                <w:p w14:paraId="662B5687">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方法检出限（mg/m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eastAsia="宋体" w:cs="Times New Roman"/>
                      <w:b/>
                      <w:bCs/>
                      <w:color w:val="auto"/>
                      <w:sz w:val="21"/>
                      <w:szCs w:val="21"/>
                      <w:highlight w:val="none"/>
                      <w:lang w:val="en-US" w:eastAsia="zh-CN"/>
                    </w:rPr>
                    <w:t>）</w:t>
                  </w:r>
                </w:p>
              </w:tc>
            </w:tr>
            <w:tr w14:paraId="6351D7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6" w:type="dxa"/>
                  <w:tcBorders>
                    <w:tl2br w:val="nil"/>
                    <w:tr2bl w:val="nil"/>
                  </w:tcBorders>
                  <w:noWrap w:val="0"/>
                  <w:vAlign w:val="center"/>
                </w:tcPr>
                <w:p w14:paraId="6416C8E1">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NOx</w:t>
                  </w:r>
                </w:p>
              </w:tc>
              <w:tc>
                <w:tcPr>
                  <w:tcW w:w="4620" w:type="dxa"/>
                  <w:tcBorders>
                    <w:tl2br w:val="nil"/>
                    <w:tr2bl w:val="nil"/>
                  </w:tcBorders>
                  <w:noWrap w:val="0"/>
                  <w:vAlign w:val="center"/>
                </w:tcPr>
                <w:p w14:paraId="05945D93">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环境空气氮氧化物（一氧化氮和二氧化氮）的测定 盐酸萘乙二胺分光光度HJ479-2009及修改单</w:t>
                  </w:r>
                </w:p>
              </w:tc>
              <w:tc>
                <w:tcPr>
                  <w:tcW w:w="2625" w:type="dxa"/>
                  <w:tcBorders>
                    <w:tl2br w:val="nil"/>
                    <w:tr2bl w:val="nil"/>
                  </w:tcBorders>
                  <w:noWrap w:val="0"/>
                  <w:vAlign w:val="center"/>
                </w:tcPr>
                <w:p w14:paraId="64F7E822">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0.0</w:t>
                  </w:r>
                  <w:r>
                    <w:rPr>
                      <w:rFonts w:hint="eastAsia" w:ascii="Times New Roman" w:hAnsi="Times New Roman" w:eastAsia="宋体" w:cs="Times New Roman"/>
                      <w:b w:val="0"/>
                      <w:bCs w:val="0"/>
                      <w:color w:val="auto"/>
                      <w:sz w:val="21"/>
                      <w:szCs w:val="21"/>
                      <w:highlight w:val="none"/>
                      <w:lang w:val="en-US" w:eastAsia="zh-CN"/>
                    </w:rPr>
                    <w:t>03</w:t>
                  </w:r>
                </w:p>
              </w:tc>
            </w:tr>
          </w:tbl>
          <w:p w14:paraId="7B98047E">
            <w:pPr>
              <w:keepNext/>
              <w:keepLines/>
              <w:pageBreakBefore w:val="0"/>
              <w:widowControl w:val="0"/>
              <w:kinsoku/>
              <w:wordWrap/>
              <w:overflowPunct/>
              <w:topLinePunct w:val="0"/>
              <w:autoSpaceDE/>
              <w:autoSpaceDN/>
              <w:bidi w:val="0"/>
              <w:adjustRightInd w:val="0"/>
              <w:snapToGrid w:val="0"/>
              <w:spacing w:line="240" w:lineRule="auto"/>
              <w:ind w:firstLine="482" w:firstLineChars="200"/>
              <w:jc w:val="center"/>
              <w:textAlignment w:val="baseline"/>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表3-4   环境空气监测结果统计表</w:t>
            </w:r>
          </w:p>
          <w:tbl>
            <w:tblPr>
              <w:tblStyle w:val="38"/>
              <w:tblW w:w="8628"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2330"/>
              <w:gridCol w:w="2409"/>
              <w:gridCol w:w="2295"/>
            </w:tblGrid>
            <w:tr w14:paraId="0637C3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94" w:type="dxa"/>
                  <w:tcBorders>
                    <w:tl2br w:val="nil"/>
                    <w:tr2bl w:val="nil"/>
                  </w:tcBorders>
                  <w:vAlign w:val="center"/>
                </w:tcPr>
                <w:p w14:paraId="2F6E72BE">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监测点位</w:t>
                  </w:r>
                </w:p>
              </w:tc>
              <w:tc>
                <w:tcPr>
                  <w:tcW w:w="2330" w:type="dxa"/>
                  <w:tcBorders>
                    <w:tl2br w:val="nil"/>
                    <w:tr2bl w:val="nil"/>
                  </w:tcBorders>
                  <w:vAlign w:val="center"/>
                </w:tcPr>
                <w:p w14:paraId="7CB6CFE4">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监测日期</w:t>
                  </w:r>
                </w:p>
              </w:tc>
              <w:tc>
                <w:tcPr>
                  <w:tcW w:w="2409" w:type="dxa"/>
                  <w:tcBorders>
                    <w:tl2br w:val="nil"/>
                    <w:tr2bl w:val="nil"/>
                  </w:tcBorders>
                  <w:vAlign w:val="center"/>
                </w:tcPr>
                <w:p w14:paraId="20CA38E8">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监测结果</w:t>
                  </w:r>
                </w:p>
                <w:p w14:paraId="677544EC">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NOx（mg/m</w:t>
                  </w:r>
                  <w:r>
                    <w:rPr>
                      <w:rFonts w:hint="eastAsia" w:ascii="Times New Roman" w:hAnsi="Times New Roman" w:eastAsia="宋体" w:cs="Times New Roman"/>
                      <w:b/>
                      <w:bCs/>
                      <w:color w:val="auto"/>
                      <w:sz w:val="21"/>
                      <w:szCs w:val="21"/>
                      <w:highlight w:val="none"/>
                      <w:vertAlign w:val="superscript"/>
                      <w:lang w:val="en-US" w:eastAsia="zh-CN"/>
                    </w:rPr>
                    <w:t>3</w:t>
                  </w:r>
                  <w:r>
                    <w:rPr>
                      <w:rFonts w:hint="eastAsia" w:ascii="Times New Roman" w:hAnsi="Times New Roman" w:eastAsia="宋体" w:cs="Times New Roman"/>
                      <w:b/>
                      <w:bCs/>
                      <w:color w:val="auto"/>
                      <w:sz w:val="21"/>
                      <w:szCs w:val="21"/>
                      <w:highlight w:val="none"/>
                      <w:lang w:val="en-US" w:eastAsia="zh-CN"/>
                    </w:rPr>
                    <w:t>）</w:t>
                  </w:r>
                </w:p>
              </w:tc>
              <w:tc>
                <w:tcPr>
                  <w:tcW w:w="2295" w:type="dxa"/>
                  <w:tcBorders>
                    <w:tl2br w:val="nil"/>
                    <w:tr2bl w:val="nil"/>
                  </w:tcBorders>
                  <w:vAlign w:val="center"/>
                </w:tcPr>
                <w:p w14:paraId="6EAFD939">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标准限值</w:t>
                  </w:r>
                </w:p>
                <w:p w14:paraId="04A33ECC">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（mg/m</w:t>
                  </w:r>
                  <w:r>
                    <w:rPr>
                      <w:rFonts w:hint="eastAsia" w:ascii="Times New Roman" w:hAnsi="Times New Roman" w:eastAsia="宋体" w:cs="Times New Roman"/>
                      <w:b/>
                      <w:bCs/>
                      <w:color w:val="auto"/>
                      <w:sz w:val="21"/>
                      <w:szCs w:val="21"/>
                      <w:highlight w:val="none"/>
                      <w:vertAlign w:val="superscript"/>
                      <w:lang w:val="en-US" w:eastAsia="zh-CN"/>
                    </w:rPr>
                    <w:t>3</w:t>
                  </w:r>
                  <w:r>
                    <w:rPr>
                      <w:rFonts w:hint="eastAsia" w:ascii="Times New Roman" w:hAnsi="Times New Roman" w:eastAsia="宋体" w:cs="Times New Roman"/>
                      <w:b/>
                      <w:bCs/>
                      <w:color w:val="auto"/>
                      <w:sz w:val="21"/>
                      <w:szCs w:val="21"/>
                      <w:highlight w:val="none"/>
                      <w:lang w:val="en-US" w:eastAsia="zh-CN"/>
                    </w:rPr>
                    <w:t>）</w:t>
                  </w:r>
                </w:p>
              </w:tc>
            </w:tr>
            <w:tr w14:paraId="34854E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94" w:type="dxa"/>
                  <w:vMerge w:val="restart"/>
                  <w:tcBorders>
                    <w:tl2br w:val="nil"/>
                    <w:tr2bl w:val="nil"/>
                  </w:tcBorders>
                  <w:vAlign w:val="center"/>
                </w:tcPr>
                <w:p w14:paraId="2E419B06">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宋体" w:cs="Times New Roman"/>
                      <w:b w:val="0"/>
                      <w:bCs w:val="0"/>
                      <w:color w:val="auto"/>
                      <w:sz w:val="21"/>
                      <w:szCs w:val="21"/>
                      <w:highlight w:val="none"/>
                    </w:rPr>
                  </w:pPr>
                  <w:r>
                    <w:rPr>
                      <w:rFonts w:hint="eastAsia" w:ascii="Times New Roman" w:hAnsi="Times New Roman" w:eastAsia="宋体" w:cs="Times New Roman"/>
                      <w:b w:val="0"/>
                      <w:bCs w:val="0"/>
                      <w:color w:val="auto"/>
                      <w:sz w:val="21"/>
                      <w:szCs w:val="21"/>
                      <w:highlight w:val="none"/>
                      <w:lang w:val="en-US" w:eastAsia="zh-CN"/>
                    </w:rPr>
                    <w:t>翠矶山拆迁安置一期锅炉房所在地</w:t>
                  </w:r>
                </w:p>
              </w:tc>
              <w:tc>
                <w:tcPr>
                  <w:tcW w:w="2330" w:type="dxa"/>
                  <w:tcBorders>
                    <w:tl2br w:val="nil"/>
                    <w:tr2bl w:val="nil"/>
                  </w:tcBorders>
                  <w:vAlign w:val="center"/>
                </w:tcPr>
                <w:p w14:paraId="25962530">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2025.09.23~2025.09.24</w:t>
                  </w:r>
                </w:p>
              </w:tc>
              <w:tc>
                <w:tcPr>
                  <w:tcW w:w="2409" w:type="dxa"/>
                  <w:tcBorders>
                    <w:tl2br w:val="nil"/>
                    <w:tr2bl w:val="nil"/>
                  </w:tcBorders>
                  <w:vAlign w:val="center"/>
                </w:tcPr>
                <w:p w14:paraId="0AECBC7C">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0.044</w:t>
                  </w:r>
                </w:p>
              </w:tc>
              <w:tc>
                <w:tcPr>
                  <w:tcW w:w="2295" w:type="dxa"/>
                  <w:vMerge w:val="restart"/>
                  <w:tcBorders>
                    <w:tl2br w:val="nil"/>
                    <w:tr2bl w:val="nil"/>
                  </w:tcBorders>
                  <w:vAlign w:val="center"/>
                </w:tcPr>
                <w:p w14:paraId="3A72E806">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0.07</w:t>
                  </w:r>
                </w:p>
              </w:tc>
            </w:tr>
            <w:tr w14:paraId="2ED6F1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94" w:type="dxa"/>
                  <w:vMerge w:val="continue"/>
                  <w:tcBorders>
                    <w:tl2br w:val="nil"/>
                    <w:tr2bl w:val="nil"/>
                  </w:tcBorders>
                  <w:vAlign w:val="center"/>
                </w:tcPr>
                <w:p w14:paraId="52F555D6">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宋体" w:cs="Times New Roman"/>
                      <w:b w:val="0"/>
                      <w:bCs w:val="0"/>
                      <w:color w:val="auto"/>
                      <w:sz w:val="21"/>
                      <w:szCs w:val="21"/>
                      <w:highlight w:val="none"/>
                    </w:rPr>
                  </w:pPr>
                </w:p>
              </w:tc>
              <w:tc>
                <w:tcPr>
                  <w:tcW w:w="2330" w:type="dxa"/>
                  <w:tcBorders>
                    <w:tl2br w:val="nil"/>
                    <w:tr2bl w:val="nil"/>
                  </w:tcBorders>
                  <w:vAlign w:val="center"/>
                </w:tcPr>
                <w:p w14:paraId="7178B088">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2025.09.24~2025.09.25</w:t>
                  </w:r>
                </w:p>
              </w:tc>
              <w:tc>
                <w:tcPr>
                  <w:tcW w:w="2409" w:type="dxa"/>
                  <w:tcBorders>
                    <w:tl2br w:val="nil"/>
                    <w:tr2bl w:val="nil"/>
                  </w:tcBorders>
                  <w:vAlign w:val="center"/>
                </w:tcPr>
                <w:p w14:paraId="7A7D0BA5">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0.042</w:t>
                  </w:r>
                </w:p>
              </w:tc>
              <w:tc>
                <w:tcPr>
                  <w:tcW w:w="2295" w:type="dxa"/>
                  <w:vMerge w:val="continue"/>
                  <w:tcBorders>
                    <w:tl2br w:val="nil"/>
                    <w:tr2bl w:val="nil"/>
                  </w:tcBorders>
                  <w:vAlign w:val="center"/>
                </w:tcPr>
                <w:p w14:paraId="02BB385B">
                  <w:pPr>
                    <w:jc w:val="center"/>
                    <w:rPr>
                      <w:rFonts w:hint="eastAsia" w:ascii="Times New Roman" w:hAnsi="Times New Roman" w:eastAsia="宋体" w:cs="Times New Roman"/>
                      <w:b w:val="0"/>
                      <w:bCs w:val="0"/>
                      <w:color w:val="auto"/>
                      <w:sz w:val="21"/>
                      <w:szCs w:val="21"/>
                      <w:highlight w:val="none"/>
                    </w:rPr>
                  </w:pPr>
                </w:p>
              </w:tc>
            </w:tr>
            <w:tr w14:paraId="3190FB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94" w:type="dxa"/>
                  <w:vMerge w:val="continue"/>
                  <w:tcBorders>
                    <w:tl2br w:val="nil"/>
                    <w:tr2bl w:val="nil"/>
                  </w:tcBorders>
                  <w:vAlign w:val="center"/>
                </w:tcPr>
                <w:p w14:paraId="66C2A06E">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宋体" w:cs="Times New Roman"/>
                      <w:b w:val="0"/>
                      <w:bCs w:val="0"/>
                      <w:color w:val="auto"/>
                      <w:sz w:val="21"/>
                      <w:szCs w:val="21"/>
                      <w:highlight w:val="none"/>
                    </w:rPr>
                  </w:pPr>
                </w:p>
              </w:tc>
              <w:tc>
                <w:tcPr>
                  <w:tcW w:w="2330" w:type="dxa"/>
                  <w:tcBorders>
                    <w:tl2br w:val="nil"/>
                    <w:tr2bl w:val="nil"/>
                  </w:tcBorders>
                  <w:vAlign w:val="center"/>
                </w:tcPr>
                <w:p w14:paraId="0EA8485C">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2025.09.25~2025.09.26</w:t>
                  </w:r>
                </w:p>
              </w:tc>
              <w:tc>
                <w:tcPr>
                  <w:tcW w:w="2409" w:type="dxa"/>
                  <w:tcBorders>
                    <w:tl2br w:val="nil"/>
                    <w:tr2bl w:val="nil"/>
                  </w:tcBorders>
                  <w:vAlign w:val="center"/>
                </w:tcPr>
                <w:p w14:paraId="7A8DCB3D">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0.042</w:t>
                  </w:r>
                </w:p>
              </w:tc>
              <w:tc>
                <w:tcPr>
                  <w:tcW w:w="2295" w:type="dxa"/>
                  <w:vMerge w:val="continue"/>
                  <w:tcBorders>
                    <w:tl2br w:val="nil"/>
                    <w:tr2bl w:val="nil"/>
                  </w:tcBorders>
                  <w:vAlign w:val="center"/>
                </w:tcPr>
                <w:p w14:paraId="08A22F73">
                  <w:pPr>
                    <w:jc w:val="center"/>
                    <w:rPr>
                      <w:rFonts w:hint="eastAsia" w:ascii="Times New Roman" w:hAnsi="Times New Roman" w:eastAsia="宋体" w:cs="Times New Roman"/>
                      <w:b w:val="0"/>
                      <w:bCs w:val="0"/>
                      <w:color w:val="auto"/>
                      <w:sz w:val="21"/>
                      <w:szCs w:val="21"/>
                      <w:highlight w:val="none"/>
                    </w:rPr>
                  </w:pPr>
                </w:p>
              </w:tc>
            </w:tr>
          </w:tbl>
          <w:p w14:paraId="55E91B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从监测统计结果可以看出，项目所在区域氮氧化物</w:t>
            </w:r>
            <w:r>
              <w:rPr>
                <w:rFonts w:hint="eastAsia" w:cs="Times New Roman"/>
                <w:color w:val="auto"/>
                <w:sz w:val="24"/>
                <w:szCs w:val="24"/>
                <w:highlight w:val="none"/>
                <w:lang w:val="en-US" w:eastAsia="zh-CN"/>
              </w:rPr>
              <w:t>日均</w:t>
            </w:r>
            <w:r>
              <w:rPr>
                <w:rFonts w:hint="default" w:ascii="Times New Roman" w:hAnsi="Times New Roman" w:eastAsia="宋体" w:cs="Times New Roman"/>
                <w:color w:val="auto"/>
                <w:sz w:val="24"/>
                <w:szCs w:val="24"/>
                <w:highlight w:val="none"/>
                <w:lang w:val="en-US" w:eastAsia="zh-CN"/>
              </w:rPr>
              <w:t>浓度满足《环境空气质量标准》（GB3095-20</w:t>
            </w:r>
            <w:r>
              <w:rPr>
                <w:rFonts w:hint="eastAsia" w:cs="Times New Roman"/>
                <w:color w:val="auto"/>
                <w:sz w:val="24"/>
                <w:szCs w:val="24"/>
                <w:highlight w:val="none"/>
                <w:lang w:val="en-US" w:eastAsia="zh-CN"/>
              </w:rPr>
              <w:t>26</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表2</w:t>
            </w:r>
            <w:r>
              <w:rPr>
                <w:rFonts w:hint="default" w:ascii="Times New Roman" w:hAnsi="Times New Roman" w:eastAsia="宋体" w:cs="Times New Roman"/>
                <w:color w:val="auto"/>
                <w:sz w:val="24"/>
                <w:szCs w:val="24"/>
                <w:highlight w:val="none"/>
                <w:lang w:val="en-US" w:eastAsia="zh-CN"/>
              </w:rPr>
              <w:t>中二级标准要求。</w:t>
            </w:r>
          </w:p>
          <w:p w14:paraId="0720DF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val="0"/>
                <w:bCs w:val="0"/>
                <w:color w:val="auto"/>
                <w:sz w:val="24"/>
                <w:szCs w:val="24"/>
                <w:highlight w:val="none"/>
              </w:rPr>
            </w:pPr>
            <w:r>
              <w:rPr>
                <w:rFonts w:hint="eastAsia"/>
                <w:b w:val="0"/>
                <w:bCs w:val="0"/>
                <w:color w:val="auto"/>
                <w:sz w:val="24"/>
                <w:szCs w:val="24"/>
                <w:highlight w:val="none"/>
                <w:lang w:eastAsia="zh-CN"/>
              </w:rPr>
              <w:t>2.</w:t>
            </w:r>
            <w:r>
              <w:rPr>
                <w:rFonts w:hint="eastAsia"/>
                <w:b w:val="0"/>
                <w:bCs w:val="0"/>
                <w:color w:val="auto"/>
                <w:sz w:val="24"/>
                <w:szCs w:val="24"/>
                <w:highlight w:val="none"/>
              </w:rPr>
              <w:t>地表水</w:t>
            </w:r>
            <w:r>
              <w:rPr>
                <w:b w:val="0"/>
                <w:bCs w:val="0"/>
                <w:color w:val="auto"/>
                <w:sz w:val="24"/>
                <w:szCs w:val="24"/>
                <w:highlight w:val="none"/>
              </w:rPr>
              <w:t>环境</w:t>
            </w:r>
          </w:p>
          <w:p w14:paraId="71AD6527">
            <w:pPr>
              <w:pStyle w:val="3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宋体" w:eastAsia="宋体" w:cs="Times New Roman"/>
                <w:b w:val="0"/>
                <w:bCs w:val="0"/>
                <w:color w:val="auto"/>
                <w:sz w:val="24"/>
                <w:szCs w:val="24"/>
                <w:highlight w:val="none"/>
                <w:lang w:eastAsia="zh-CN"/>
              </w:rPr>
            </w:pPr>
            <w:r>
              <w:rPr>
                <w:rFonts w:hint="eastAsia"/>
                <w:b w:val="0"/>
                <w:bCs/>
                <w:color w:val="auto"/>
                <w:sz w:val="24"/>
                <w:szCs w:val="24"/>
                <w:highlight w:val="none"/>
                <w:lang w:val="en-US" w:eastAsia="zh-CN"/>
              </w:rPr>
              <w:t>项目区域地表水体为</w:t>
            </w:r>
            <w:r>
              <w:rPr>
                <w:rFonts w:hint="eastAsia" w:ascii="Times New Roman" w:hAnsi="宋体"/>
                <w:b w:val="0"/>
                <w:bCs w:val="0"/>
                <w:color w:val="auto"/>
                <w:sz w:val="24"/>
                <w:szCs w:val="24"/>
                <w:highlight w:val="none"/>
                <w:lang w:eastAsia="zh-CN"/>
              </w:rPr>
              <w:t>红岩河，</w:t>
            </w:r>
            <w:r>
              <w:rPr>
                <w:rFonts w:hint="eastAsia" w:ascii="Times New Roman" w:hAnsi="宋体" w:eastAsia="宋体" w:cs="Times New Roman"/>
                <w:b w:val="0"/>
                <w:bCs w:val="0"/>
                <w:color w:val="auto"/>
                <w:sz w:val="24"/>
                <w:szCs w:val="24"/>
                <w:highlight w:val="none"/>
                <w:lang w:eastAsia="zh-CN"/>
              </w:rPr>
              <w:t>本次环评引用《宝鸡市202</w:t>
            </w:r>
            <w:r>
              <w:rPr>
                <w:rFonts w:hint="eastAsia" w:ascii="Times New Roman" w:hAnsi="宋体" w:cs="Times New Roman"/>
                <w:b w:val="0"/>
                <w:bCs w:val="0"/>
                <w:color w:val="auto"/>
                <w:sz w:val="24"/>
                <w:szCs w:val="24"/>
                <w:highlight w:val="none"/>
                <w:lang w:val="en-US" w:eastAsia="zh-CN"/>
              </w:rPr>
              <w:t>4</w:t>
            </w:r>
            <w:r>
              <w:rPr>
                <w:rFonts w:hint="eastAsia" w:ascii="Times New Roman" w:hAnsi="宋体" w:eastAsia="宋体" w:cs="Times New Roman"/>
                <w:b w:val="0"/>
                <w:bCs w:val="0"/>
                <w:color w:val="auto"/>
                <w:sz w:val="24"/>
                <w:szCs w:val="24"/>
                <w:highlight w:val="none"/>
                <w:lang w:eastAsia="zh-CN"/>
              </w:rPr>
              <w:t>年环境质量公报》中对</w:t>
            </w:r>
            <w:r>
              <w:rPr>
                <w:rFonts w:hint="eastAsia" w:ascii="Times New Roman" w:hAnsi="宋体" w:eastAsia="宋体" w:cs="Times New Roman"/>
                <w:b w:val="0"/>
                <w:bCs w:val="0"/>
                <w:color w:val="auto"/>
                <w:sz w:val="24"/>
                <w:szCs w:val="24"/>
                <w:highlight w:val="none"/>
                <w:lang w:val="en-US" w:eastAsia="zh-CN"/>
              </w:rPr>
              <w:t>红岩河</w:t>
            </w:r>
            <w:r>
              <w:rPr>
                <w:rFonts w:hint="eastAsia" w:ascii="Times New Roman" w:hAnsi="宋体" w:eastAsia="宋体" w:cs="Times New Roman"/>
                <w:b w:val="0"/>
                <w:bCs w:val="0"/>
                <w:color w:val="auto"/>
                <w:sz w:val="24"/>
                <w:szCs w:val="24"/>
                <w:highlight w:val="none"/>
                <w:lang w:eastAsia="zh-CN"/>
              </w:rPr>
              <w:t>断面的现状监测资料。现将监测结果统计整理于下表。</w:t>
            </w:r>
          </w:p>
          <w:p w14:paraId="2AECD64C">
            <w:pPr>
              <w:pStyle w:val="30"/>
              <w:spacing w:line="240" w:lineRule="auto"/>
              <w:ind w:left="0" w:leftChars="0" w:firstLine="482" w:firstLineChars="200"/>
              <w:jc w:val="center"/>
              <w:rPr>
                <w:rFonts w:hint="eastAsia" w:ascii="Times New Roman" w:hAnsi="宋体" w:eastAsia="宋体" w:cs="Times New Roman"/>
                <w:b/>
                <w:bCs/>
                <w:color w:val="auto"/>
                <w:sz w:val="24"/>
                <w:szCs w:val="24"/>
                <w:highlight w:val="none"/>
                <w:lang w:eastAsia="zh-CN"/>
              </w:rPr>
            </w:pPr>
            <w:r>
              <w:rPr>
                <w:rFonts w:hint="eastAsia" w:ascii="Times New Roman" w:hAnsi="宋体" w:eastAsia="宋体" w:cs="Times New Roman"/>
                <w:b/>
                <w:bCs/>
                <w:color w:val="auto"/>
                <w:sz w:val="24"/>
                <w:szCs w:val="24"/>
                <w:highlight w:val="none"/>
                <w:lang w:eastAsia="zh-CN"/>
              </w:rPr>
              <w:t>表3-</w:t>
            </w:r>
            <w:r>
              <w:rPr>
                <w:rFonts w:hint="eastAsia" w:ascii="Times New Roman" w:hAnsi="宋体" w:cs="Times New Roman"/>
                <w:b/>
                <w:bCs/>
                <w:color w:val="auto"/>
                <w:sz w:val="24"/>
                <w:szCs w:val="24"/>
                <w:highlight w:val="none"/>
                <w:lang w:val="en-US" w:eastAsia="zh-CN"/>
              </w:rPr>
              <w:t>5</w:t>
            </w:r>
            <w:r>
              <w:rPr>
                <w:rFonts w:hint="eastAsia" w:ascii="Times New Roman" w:hAnsi="宋体" w:eastAsia="宋体" w:cs="Times New Roman"/>
                <w:b/>
                <w:bCs/>
                <w:color w:val="auto"/>
                <w:sz w:val="24"/>
                <w:szCs w:val="24"/>
                <w:highlight w:val="none"/>
                <w:lang w:eastAsia="zh-CN"/>
              </w:rPr>
              <w:t xml:space="preserve">  </w:t>
            </w:r>
            <w:r>
              <w:rPr>
                <w:rFonts w:hint="eastAsia" w:ascii="Times New Roman" w:hAnsi="宋体" w:eastAsia="宋体" w:cs="Times New Roman"/>
                <w:b/>
                <w:bCs/>
                <w:color w:val="auto"/>
                <w:sz w:val="24"/>
                <w:szCs w:val="24"/>
                <w:highlight w:val="none"/>
                <w:lang w:val="en-US" w:eastAsia="zh-CN"/>
              </w:rPr>
              <w:t xml:space="preserve"> </w:t>
            </w:r>
            <w:r>
              <w:rPr>
                <w:rFonts w:hint="eastAsia" w:ascii="Times New Roman" w:hAnsi="宋体" w:eastAsia="宋体" w:cs="Times New Roman"/>
                <w:b/>
                <w:bCs/>
                <w:color w:val="auto"/>
                <w:sz w:val="24"/>
                <w:szCs w:val="24"/>
                <w:highlight w:val="none"/>
                <w:lang w:eastAsia="zh-CN"/>
              </w:rPr>
              <w:t>地表水水质监测结果统计表  单位：mg/L</w:t>
            </w:r>
          </w:p>
          <w:tbl>
            <w:tblPr>
              <w:tblStyle w:val="37"/>
              <w:tblW w:w="8635" w:type="dxa"/>
              <w:tblInd w:w="1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84"/>
              <w:gridCol w:w="1282"/>
              <w:gridCol w:w="1112"/>
              <w:gridCol w:w="838"/>
              <w:gridCol w:w="809"/>
              <w:gridCol w:w="951"/>
              <w:gridCol w:w="653"/>
              <w:gridCol w:w="802"/>
              <w:gridCol w:w="802"/>
              <w:gridCol w:w="802"/>
            </w:tblGrid>
            <w:tr w14:paraId="7740BD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584" w:type="dxa"/>
                  <w:tcBorders>
                    <w:tl2br w:val="nil"/>
                    <w:tr2bl w:val="nil"/>
                  </w:tcBorders>
                  <w:noWrap w:val="0"/>
                  <w:vAlign w:val="center"/>
                </w:tcPr>
                <w:p w14:paraId="381812AC">
                  <w:pPr>
                    <w:jc w:val="center"/>
                    <w:rPr>
                      <w:rFonts w:ascii="Times New Roman" w:hAnsi="Times New Roman" w:eastAsia="宋体" w:cs="Times New Roman"/>
                      <w:b/>
                      <w:bCs/>
                      <w:color w:val="auto"/>
                      <w:sz w:val="21"/>
                      <w:szCs w:val="21"/>
                      <w:highlight w:val="none"/>
                    </w:rPr>
                  </w:pPr>
                  <w:r>
                    <w:rPr>
                      <w:rFonts w:ascii="Times New Roman" w:hAnsi="Times New Roman" w:eastAsia="宋体" w:cs="Times New Roman"/>
                      <w:b/>
                      <w:bCs/>
                      <w:color w:val="auto"/>
                      <w:sz w:val="21"/>
                      <w:szCs w:val="21"/>
                      <w:highlight w:val="none"/>
                    </w:rPr>
                    <w:t>年度</w:t>
                  </w:r>
                </w:p>
              </w:tc>
              <w:tc>
                <w:tcPr>
                  <w:tcW w:w="1282" w:type="dxa"/>
                  <w:tcBorders>
                    <w:tl2br w:val="nil"/>
                    <w:tr2bl w:val="nil"/>
                  </w:tcBorders>
                  <w:noWrap w:val="0"/>
                  <w:vAlign w:val="center"/>
                </w:tcPr>
                <w:p w14:paraId="6EE81E08">
                  <w:pPr>
                    <w:jc w:val="center"/>
                    <w:rPr>
                      <w:rFonts w:ascii="Times New Roman" w:hAnsi="Times New Roman" w:eastAsia="宋体" w:cs="Times New Roman"/>
                      <w:b/>
                      <w:bCs/>
                      <w:color w:val="auto"/>
                      <w:sz w:val="21"/>
                      <w:szCs w:val="21"/>
                      <w:highlight w:val="none"/>
                    </w:rPr>
                  </w:pPr>
                  <w:r>
                    <w:rPr>
                      <w:rFonts w:ascii="Times New Roman" w:hAnsi="Times New Roman" w:eastAsia="宋体" w:cs="Times New Roman"/>
                      <w:b/>
                      <w:bCs/>
                      <w:color w:val="auto"/>
                      <w:sz w:val="21"/>
                      <w:szCs w:val="21"/>
                      <w:highlight w:val="none"/>
                    </w:rPr>
                    <w:t>断面类别</w:t>
                  </w:r>
                </w:p>
              </w:tc>
              <w:tc>
                <w:tcPr>
                  <w:tcW w:w="1112" w:type="dxa"/>
                  <w:tcBorders>
                    <w:tl2br w:val="nil"/>
                    <w:tr2bl w:val="nil"/>
                  </w:tcBorders>
                  <w:noWrap w:val="0"/>
                  <w:vAlign w:val="center"/>
                </w:tcPr>
                <w:p w14:paraId="41E43966">
                  <w:pPr>
                    <w:jc w:val="center"/>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pH（无量纲）</w:t>
                  </w:r>
                </w:p>
              </w:tc>
              <w:tc>
                <w:tcPr>
                  <w:tcW w:w="838" w:type="dxa"/>
                  <w:tcBorders>
                    <w:tl2br w:val="nil"/>
                    <w:tr2bl w:val="nil"/>
                  </w:tcBorders>
                  <w:noWrap w:val="0"/>
                  <w:vAlign w:val="center"/>
                </w:tcPr>
                <w:p w14:paraId="53EE4E23">
                  <w:pPr>
                    <w:jc w:val="center"/>
                    <w:rPr>
                      <w:rFonts w:hint="eastAsia"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溶解氧</w:t>
                  </w:r>
                </w:p>
              </w:tc>
              <w:tc>
                <w:tcPr>
                  <w:tcW w:w="809" w:type="dxa"/>
                  <w:tcBorders>
                    <w:tl2br w:val="nil"/>
                    <w:tr2bl w:val="nil"/>
                  </w:tcBorders>
                  <w:noWrap w:val="0"/>
                  <w:vAlign w:val="center"/>
                </w:tcPr>
                <w:p w14:paraId="7B45E1FE">
                  <w:pPr>
                    <w:jc w:val="center"/>
                    <w:rPr>
                      <w:rFonts w:ascii="Times New Roman" w:hAnsi="Times New Roman" w:eastAsia="宋体" w:cs="Times New Roman"/>
                      <w:b/>
                      <w:bCs/>
                      <w:color w:val="auto"/>
                      <w:sz w:val="21"/>
                      <w:szCs w:val="21"/>
                      <w:highlight w:val="none"/>
                    </w:rPr>
                  </w:pPr>
                  <w:r>
                    <w:rPr>
                      <w:rFonts w:ascii="Times New Roman" w:hAnsi="Times New Roman" w:eastAsia="宋体" w:cs="Times New Roman"/>
                      <w:b/>
                      <w:bCs/>
                      <w:color w:val="auto"/>
                      <w:sz w:val="21"/>
                      <w:szCs w:val="21"/>
                      <w:highlight w:val="none"/>
                    </w:rPr>
                    <w:t>高锰酸盐指数</w:t>
                  </w:r>
                </w:p>
              </w:tc>
              <w:tc>
                <w:tcPr>
                  <w:tcW w:w="951" w:type="dxa"/>
                  <w:tcBorders>
                    <w:tl2br w:val="nil"/>
                    <w:tr2bl w:val="nil"/>
                  </w:tcBorders>
                  <w:noWrap w:val="0"/>
                  <w:vAlign w:val="center"/>
                </w:tcPr>
                <w:p w14:paraId="36013C29">
                  <w:pPr>
                    <w:jc w:val="center"/>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五日生化需氧量</w:t>
                  </w:r>
                </w:p>
              </w:tc>
              <w:tc>
                <w:tcPr>
                  <w:tcW w:w="653" w:type="dxa"/>
                  <w:tcBorders>
                    <w:tl2br w:val="nil"/>
                    <w:tr2bl w:val="nil"/>
                  </w:tcBorders>
                  <w:noWrap w:val="0"/>
                  <w:vAlign w:val="center"/>
                </w:tcPr>
                <w:p w14:paraId="62B3CD1E">
                  <w:pPr>
                    <w:jc w:val="center"/>
                    <w:rPr>
                      <w:rFonts w:ascii="Times New Roman" w:hAnsi="Times New Roman" w:eastAsia="宋体" w:cs="Times New Roman"/>
                      <w:b/>
                      <w:bCs/>
                      <w:color w:val="auto"/>
                      <w:sz w:val="21"/>
                      <w:szCs w:val="21"/>
                      <w:highlight w:val="none"/>
                    </w:rPr>
                  </w:pPr>
                  <w:r>
                    <w:rPr>
                      <w:rFonts w:ascii="Times New Roman" w:hAnsi="Times New Roman" w:eastAsia="宋体" w:cs="Times New Roman"/>
                      <w:b/>
                      <w:bCs/>
                      <w:color w:val="auto"/>
                      <w:sz w:val="21"/>
                      <w:szCs w:val="21"/>
                      <w:highlight w:val="none"/>
                    </w:rPr>
                    <w:t>氨氮</w:t>
                  </w:r>
                </w:p>
              </w:tc>
              <w:tc>
                <w:tcPr>
                  <w:tcW w:w="802" w:type="dxa"/>
                  <w:tcBorders>
                    <w:tl2br w:val="nil"/>
                    <w:tr2bl w:val="nil"/>
                  </w:tcBorders>
                  <w:noWrap w:val="0"/>
                  <w:vAlign w:val="center"/>
                </w:tcPr>
                <w:p w14:paraId="15FBF46F">
                  <w:pPr>
                    <w:jc w:val="center"/>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化学需氧量</w:t>
                  </w:r>
                </w:p>
              </w:tc>
              <w:tc>
                <w:tcPr>
                  <w:tcW w:w="802" w:type="dxa"/>
                  <w:tcBorders>
                    <w:tl2br w:val="nil"/>
                    <w:tr2bl w:val="nil"/>
                  </w:tcBorders>
                  <w:noWrap w:val="0"/>
                  <w:vAlign w:val="center"/>
                </w:tcPr>
                <w:p w14:paraId="2CFC0214">
                  <w:pPr>
                    <w:jc w:val="center"/>
                    <w:rPr>
                      <w:rFonts w:ascii="Times New Roman" w:hAnsi="Times New Roman" w:eastAsia="宋体" w:cs="Times New Roman"/>
                      <w:b/>
                      <w:bCs/>
                      <w:color w:val="auto"/>
                      <w:sz w:val="21"/>
                      <w:szCs w:val="21"/>
                      <w:highlight w:val="none"/>
                    </w:rPr>
                  </w:pPr>
                  <w:r>
                    <w:rPr>
                      <w:rFonts w:ascii="Times New Roman" w:hAnsi="Times New Roman" w:eastAsia="宋体" w:cs="Times New Roman"/>
                      <w:b/>
                      <w:bCs/>
                      <w:color w:val="auto"/>
                      <w:sz w:val="21"/>
                      <w:szCs w:val="21"/>
                      <w:highlight w:val="none"/>
                    </w:rPr>
                    <w:t>总磷</w:t>
                  </w:r>
                </w:p>
              </w:tc>
              <w:tc>
                <w:tcPr>
                  <w:tcW w:w="802" w:type="dxa"/>
                  <w:tcBorders>
                    <w:tl2br w:val="nil"/>
                    <w:tr2bl w:val="nil"/>
                  </w:tcBorders>
                  <w:noWrap w:val="0"/>
                  <w:vAlign w:val="center"/>
                </w:tcPr>
                <w:p w14:paraId="62258E3A">
                  <w:pPr>
                    <w:jc w:val="center"/>
                    <w:rPr>
                      <w:rFonts w:hint="eastAsia"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氟化物</w:t>
                  </w:r>
                </w:p>
              </w:tc>
            </w:tr>
            <w:tr w14:paraId="73B63E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584" w:type="dxa"/>
                  <w:tcBorders>
                    <w:tl2br w:val="nil"/>
                    <w:tr2bl w:val="nil"/>
                  </w:tcBorders>
                  <w:noWrap w:val="0"/>
                  <w:vAlign w:val="center"/>
                </w:tcPr>
                <w:p w14:paraId="044D502A">
                  <w:pPr>
                    <w:jc w:val="center"/>
                    <w:rPr>
                      <w:rFonts w:hint="eastAsia" w:ascii="Times New Roman" w:hAnsi="Times New Roman" w:eastAsia="宋体" w:cs="Times New Roman"/>
                      <w:b w:val="0"/>
                      <w:bCs w:val="0"/>
                      <w:color w:val="auto"/>
                      <w:sz w:val="21"/>
                      <w:szCs w:val="21"/>
                      <w:highlight w:val="none"/>
                      <w:lang w:val="en-US" w:eastAsia="zh-CN"/>
                    </w:rPr>
                  </w:pPr>
                  <w:r>
                    <w:rPr>
                      <w:rFonts w:ascii="Times New Roman" w:hAnsi="Times New Roman" w:eastAsia="宋体" w:cs="Times New Roman"/>
                      <w:b w:val="0"/>
                      <w:bCs w:val="0"/>
                      <w:color w:val="auto"/>
                      <w:sz w:val="21"/>
                      <w:szCs w:val="21"/>
                      <w:highlight w:val="none"/>
                    </w:rPr>
                    <w:t>202</w:t>
                  </w:r>
                  <w:r>
                    <w:rPr>
                      <w:rFonts w:hint="eastAsia" w:cs="Times New Roman"/>
                      <w:b w:val="0"/>
                      <w:bCs w:val="0"/>
                      <w:color w:val="auto"/>
                      <w:sz w:val="21"/>
                      <w:szCs w:val="21"/>
                      <w:highlight w:val="none"/>
                      <w:lang w:val="en-US" w:eastAsia="zh-CN"/>
                    </w:rPr>
                    <w:t>4</w:t>
                  </w:r>
                </w:p>
              </w:tc>
              <w:tc>
                <w:tcPr>
                  <w:tcW w:w="1282" w:type="dxa"/>
                  <w:tcBorders>
                    <w:tl2br w:val="nil"/>
                    <w:tr2bl w:val="nil"/>
                  </w:tcBorders>
                  <w:noWrap w:val="0"/>
                  <w:vAlign w:val="center"/>
                </w:tcPr>
                <w:p w14:paraId="1C40C1FD">
                  <w:pPr>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红岩河出境断面</w:t>
                  </w:r>
                </w:p>
              </w:tc>
              <w:tc>
                <w:tcPr>
                  <w:tcW w:w="1112" w:type="dxa"/>
                  <w:tcBorders>
                    <w:tl2br w:val="nil"/>
                    <w:tr2bl w:val="nil"/>
                  </w:tcBorders>
                  <w:noWrap w:val="0"/>
                  <w:vAlign w:val="center"/>
                </w:tcPr>
                <w:p w14:paraId="61597C60">
                  <w:pPr>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8.0</w:t>
                  </w:r>
                </w:p>
              </w:tc>
              <w:tc>
                <w:tcPr>
                  <w:tcW w:w="838" w:type="dxa"/>
                  <w:tcBorders>
                    <w:tl2br w:val="nil"/>
                    <w:tr2bl w:val="nil"/>
                  </w:tcBorders>
                  <w:noWrap w:val="0"/>
                  <w:vAlign w:val="center"/>
                </w:tcPr>
                <w:p w14:paraId="0AF3DA67">
                  <w:pPr>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9.0</w:t>
                  </w:r>
                </w:p>
              </w:tc>
              <w:tc>
                <w:tcPr>
                  <w:tcW w:w="809" w:type="dxa"/>
                  <w:tcBorders>
                    <w:tl2br w:val="nil"/>
                    <w:tr2bl w:val="nil"/>
                  </w:tcBorders>
                  <w:noWrap w:val="0"/>
                  <w:vAlign w:val="center"/>
                </w:tcPr>
                <w:p w14:paraId="53A35FD2">
                  <w:pPr>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1.2</w:t>
                  </w:r>
                </w:p>
              </w:tc>
              <w:tc>
                <w:tcPr>
                  <w:tcW w:w="951" w:type="dxa"/>
                  <w:tcBorders>
                    <w:tl2br w:val="nil"/>
                    <w:tr2bl w:val="nil"/>
                  </w:tcBorders>
                  <w:noWrap w:val="0"/>
                  <w:vAlign w:val="center"/>
                </w:tcPr>
                <w:p w14:paraId="7E241FEA">
                  <w:pPr>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1.0</w:t>
                  </w:r>
                </w:p>
              </w:tc>
              <w:tc>
                <w:tcPr>
                  <w:tcW w:w="653" w:type="dxa"/>
                  <w:tcBorders>
                    <w:tl2br w:val="nil"/>
                    <w:tr2bl w:val="nil"/>
                  </w:tcBorders>
                  <w:noWrap w:val="0"/>
                  <w:vAlign w:val="center"/>
                </w:tcPr>
                <w:p w14:paraId="2C369766">
                  <w:pPr>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0.09</w:t>
                  </w:r>
                </w:p>
              </w:tc>
              <w:tc>
                <w:tcPr>
                  <w:tcW w:w="802" w:type="dxa"/>
                  <w:tcBorders>
                    <w:tl2br w:val="nil"/>
                    <w:tr2bl w:val="nil"/>
                  </w:tcBorders>
                  <w:noWrap w:val="0"/>
                  <w:vAlign w:val="center"/>
                </w:tcPr>
                <w:p w14:paraId="2C193FDB">
                  <w:pPr>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3.9</w:t>
                  </w:r>
                </w:p>
              </w:tc>
              <w:tc>
                <w:tcPr>
                  <w:tcW w:w="802" w:type="dxa"/>
                  <w:tcBorders>
                    <w:tl2br w:val="nil"/>
                    <w:tr2bl w:val="nil"/>
                  </w:tcBorders>
                  <w:noWrap w:val="0"/>
                  <w:vAlign w:val="center"/>
                </w:tcPr>
                <w:p w14:paraId="62CA583B">
                  <w:pPr>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0.03</w:t>
                  </w:r>
                </w:p>
              </w:tc>
              <w:tc>
                <w:tcPr>
                  <w:tcW w:w="802" w:type="dxa"/>
                  <w:tcBorders>
                    <w:tl2br w:val="nil"/>
                    <w:tr2bl w:val="nil"/>
                  </w:tcBorders>
                  <w:noWrap w:val="0"/>
                  <w:vAlign w:val="center"/>
                </w:tcPr>
                <w:p w14:paraId="61E71A9E">
                  <w:pPr>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0.1</w:t>
                  </w:r>
                </w:p>
              </w:tc>
            </w:tr>
            <w:tr w14:paraId="266F32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866" w:type="dxa"/>
                  <w:gridSpan w:val="2"/>
                  <w:tcBorders>
                    <w:tl2br w:val="nil"/>
                    <w:tr2bl w:val="nil"/>
                  </w:tcBorders>
                  <w:noWrap w:val="0"/>
                  <w:vAlign w:val="center"/>
                </w:tcPr>
                <w:p w14:paraId="65F6487D">
                  <w:pPr>
                    <w:jc w:val="center"/>
                    <w:rPr>
                      <w:rFonts w:ascii="Times New Roman" w:hAnsi="Times New Roman" w:eastAsia="宋体" w:cs="Times New Roman"/>
                      <w:b w:val="0"/>
                      <w:bCs w:val="0"/>
                      <w:color w:val="auto"/>
                      <w:sz w:val="21"/>
                      <w:szCs w:val="21"/>
                      <w:highlight w:val="none"/>
                    </w:rPr>
                  </w:pPr>
                  <w:r>
                    <w:rPr>
                      <w:rFonts w:hint="eastAsia" w:ascii="Times New Roman" w:hAnsi="Times New Roman" w:eastAsia="宋体" w:cs="Times New Roman"/>
                      <w:b w:val="0"/>
                      <w:bCs w:val="0"/>
                      <w:color w:val="auto"/>
                      <w:sz w:val="21"/>
                      <w:szCs w:val="21"/>
                      <w:highlight w:val="none"/>
                    </w:rPr>
                    <w:t>《地表水环境质量标准》</w:t>
                  </w:r>
                  <w:r>
                    <w:rPr>
                      <w:rFonts w:ascii="Times New Roman" w:hAnsi="Times New Roman" w:eastAsia="宋体" w:cs="Times New Roman"/>
                      <w:b w:val="0"/>
                      <w:bCs w:val="0"/>
                      <w:color w:val="auto"/>
                      <w:sz w:val="21"/>
                      <w:szCs w:val="21"/>
                      <w:highlight w:val="none"/>
                    </w:rPr>
                    <w:t>（</w:t>
                  </w:r>
                  <w:r>
                    <w:rPr>
                      <w:rFonts w:hint="default" w:ascii="Times New Roman" w:hAnsi="Times New Roman" w:eastAsia="宋体" w:cs="Times New Roman"/>
                      <w:b w:val="0"/>
                      <w:bCs w:val="0"/>
                      <w:color w:val="auto"/>
                      <w:sz w:val="21"/>
                      <w:szCs w:val="21"/>
                      <w:highlight w:val="none"/>
                    </w:rPr>
                    <w:t>Ⅱ</w:t>
                  </w:r>
                  <w:r>
                    <w:rPr>
                      <w:rFonts w:ascii="Times New Roman" w:hAnsi="Times New Roman" w:eastAsia="宋体" w:cs="Times New Roman"/>
                      <w:b w:val="0"/>
                      <w:bCs w:val="0"/>
                      <w:color w:val="auto"/>
                      <w:sz w:val="21"/>
                      <w:szCs w:val="21"/>
                      <w:highlight w:val="none"/>
                    </w:rPr>
                    <w:t>类）</w:t>
                  </w:r>
                </w:p>
              </w:tc>
              <w:tc>
                <w:tcPr>
                  <w:tcW w:w="1112" w:type="dxa"/>
                  <w:tcBorders>
                    <w:tl2br w:val="nil"/>
                    <w:tr2bl w:val="nil"/>
                  </w:tcBorders>
                  <w:noWrap w:val="0"/>
                  <w:vAlign w:val="center"/>
                </w:tcPr>
                <w:p w14:paraId="1EE8DA6F">
                  <w:pPr>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6-9</w:t>
                  </w:r>
                </w:p>
              </w:tc>
              <w:tc>
                <w:tcPr>
                  <w:tcW w:w="838" w:type="dxa"/>
                  <w:tcBorders>
                    <w:tl2br w:val="nil"/>
                    <w:tr2bl w:val="nil"/>
                  </w:tcBorders>
                  <w:noWrap w:val="0"/>
                  <w:vAlign w:val="center"/>
                </w:tcPr>
                <w:p w14:paraId="4507751A">
                  <w:pPr>
                    <w:jc w:val="center"/>
                    <w:rPr>
                      <w:rFonts w:hint="default" w:ascii="Times New Roman" w:hAnsi="Times New Roman" w:eastAsia="宋体" w:cs="Times New Roman"/>
                      <w:b w:val="0"/>
                      <w:bCs w:val="0"/>
                      <w:color w:val="auto"/>
                      <w:sz w:val="21"/>
                      <w:szCs w:val="21"/>
                      <w:highlight w:val="none"/>
                      <w:lang w:val="en-US" w:eastAsia="zh-CN"/>
                    </w:rPr>
                  </w:pPr>
                  <w:r>
                    <w:rPr>
                      <w:rFonts w:hint="eastAsia" w:ascii="微软雅黑" w:hAnsi="微软雅黑" w:eastAsia="微软雅黑" w:cs="微软雅黑"/>
                      <w:b w:val="0"/>
                      <w:bCs w:val="0"/>
                      <w:color w:val="auto"/>
                      <w:sz w:val="21"/>
                      <w:szCs w:val="21"/>
                      <w:highlight w:val="none"/>
                    </w:rPr>
                    <w:t>≧</w:t>
                  </w:r>
                  <w:r>
                    <w:rPr>
                      <w:rFonts w:hint="eastAsia" w:ascii="Times New Roman" w:hAnsi="Times New Roman" w:eastAsia="宋体" w:cs="Times New Roman"/>
                      <w:b w:val="0"/>
                      <w:bCs w:val="0"/>
                      <w:color w:val="auto"/>
                      <w:sz w:val="21"/>
                      <w:szCs w:val="21"/>
                      <w:highlight w:val="none"/>
                      <w:lang w:val="en-US" w:eastAsia="zh-CN"/>
                    </w:rPr>
                    <w:t>6.0</w:t>
                  </w:r>
                </w:p>
              </w:tc>
              <w:tc>
                <w:tcPr>
                  <w:tcW w:w="809" w:type="dxa"/>
                  <w:tcBorders>
                    <w:tl2br w:val="nil"/>
                    <w:tr2bl w:val="nil"/>
                  </w:tcBorders>
                  <w:noWrap w:val="0"/>
                  <w:vAlign w:val="center"/>
                </w:tcPr>
                <w:p w14:paraId="68CBF3A6">
                  <w:pPr>
                    <w:jc w:val="center"/>
                    <w:rPr>
                      <w:rFonts w:hint="default" w:ascii="Times New Roman" w:hAnsi="Times New Roman" w:eastAsia="宋体" w:cs="Times New Roman"/>
                      <w:b w:val="0"/>
                      <w:bCs w:val="0"/>
                      <w:color w:val="auto"/>
                      <w:sz w:val="21"/>
                      <w:szCs w:val="21"/>
                      <w:highlight w:val="none"/>
                      <w:lang w:val="en-US" w:eastAsia="zh-CN"/>
                    </w:rPr>
                  </w:pPr>
                  <w:r>
                    <w:rPr>
                      <w:rFonts w:ascii="Times New Roman" w:hAnsi="Times New Roman" w:eastAsia="宋体" w:cs="Times New Roman"/>
                      <w:b w:val="0"/>
                      <w:bCs w:val="0"/>
                      <w:color w:val="auto"/>
                      <w:sz w:val="21"/>
                      <w:szCs w:val="21"/>
                      <w:highlight w:val="none"/>
                    </w:rPr>
                    <w:t>≤</w:t>
                  </w:r>
                  <w:r>
                    <w:rPr>
                      <w:rFonts w:hint="eastAsia" w:ascii="Times New Roman" w:hAnsi="Times New Roman" w:eastAsia="宋体" w:cs="Times New Roman"/>
                      <w:b w:val="0"/>
                      <w:bCs w:val="0"/>
                      <w:color w:val="auto"/>
                      <w:sz w:val="21"/>
                      <w:szCs w:val="21"/>
                      <w:highlight w:val="none"/>
                      <w:lang w:val="en-US" w:eastAsia="zh-CN"/>
                    </w:rPr>
                    <w:t>4.0</w:t>
                  </w:r>
                </w:p>
              </w:tc>
              <w:tc>
                <w:tcPr>
                  <w:tcW w:w="951" w:type="dxa"/>
                  <w:tcBorders>
                    <w:tl2br w:val="nil"/>
                    <w:tr2bl w:val="nil"/>
                  </w:tcBorders>
                  <w:noWrap w:val="0"/>
                  <w:vAlign w:val="center"/>
                </w:tcPr>
                <w:p w14:paraId="34DFE62F">
                  <w:pPr>
                    <w:jc w:val="center"/>
                    <w:rPr>
                      <w:rFonts w:hint="default" w:ascii="Times New Roman" w:hAnsi="Times New Roman" w:eastAsia="宋体" w:cs="Times New Roman"/>
                      <w:b w:val="0"/>
                      <w:bCs w:val="0"/>
                      <w:color w:val="auto"/>
                      <w:sz w:val="21"/>
                      <w:szCs w:val="21"/>
                      <w:highlight w:val="none"/>
                      <w:lang w:val="en-US" w:eastAsia="zh-CN"/>
                    </w:rPr>
                  </w:pPr>
                  <w:r>
                    <w:rPr>
                      <w:rFonts w:ascii="Times New Roman" w:hAnsi="Times New Roman" w:eastAsia="宋体" w:cs="Times New Roman"/>
                      <w:b w:val="0"/>
                      <w:bCs w:val="0"/>
                      <w:color w:val="auto"/>
                      <w:sz w:val="21"/>
                      <w:szCs w:val="21"/>
                      <w:highlight w:val="none"/>
                    </w:rPr>
                    <w:t>≤</w:t>
                  </w:r>
                  <w:r>
                    <w:rPr>
                      <w:rFonts w:hint="eastAsia" w:ascii="Times New Roman" w:hAnsi="Times New Roman" w:eastAsia="宋体" w:cs="Times New Roman"/>
                      <w:b w:val="0"/>
                      <w:bCs w:val="0"/>
                      <w:color w:val="auto"/>
                      <w:sz w:val="21"/>
                      <w:szCs w:val="21"/>
                      <w:highlight w:val="none"/>
                      <w:lang w:val="en-US" w:eastAsia="zh-CN"/>
                    </w:rPr>
                    <w:t>3.0</w:t>
                  </w:r>
                </w:p>
              </w:tc>
              <w:tc>
                <w:tcPr>
                  <w:tcW w:w="653" w:type="dxa"/>
                  <w:tcBorders>
                    <w:tl2br w:val="nil"/>
                    <w:tr2bl w:val="nil"/>
                  </w:tcBorders>
                  <w:noWrap w:val="0"/>
                  <w:vAlign w:val="center"/>
                </w:tcPr>
                <w:p w14:paraId="70FFDD31">
                  <w:pPr>
                    <w:jc w:val="center"/>
                    <w:rPr>
                      <w:rFonts w:ascii="Times New Roman" w:hAnsi="Times New Roman" w:eastAsia="宋体" w:cs="Times New Roman"/>
                      <w:b w:val="0"/>
                      <w:bCs w:val="0"/>
                      <w:color w:val="auto"/>
                      <w:sz w:val="21"/>
                      <w:szCs w:val="21"/>
                      <w:highlight w:val="none"/>
                    </w:rPr>
                  </w:pPr>
                  <w:r>
                    <w:rPr>
                      <w:rFonts w:ascii="Times New Roman" w:hAnsi="Times New Roman" w:eastAsia="宋体" w:cs="Times New Roman"/>
                      <w:b w:val="0"/>
                      <w:bCs w:val="0"/>
                      <w:color w:val="auto"/>
                      <w:sz w:val="21"/>
                      <w:szCs w:val="21"/>
                      <w:highlight w:val="none"/>
                    </w:rPr>
                    <w:t>≤</w:t>
                  </w:r>
                  <w:r>
                    <w:rPr>
                      <w:rFonts w:hint="eastAsia" w:ascii="Times New Roman" w:hAnsi="Times New Roman" w:eastAsia="宋体" w:cs="Times New Roman"/>
                      <w:b w:val="0"/>
                      <w:bCs w:val="0"/>
                      <w:color w:val="auto"/>
                      <w:sz w:val="21"/>
                      <w:szCs w:val="21"/>
                      <w:highlight w:val="none"/>
                      <w:lang w:val="en-US" w:eastAsia="zh-CN"/>
                    </w:rPr>
                    <w:t>0.5</w:t>
                  </w:r>
                </w:p>
              </w:tc>
              <w:tc>
                <w:tcPr>
                  <w:tcW w:w="802" w:type="dxa"/>
                  <w:tcBorders>
                    <w:tl2br w:val="nil"/>
                    <w:tr2bl w:val="nil"/>
                  </w:tcBorders>
                  <w:noWrap w:val="0"/>
                  <w:vAlign w:val="center"/>
                </w:tcPr>
                <w:p w14:paraId="0051CA87">
                  <w:pPr>
                    <w:jc w:val="center"/>
                    <w:rPr>
                      <w:rFonts w:ascii="Times New Roman" w:hAnsi="Times New Roman" w:eastAsia="宋体" w:cs="Times New Roman"/>
                      <w:b w:val="0"/>
                      <w:bCs w:val="0"/>
                      <w:color w:val="auto"/>
                      <w:sz w:val="21"/>
                      <w:szCs w:val="21"/>
                      <w:highlight w:val="none"/>
                    </w:rPr>
                  </w:pPr>
                  <w:r>
                    <w:rPr>
                      <w:rFonts w:ascii="Times New Roman" w:hAnsi="Times New Roman" w:eastAsia="宋体" w:cs="Times New Roman"/>
                      <w:b w:val="0"/>
                      <w:bCs w:val="0"/>
                      <w:color w:val="auto"/>
                      <w:sz w:val="21"/>
                      <w:szCs w:val="21"/>
                      <w:highlight w:val="none"/>
                    </w:rPr>
                    <w:t>≤</w:t>
                  </w:r>
                  <w:r>
                    <w:rPr>
                      <w:rFonts w:hint="eastAsia" w:ascii="Times New Roman" w:hAnsi="Times New Roman" w:eastAsia="宋体" w:cs="Times New Roman"/>
                      <w:b w:val="0"/>
                      <w:bCs w:val="0"/>
                      <w:color w:val="auto"/>
                      <w:sz w:val="21"/>
                      <w:szCs w:val="21"/>
                      <w:highlight w:val="none"/>
                      <w:lang w:val="en-US" w:eastAsia="zh-CN"/>
                    </w:rPr>
                    <w:t>15</w:t>
                  </w:r>
                </w:p>
              </w:tc>
              <w:tc>
                <w:tcPr>
                  <w:tcW w:w="802" w:type="dxa"/>
                  <w:tcBorders>
                    <w:tl2br w:val="nil"/>
                    <w:tr2bl w:val="nil"/>
                  </w:tcBorders>
                  <w:noWrap w:val="0"/>
                  <w:vAlign w:val="center"/>
                </w:tcPr>
                <w:p w14:paraId="7184310D">
                  <w:pPr>
                    <w:jc w:val="center"/>
                    <w:rPr>
                      <w:rFonts w:ascii="Times New Roman" w:hAnsi="Times New Roman" w:eastAsia="宋体" w:cs="Times New Roman"/>
                      <w:b w:val="0"/>
                      <w:bCs w:val="0"/>
                      <w:color w:val="auto"/>
                      <w:sz w:val="21"/>
                      <w:szCs w:val="21"/>
                      <w:highlight w:val="none"/>
                    </w:rPr>
                  </w:pPr>
                  <w:r>
                    <w:rPr>
                      <w:rFonts w:ascii="Times New Roman" w:hAnsi="Times New Roman" w:eastAsia="宋体" w:cs="Times New Roman"/>
                      <w:b w:val="0"/>
                      <w:bCs w:val="0"/>
                      <w:color w:val="auto"/>
                      <w:sz w:val="21"/>
                      <w:szCs w:val="21"/>
                      <w:highlight w:val="none"/>
                    </w:rPr>
                    <w:t>≤</w:t>
                  </w:r>
                  <w:r>
                    <w:rPr>
                      <w:rFonts w:hint="eastAsia" w:ascii="Times New Roman" w:hAnsi="Times New Roman" w:eastAsia="宋体" w:cs="Times New Roman"/>
                      <w:b w:val="0"/>
                      <w:bCs w:val="0"/>
                      <w:color w:val="auto"/>
                      <w:sz w:val="21"/>
                      <w:szCs w:val="21"/>
                      <w:highlight w:val="none"/>
                      <w:lang w:val="en-US" w:eastAsia="zh-CN"/>
                    </w:rPr>
                    <w:t>0.1</w:t>
                  </w:r>
                </w:p>
              </w:tc>
              <w:tc>
                <w:tcPr>
                  <w:tcW w:w="802" w:type="dxa"/>
                  <w:tcBorders>
                    <w:tl2br w:val="nil"/>
                    <w:tr2bl w:val="nil"/>
                  </w:tcBorders>
                  <w:noWrap w:val="0"/>
                  <w:vAlign w:val="center"/>
                </w:tcPr>
                <w:p w14:paraId="66801BB8">
                  <w:pPr>
                    <w:jc w:val="center"/>
                    <w:rPr>
                      <w:rFonts w:hint="default" w:ascii="Times New Roman" w:hAnsi="Times New Roman" w:eastAsia="宋体" w:cs="Times New Roman"/>
                      <w:b w:val="0"/>
                      <w:bCs w:val="0"/>
                      <w:color w:val="auto"/>
                      <w:sz w:val="21"/>
                      <w:szCs w:val="21"/>
                      <w:highlight w:val="none"/>
                      <w:lang w:val="en-US"/>
                    </w:rPr>
                  </w:pPr>
                  <w:r>
                    <w:rPr>
                      <w:rFonts w:ascii="Times New Roman" w:hAnsi="Times New Roman" w:eastAsia="宋体" w:cs="Times New Roman"/>
                      <w:b w:val="0"/>
                      <w:bCs w:val="0"/>
                      <w:color w:val="auto"/>
                      <w:sz w:val="21"/>
                      <w:szCs w:val="21"/>
                      <w:highlight w:val="none"/>
                    </w:rPr>
                    <w:t>≤</w:t>
                  </w:r>
                  <w:r>
                    <w:rPr>
                      <w:rFonts w:hint="eastAsia" w:ascii="Times New Roman" w:hAnsi="Times New Roman" w:eastAsia="宋体" w:cs="Times New Roman"/>
                      <w:b w:val="0"/>
                      <w:bCs w:val="0"/>
                      <w:color w:val="auto"/>
                      <w:sz w:val="21"/>
                      <w:szCs w:val="21"/>
                      <w:highlight w:val="none"/>
                      <w:lang w:val="en-US" w:eastAsia="zh-CN"/>
                    </w:rPr>
                    <w:t>1.0</w:t>
                  </w:r>
                </w:p>
              </w:tc>
            </w:tr>
            <w:tr w14:paraId="6757BF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866" w:type="dxa"/>
                  <w:gridSpan w:val="2"/>
                  <w:tcBorders>
                    <w:tl2br w:val="nil"/>
                    <w:tr2bl w:val="nil"/>
                  </w:tcBorders>
                  <w:noWrap w:val="0"/>
                  <w:vAlign w:val="center"/>
                </w:tcPr>
                <w:p w14:paraId="50063AB8">
                  <w:pPr>
                    <w:jc w:val="center"/>
                    <w:rPr>
                      <w:rFonts w:ascii="Times New Roman" w:hAnsi="Times New Roman" w:eastAsia="宋体" w:cs="Times New Roman"/>
                      <w:b w:val="0"/>
                      <w:bCs w:val="0"/>
                      <w:color w:val="auto"/>
                      <w:sz w:val="21"/>
                      <w:szCs w:val="21"/>
                      <w:highlight w:val="none"/>
                    </w:rPr>
                  </w:pPr>
                  <w:r>
                    <w:rPr>
                      <w:rFonts w:ascii="Times New Roman" w:hAnsi="Times New Roman" w:eastAsia="宋体" w:cs="Times New Roman"/>
                      <w:b w:val="0"/>
                      <w:bCs w:val="0"/>
                      <w:color w:val="auto"/>
                      <w:sz w:val="21"/>
                      <w:szCs w:val="21"/>
                      <w:highlight w:val="none"/>
                    </w:rPr>
                    <w:t>超标倍数</w:t>
                  </w:r>
                </w:p>
              </w:tc>
              <w:tc>
                <w:tcPr>
                  <w:tcW w:w="1112" w:type="dxa"/>
                  <w:tcBorders>
                    <w:tl2br w:val="nil"/>
                    <w:tr2bl w:val="nil"/>
                  </w:tcBorders>
                  <w:noWrap w:val="0"/>
                  <w:vAlign w:val="center"/>
                </w:tcPr>
                <w:p w14:paraId="4512D0C1">
                  <w:pPr>
                    <w:jc w:val="center"/>
                    <w:rPr>
                      <w:rFonts w:ascii="Times New Roman" w:hAnsi="Times New Roman" w:eastAsia="宋体" w:cs="Times New Roman"/>
                      <w:b w:val="0"/>
                      <w:bCs w:val="0"/>
                      <w:color w:val="auto"/>
                      <w:sz w:val="21"/>
                      <w:szCs w:val="21"/>
                      <w:highlight w:val="none"/>
                    </w:rPr>
                  </w:pPr>
                  <w:r>
                    <w:rPr>
                      <w:rFonts w:ascii="Times New Roman" w:hAnsi="Times New Roman" w:eastAsia="宋体" w:cs="Times New Roman"/>
                      <w:b w:val="0"/>
                      <w:bCs w:val="0"/>
                      <w:color w:val="auto"/>
                      <w:sz w:val="21"/>
                      <w:szCs w:val="21"/>
                      <w:highlight w:val="none"/>
                    </w:rPr>
                    <w:t>0</w:t>
                  </w:r>
                </w:p>
              </w:tc>
              <w:tc>
                <w:tcPr>
                  <w:tcW w:w="838" w:type="dxa"/>
                  <w:tcBorders>
                    <w:tl2br w:val="nil"/>
                    <w:tr2bl w:val="nil"/>
                  </w:tcBorders>
                  <w:noWrap w:val="0"/>
                  <w:vAlign w:val="center"/>
                </w:tcPr>
                <w:p w14:paraId="0AC2B79A">
                  <w:pPr>
                    <w:jc w:val="center"/>
                    <w:rPr>
                      <w:rFonts w:ascii="Times New Roman" w:hAnsi="Times New Roman" w:eastAsia="宋体" w:cs="Times New Roman"/>
                      <w:b w:val="0"/>
                      <w:bCs w:val="0"/>
                      <w:color w:val="auto"/>
                      <w:sz w:val="21"/>
                      <w:szCs w:val="21"/>
                      <w:highlight w:val="none"/>
                    </w:rPr>
                  </w:pPr>
                  <w:r>
                    <w:rPr>
                      <w:rFonts w:ascii="Times New Roman" w:hAnsi="Times New Roman" w:eastAsia="宋体" w:cs="Times New Roman"/>
                      <w:b w:val="0"/>
                      <w:bCs w:val="0"/>
                      <w:color w:val="auto"/>
                      <w:sz w:val="21"/>
                      <w:szCs w:val="21"/>
                      <w:highlight w:val="none"/>
                    </w:rPr>
                    <w:t>0</w:t>
                  </w:r>
                </w:p>
              </w:tc>
              <w:tc>
                <w:tcPr>
                  <w:tcW w:w="809" w:type="dxa"/>
                  <w:tcBorders>
                    <w:tl2br w:val="nil"/>
                    <w:tr2bl w:val="nil"/>
                  </w:tcBorders>
                  <w:noWrap w:val="0"/>
                  <w:vAlign w:val="center"/>
                </w:tcPr>
                <w:p w14:paraId="3A149B14">
                  <w:pPr>
                    <w:jc w:val="center"/>
                    <w:rPr>
                      <w:rFonts w:ascii="Times New Roman" w:hAnsi="Times New Roman" w:eastAsia="宋体" w:cs="Times New Roman"/>
                      <w:b w:val="0"/>
                      <w:bCs w:val="0"/>
                      <w:color w:val="auto"/>
                      <w:sz w:val="21"/>
                      <w:szCs w:val="21"/>
                      <w:highlight w:val="none"/>
                    </w:rPr>
                  </w:pPr>
                  <w:r>
                    <w:rPr>
                      <w:rFonts w:ascii="Times New Roman" w:hAnsi="Times New Roman" w:eastAsia="宋体" w:cs="Times New Roman"/>
                      <w:b w:val="0"/>
                      <w:bCs w:val="0"/>
                      <w:color w:val="auto"/>
                      <w:sz w:val="21"/>
                      <w:szCs w:val="21"/>
                      <w:highlight w:val="none"/>
                    </w:rPr>
                    <w:t>0</w:t>
                  </w:r>
                </w:p>
              </w:tc>
              <w:tc>
                <w:tcPr>
                  <w:tcW w:w="951" w:type="dxa"/>
                  <w:tcBorders>
                    <w:tl2br w:val="nil"/>
                    <w:tr2bl w:val="nil"/>
                  </w:tcBorders>
                  <w:noWrap w:val="0"/>
                  <w:vAlign w:val="center"/>
                </w:tcPr>
                <w:p w14:paraId="68AD9134">
                  <w:pPr>
                    <w:jc w:val="center"/>
                    <w:rPr>
                      <w:rFonts w:ascii="Times New Roman" w:hAnsi="Times New Roman" w:eastAsia="宋体" w:cs="Times New Roman"/>
                      <w:b w:val="0"/>
                      <w:bCs w:val="0"/>
                      <w:color w:val="auto"/>
                      <w:sz w:val="21"/>
                      <w:szCs w:val="21"/>
                      <w:highlight w:val="none"/>
                    </w:rPr>
                  </w:pPr>
                  <w:r>
                    <w:rPr>
                      <w:rFonts w:ascii="Times New Roman" w:hAnsi="Times New Roman" w:eastAsia="宋体" w:cs="Times New Roman"/>
                      <w:b w:val="0"/>
                      <w:bCs w:val="0"/>
                      <w:color w:val="auto"/>
                      <w:sz w:val="21"/>
                      <w:szCs w:val="21"/>
                      <w:highlight w:val="none"/>
                    </w:rPr>
                    <w:t>0</w:t>
                  </w:r>
                </w:p>
              </w:tc>
              <w:tc>
                <w:tcPr>
                  <w:tcW w:w="653" w:type="dxa"/>
                  <w:tcBorders>
                    <w:tl2br w:val="nil"/>
                    <w:tr2bl w:val="nil"/>
                  </w:tcBorders>
                  <w:noWrap w:val="0"/>
                  <w:vAlign w:val="center"/>
                </w:tcPr>
                <w:p w14:paraId="3105F3FA">
                  <w:pPr>
                    <w:jc w:val="center"/>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w:t>
                  </w:r>
                </w:p>
              </w:tc>
              <w:tc>
                <w:tcPr>
                  <w:tcW w:w="802" w:type="dxa"/>
                  <w:tcBorders>
                    <w:tl2br w:val="nil"/>
                    <w:tr2bl w:val="nil"/>
                  </w:tcBorders>
                  <w:noWrap w:val="0"/>
                  <w:vAlign w:val="center"/>
                </w:tcPr>
                <w:p w14:paraId="555EA3B7">
                  <w:pPr>
                    <w:jc w:val="center"/>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w:t>
                  </w:r>
                </w:p>
              </w:tc>
              <w:tc>
                <w:tcPr>
                  <w:tcW w:w="802" w:type="dxa"/>
                  <w:tcBorders>
                    <w:tl2br w:val="nil"/>
                    <w:tr2bl w:val="nil"/>
                  </w:tcBorders>
                  <w:noWrap w:val="0"/>
                  <w:vAlign w:val="center"/>
                </w:tcPr>
                <w:p w14:paraId="0C97CB08">
                  <w:pPr>
                    <w:jc w:val="center"/>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w:t>
                  </w:r>
                </w:p>
              </w:tc>
              <w:tc>
                <w:tcPr>
                  <w:tcW w:w="802" w:type="dxa"/>
                  <w:tcBorders>
                    <w:tl2br w:val="nil"/>
                    <w:tr2bl w:val="nil"/>
                  </w:tcBorders>
                  <w:noWrap w:val="0"/>
                  <w:vAlign w:val="center"/>
                </w:tcPr>
                <w:p w14:paraId="37775B5F">
                  <w:pPr>
                    <w:jc w:val="center"/>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0</w:t>
                  </w:r>
                </w:p>
              </w:tc>
            </w:tr>
          </w:tbl>
          <w:p w14:paraId="450DDAB0">
            <w:pPr>
              <w:pStyle w:val="30"/>
              <w:spacing w:line="360" w:lineRule="auto"/>
              <w:ind w:left="0" w:leftChars="0" w:firstLine="480" w:firstLineChars="200"/>
              <w:rPr>
                <w:rFonts w:hint="eastAsia" w:ascii="Times New Roman" w:hAnsi="宋体" w:eastAsia="宋体" w:cs="Times New Roman"/>
                <w:b w:val="0"/>
                <w:bCs w:val="0"/>
                <w:color w:val="auto"/>
                <w:sz w:val="24"/>
                <w:szCs w:val="24"/>
                <w:highlight w:val="none"/>
                <w:lang w:eastAsia="zh-CN"/>
              </w:rPr>
            </w:pPr>
            <w:r>
              <w:rPr>
                <w:rFonts w:hint="eastAsia" w:ascii="Times New Roman" w:hAnsi="宋体" w:eastAsia="宋体" w:cs="Times New Roman"/>
                <w:b w:val="0"/>
                <w:bCs w:val="0"/>
                <w:color w:val="auto"/>
                <w:sz w:val="24"/>
                <w:szCs w:val="24"/>
                <w:highlight w:val="none"/>
                <w:lang w:eastAsia="zh-CN"/>
              </w:rPr>
              <w:t>由上表可知，红岩河出境断面各项指标均符合GB3838-2002《地表水环境质量标准》Ⅱ类水域水质标准。</w:t>
            </w:r>
          </w:p>
          <w:p w14:paraId="0088FE31">
            <w:pPr>
              <w:numPr>
                <w:ilvl w:val="0"/>
                <w:numId w:val="0"/>
              </w:numPr>
              <w:adjustRightInd w:val="0"/>
              <w:snapToGrid w:val="0"/>
              <w:spacing w:line="360" w:lineRule="auto"/>
              <w:ind w:firstLine="480" w:firstLineChars="200"/>
              <w:jc w:val="left"/>
              <w:rPr>
                <w:rFonts w:hint="eastAsia"/>
                <w:b w:val="0"/>
                <w:bCs w:val="0"/>
                <w:color w:val="auto"/>
                <w:sz w:val="24"/>
                <w:szCs w:val="24"/>
                <w:highlight w:val="none"/>
                <w:lang w:val="en-US" w:eastAsia="zh-CN"/>
              </w:rPr>
            </w:pPr>
            <w:r>
              <w:rPr>
                <w:rFonts w:hint="eastAsia" w:cs="Times New Roman"/>
                <w:b w:val="0"/>
                <w:bCs w:val="0"/>
                <w:color w:val="auto"/>
                <w:kern w:val="2"/>
                <w:sz w:val="24"/>
                <w:szCs w:val="24"/>
                <w:highlight w:val="none"/>
                <w:lang w:val="en-US" w:eastAsia="zh-CN" w:bidi="ar-SA"/>
              </w:rPr>
              <w:t>3.</w:t>
            </w:r>
            <w:r>
              <w:rPr>
                <w:rFonts w:hint="default"/>
                <w:color w:val="auto"/>
                <w:sz w:val="24"/>
                <w:highlight w:val="none"/>
                <w:lang w:val="en-US"/>
              </w:rPr>
              <mc:AlternateContent>
                <mc:Choice Requires="wps">
                  <w:drawing>
                    <wp:anchor distT="0" distB="0" distL="114300" distR="114300" simplePos="0" relativeHeight="251679744" behindDoc="0" locked="0" layoutInCell="1" allowOverlap="1">
                      <wp:simplePos x="0" y="0"/>
                      <wp:positionH relativeFrom="column">
                        <wp:posOffset>4380865</wp:posOffset>
                      </wp:positionH>
                      <wp:positionV relativeFrom="paragraph">
                        <wp:posOffset>168275</wp:posOffset>
                      </wp:positionV>
                      <wp:extent cx="9525" cy="28575"/>
                      <wp:effectExtent l="4445" t="1270" r="5080" b="8255"/>
                      <wp:wrapNone/>
                      <wp:docPr id="59" name="直线 212"/>
                      <wp:cNvGraphicFramePr/>
                      <a:graphic xmlns:a="http://schemas.openxmlformats.org/drawingml/2006/main">
                        <a:graphicData uri="http://schemas.microsoft.com/office/word/2010/wordprocessingShape">
                          <wps:wsp>
                            <wps:cNvCnPr/>
                            <wps:spPr>
                              <a:xfrm flipH="1" flipV="1">
                                <a:off x="0" y="0"/>
                                <a:ext cx="9525" cy="2857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2" o:spid="_x0000_s1026" o:spt="20" style="position:absolute;left:0pt;flip:x y;margin-left:344.95pt;margin-top:13.25pt;height:2.25pt;width:0.75pt;z-index:251679744;mso-width-relative:page;mso-height-relative:page;" filled="f" stroked="t" coordsize="21600,21600" o:gfxdata="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xXu3rVAAAACQEAAA8AAAAAAAAAAQAgAAAAIgAAAGRycy9kb3ducmV2LnhtbFBLAQIUABQA&#10;AAAIAIdO4kB7sDjN8wEAAPMDAAAOAAAAAAAAAAEAIAAAACQBAABkcnMvZTJvRG9jLnhtbFBLBQYA&#10;AAAABgAGAFkBAACJBQAAAAA=&#10;">
                      <v:fill on="f" focussize="0,0"/>
                      <v:stroke color="#000000" joinstyle="round"/>
                      <v:imagedata o:title=""/>
                      <o:lock v:ext="edit" aspectratio="f"/>
                    </v:line>
                  </w:pict>
                </mc:Fallback>
              </mc:AlternateContent>
            </w:r>
            <w:r>
              <w:rPr>
                <w:rFonts w:hint="eastAsia"/>
                <w:b w:val="0"/>
                <w:bCs w:val="0"/>
                <w:color w:val="auto"/>
                <w:sz w:val="24"/>
                <w:szCs w:val="24"/>
                <w:highlight w:val="none"/>
                <w:lang w:val="en-US" w:eastAsia="zh-CN"/>
              </w:rPr>
              <w:t>声环境质量现状</w:t>
            </w:r>
          </w:p>
          <w:p w14:paraId="7C2E227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本项目厂界外50m范围内无声环境保护目标</w:t>
            </w:r>
            <w:r>
              <w:rPr>
                <w:rFonts w:hint="eastAsia" w:ascii="Times New Roman" w:hAnsi="Times New Roman" w:eastAsia="宋体" w:cs="Times New Roman"/>
                <w:b w:val="0"/>
                <w:bCs w:val="0"/>
                <w:color w:val="auto"/>
                <w:sz w:val="24"/>
                <w:szCs w:val="24"/>
                <w:highlight w:val="none"/>
                <w:lang w:val="en-US" w:eastAsia="zh-CN"/>
              </w:rPr>
              <w:t>，因此不监测保护目标声环境质量现状。</w:t>
            </w:r>
          </w:p>
          <w:p w14:paraId="0F00D1DC">
            <w:pPr>
              <w:adjustRightInd w:val="0"/>
              <w:snapToGrid w:val="0"/>
              <w:spacing w:line="360" w:lineRule="auto"/>
              <w:ind w:firstLine="480" w:firstLineChars="200"/>
              <w:jc w:val="left"/>
              <w:rPr>
                <w:b w:val="0"/>
                <w:bCs w:val="0"/>
                <w:color w:val="auto"/>
                <w:sz w:val="24"/>
                <w:szCs w:val="24"/>
                <w:highlight w:val="none"/>
              </w:rPr>
            </w:pPr>
            <w:r>
              <w:rPr>
                <w:rFonts w:hint="eastAsia"/>
                <w:b w:val="0"/>
                <w:bCs w:val="0"/>
                <w:color w:val="auto"/>
                <w:sz w:val="24"/>
                <w:szCs w:val="24"/>
                <w:highlight w:val="none"/>
                <w:lang w:val="en-US" w:eastAsia="zh-CN"/>
              </w:rPr>
              <w:t>4.</w:t>
            </w:r>
            <w:r>
              <w:rPr>
                <w:rFonts w:hint="eastAsia"/>
                <w:b w:val="0"/>
                <w:bCs w:val="0"/>
                <w:color w:val="auto"/>
                <w:sz w:val="24"/>
                <w:szCs w:val="24"/>
                <w:highlight w:val="none"/>
              </w:rPr>
              <w:t>生态环境</w:t>
            </w:r>
          </w:p>
          <w:p w14:paraId="4A1BE32E">
            <w:pPr>
              <w:adjustRightInd w:val="0"/>
              <w:snapToGrid w:val="0"/>
              <w:spacing w:line="360" w:lineRule="auto"/>
              <w:ind w:firstLine="480" w:firstLineChars="200"/>
              <w:jc w:val="left"/>
              <w:rPr>
                <w:b w:val="0"/>
                <w:bCs w:val="0"/>
                <w:color w:val="auto"/>
                <w:sz w:val="24"/>
                <w:szCs w:val="24"/>
                <w:highlight w:val="none"/>
              </w:rPr>
            </w:pPr>
            <w:r>
              <w:rPr>
                <w:rFonts w:hint="eastAsia" w:cs="宋体"/>
                <w:b w:val="0"/>
                <w:bCs w:val="0"/>
                <w:color w:val="auto"/>
                <w:kern w:val="0"/>
                <w:sz w:val="24"/>
                <w:szCs w:val="24"/>
                <w:highlight w:val="none"/>
              </w:rPr>
              <w:t>项目用地范围内不涉及生态环境保护目标，故项目无需进行生态现状调查。</w:t>
            </w:r>
          </w:p>
          <w:p w14:paraId="237AE178">
            <w:pPr>
              <w:spacing w:line="360" w:lineRule="auto"/>
              <w:ind w:firstLine="480" w:firstLineChars="200"/>
              <w:rPr>
                <w:rFonts w:hAnsi="宋体"/>
                <w:b w:val="0"/>
                <w:bCs w:val="0"/>
                <w:color w:val="auto"/>
                <w:sz w:val="24"/>
                <w:szCs w:val="24"/>
                <w:highlight w:val="none"/>
              </w:rPr>
            </w:pPr>
            <w:r>
              <w:rPr>
                <w:rFonts w:hint="eastAsia" w:hAnsi="宋体"/>
                <w:b w:val="0"/>
                <w:bCs w:val="0"/>
                <w:color w:val="auto"/>
                <w:sz w:val="24"/>
                <w:szCs w:val="24"/>
                <w:highlight w:val="none"/>
                <w:lang w:val="en-US" w:eastAsia="zh-CN"/>
              </w:rPr>
              <w:t>5.</w:t>
            </w:r>
            <w:r>
              <w:rPr>
                <w:rFonts w:hint="eastAsia" w:hAnsi="宋体"/>
                <w:b w:val="0"/>
                <w:bCs w:val="0"/>
                <w:color w:val="auto"/>
                <w:sz w:val="24"/>
                <w:szCs w:val="24"/>
                <w:highlight w:val="none"/>
              </w:rPr>
              <w:t>土壤环境</w:t>
            </w:r>
          </w:p>
          <w:p w14:paraId="5812706B">
            <w:pPr>
              <w:numPr>
                <w:ilvl w:val="0"/>
                <w:numId w:val="0"/>
              </w:numPr>
              <w:spacing w:line="360" w:lineRule="auto"/>
              <w:ind w:firstLine="480" w:firstLineChars="200"/>
              <w:rPr>
                <w:rFonts w:hint="eastAsia" w:hAnsi="宋体"/>
                <w:b w:val="0"/>
                <w:bCs w:val="0"/>
                <w:color w:val="auto"/>
                <w:sz w:val="24"/>
                <w:szCs w:val="24"/>
                <w:highlight w:val="none"/>
                <w:lang w:eastAsia="zh-CN"/>
              </w:rPr>
            </w:pPr>
            <w:r>
              <w:rPr>
                <w:rFonts w:hint="eastAsia" w:hAnsi="宋体"/>
                <w:b w:val="0"/>
                <w:bCs w:val="0"/>
                <w:color w:val="auto"/>
                <w:sz w:val="24"/>
                <w:szCs w:val="24"/>
                <w:highlight w:val="none"/>
                <w:lang w:val="en-US" w:eastAsia="zh-CN"/>
              </w:rPr>
              <w:t>项目为集中供热工程，正常生产过程中，废气主要为颗粒物、SO</w:t>
            </w:r>
            <w:r>
              <w:rPr>
                <w:rFonts w:hint="eastAsia" w:hAnsi="宋体"/>
                <w:b w:val="0"/>
                <w:bCs w:val="0"/>
                <w:color w:val="auto"/>
                <w:sz w:val="24"/>
                <w:szCs w:val="24"/>
                <w:highlight w:val="none"/>
                <w:vertAlign w:val="subscript"/>
                <w:lang w:val="en-US" w:eastAsia="zh-CN"/>
              </w:rPr>
              <w:t>2</w:t>
            </w:r>
            <w:r>
              <w:rPr>
                <w:rFonts w:hint="eastAsia" w:hAnsi="宋体"/>
                <w:b w:val="0"/>
                <w:bCs w:val="0"/>
                <w:color w:val="auto"/>
                <w:sz w:val="24"/>
                <w:szCs w:val="24"/>
                <w:highlight w:val="none"/>
                <w:lang w:val="en-US" w:eastAsia="zh-CN"/>
              </w:rPr>
              <w:t>和NO</w:t>
            </w:r>
            <w:r>
              <w:rPr>
                <w:rFonts w:hint="eastAsia" w:hAnsi="宋体"/>
                <w:b w:val="0"/>
                <w:bCs w:val="0"/>
                <w:color w:val="auto"/>
                <w:sz w:val="24"/>
                <w:szCs w:val="24"/>
                <w:highlight w:val="none"/>
                <w:vertAlign w:val="subscript"/>
                <w:lang w:val="en-US" w:eastAsia="zh-CN"/>
              </w:rPr>
              <w:t>x</w:t>
            </w:r>
            <w:r>
              <w:rPr>
                <w:rFonts w:hint="eastAsia" w:hAnsi="宋体"/>
                <w:b w:val="0"/>
                <w:bCs w:val="0"/>
                <w:color w:val="auto"/>
                <w:sz w:val="24"/>
                <w:szCs w:val="24"/>
                <w:highlight w:val="none"/>
                <w:lang w:val="en-US" w:eastAsia="zh-CN"/>
              </w:rPr>
              <w:t>，</w:t>
            </w:r>
            <w:r>
              <w:rPr>
                <w:rFonts w:hint="eastAsia" w:hAnsi="宋体"/>
                <w:b w:val="0"/>
                <w:bCs w:val="0"/>
                <w:color w:val="auto"/>
                <w:sz w:val="24"/>
                <w:szCs w:val="24"/>
                <w:highlight w:val="none"/>
              </w:rPr>
              <w:t>不涉及重金属、有毒有害物质及难降解和持久性有机污染物，沉降至地表的颗粒物不会对周围土壤环境产生影响，</w:t>
            </w:r>
            <w:r>
              <w:rPr>
                <w:rFonts w:hint="eastAsia" w:hAnsi="宋体"/>
                <w:b w:val="0"/>
                <w:bCs w:val="0"/>
                <w:color w:val="auto"/>
                <w:sz w:val="24"/>
                <w:szCs w:val="24"/>
                <w:highlight w:val="none"/>
                <w:lang w:val="en-US" w:eastAsia="zh-CN"/>
              </w:rPr>
              <w:t>润滑油不在热源站储存，废润滑油采用桶装，下面设置防渗托盘，地面进行硬化处理，</w:t>
            </w:r>
            <w:r>
              <w:rPr>
                <w:rFonts w:hint="eastAsia" w:hAnsi="宋体"/>
                <w:b w:val="0"/>
                <w:bCs w:val="0"/>
                <w:color w:val="auto"/>
                <w:sz w:val="24"/>
                <w:szCs w:val="24"/>
                <w:highlight w:val="none"/>
              </w:rPr>
              <w:t>综合分析，本项目无土壤污染途径，因此不开展土壤环境质量现状调查。</w:t>
            </w:r>
          </w:p>
          <w:p w14:paraId="392B28AF">
            <w:pPr>
              <w:numPr>
                <w:ilvl w:val="0"/>
                <w:numId w:val="0"/>
              </w:numPr>
              <w:spacing w:line="360" w:lineRule="auto"/>
              <w:ind w:firstLine="480" w:firstLineChars="200"/>
              <w:rPr>
                <w:rFonts w:hint="eastAsia" w:hAnsi="宋体"/>
                <w:b w:val="0"/>
                <w:bCs w:val="0"/>
                <w:color w:val="auto"/>
                <w:sz w:val="24"/>
                <w:szCs w:val="24"/>
                <w:highlight w:val="none"/>
                <w:lang w:eastAsia="zh-CN"/>
              </w:rPr>
            </w:pPr>
            <w:r>
              <w:rPr>
                <w:rFonts w:hint="eastAsia" w:hAnsi="宋体"/>
                <w:b w:val="0"/>
                <w:bCs w:val="0"/>
                <w:color w:val="auto"/>
                <w:sz w:val="24"/>
                <w:szCs w:val="24"/>
                <w:highlight w:val="none"/>
                <w:lang w:val="en-US" w:eastAsia="zh-CN"/>
              </w:rPr>
              <w:t>6.</w:t>
            </w:r>
            <w:r>
              <w:rPr>
                <w:rFonts w:hint="eastAsia" w:hAnsi="宋体"/>
                <w:b w:val="0"/>
                <w:bCs w:val="0"/>
                <w:color w:val="auto"/>
                <w:sz w:val="24"/>
                <w:szCs w:val="24"/>
                <w:highlight w:val="none"/>
              </w:rPr>
              <w:t>地下水</w:t>
            </w:r>
            <w:r>
              <w:rPr>
                <w:rFonts w:hint="eastAsia" w:hAnsi="宋体"/>
                <w:b w:val="0"/>
                <w:bCs w:val="0"/>
                <w:color w:val="auto"/>
                <w:sz w:val="24"/>
                <w:szCs w:val="24"/>
                <w:highlight w:val="none"/>
                <w:lang w:eastAsia="zh-CN"/>
              </w:rPr>
              <w:t>环境</w:t>
            </w:r>
          </w:p>
          <w:p w14:paraId="069958F5">
            <w:pPr>
              <w:numPr>
                <w:ilvl w:val="0"/>
                <w:numId w:val="0"/>
              </w:numPr>
              <w:spacing w:line="360" w:lineRule="auto"/>
              <w:ind w:firstLine="480" w:firstLineChars="200"/>
              <w:rPr>
                <w:rFonts w:hAnsi="宋体"/>
                <w:b w:val="0"/>
                <w:bCs w:val="0"/>
                <w:color w:val="auto"/>
                <w:sz w:val="24"/>
                <w:szCs w:val="24"/>
                <w:highlight w:val="green"/>
              </w:rPr>
            </w:pPr>
            <w:r>
              <w:rPr>
                <w:rFonts w:hint="eastAsia" w:hAnsi="宋体"/>
                <w:b w:val="0"/>
                <w:bCs w:val="0"/>
                <w:color w:val="auto"/>
                <w:sz w:val="24"/>
                <w:szCs w:val="24"/>
                <w:highlight w:val="none"/>
                <w:lang w:val="en-US" w:eastAsia="zh-CN"/>
              </w:rPr>
              <w:t>项目为集中供热工程，正常生产过程中，废气主要为颗粒物、SO</w:t>
            </w:r>
            <w:r>
              <w:rPr>
                <w:rFonts w:hint="eastAsia" w:hAnsi="宋体"/>
                <w:b w:val="0"/>
                <w:bCs w:val="0"/>
                <w:color w:val="auto"/>
                <w:sz w:val="24"/>
                <w:szCs w:val="24"/>
                <w:highlight w:val="none"/>
                <w:vertAlign w:val="subscript"/>
                <w:lang w:val="en-US" w:eastAsia="zh-CN"/>
              </w:rPr>
              <w:t>2</w:t>
            </w:r>
            <w:r>
              <w:rPr>
                <w:rFonts w:hint="eastAsia" w:hAnsi="宋体"/>
                <w:b w:val="0"/>
                <w:bCs w:val="0"/>
                <w:color w:val="auto"/>
                <w:sz w:val="24"/>
                <w:szCs w:val="24"/>
                <w:highlight w:val="none"/>
                <w:lang w:val="en-US" w:eastAsia="zh-CN"/>
              </w:rPr>
              <w:t>和NO</w:t>
            </w:r>
            <w:r>
              <w:rPr>
                <w:rFonts w:hint="eastAsia" w:hAnsi="宋体"/>
                <w:b w:val="0"/>
                <w:bCs w:val="0"/>
                <w:color w:val="auto"/>
                <w:sz w:val="24"/>
                <w:szCs w:val="24"/>
                <w:highlight w:val="none"/>
                <w:vertAlign w:val="subscript"/>
                <w:lang w:val="en-US" w:eastAsia="zh-CN"/>
              </w:rPr>
              <w:t>x</w:t>
            </w:r>
            <w:r>
              <w:rPr>
                <w:rFonts w:hint="eastAsia" w:hAnsi="宋体"/>
                <w:b w:val="0"/>
                <w:bCs w:val="0"/>
                <w:color w:val="auto"/>
                <w:sz w:val="24"/>
                <w:szCs w:val="24"/>
                <w:highlight w:val="none"/>
                <w:lang w:val="en-US" w:eastAsia="zh-CN"/>
              </w:rPr>
              <w:t>，</w:t>
            </w:r>
            <w:r>
              <w:rPr>
                <w:rFonts w:hint="eastAsia" w:hAnsi="宋体"/>
                <w:b w:val="0"/>
                <w:bCs w:val="0"/>
                <w:color w:val="auto"/>
                <w:sz w:val="24"/>
                <w:szCs w:val="24"/>
                <w:highlight w:val="none"/>
              </w:rPr>
              <w:t>不涉及重金属、有毒有害物质及难降解和持久性有机污染物，</w:t>
            </w:r>
            <w:r>
              <w:rPr>
                <w:rFonts w:hint="eastAsia" w:hAnsi="宋体"/>
                <w:b w:val="0"/>
                <w:bCs w:val="0"/>
                <w:color w:val="auto"/>
                <w:sz w:val="24"/>
                <w:szCs w:val="24"/>
                <w:highlight w:val="none"/>
                <w:lang w:val="en-US" w:eastAsia="zh-CN"/>
              </w:rPr>
              <w:t>废润滑油采用桶装，下面设置防渗托盘，对地面进行硬化处理，</w:t>
            </w:r>
            <w:r>
              <w:rPr>
                <w:rFonts w:hint="eastAsia" w:hAnsi="宋体"/>
                <w:b w:val="0"/>
                <w:bCs w:val="0"/>
                <w:color w:val="auto"/>
                <w:sz w:val="24"/>
                <w:szCs w:val="24"/>
                <w:highlight w:val="none"/>
              </w:rPr>
              <w:t>综合分析，本项目无</w:t>
            </w:r>
            <w:r>
              <w:rPr>
                <w:rFonts w:hint="eastAsia" w:hAnsi="宋体"/>
                <w:b w:val="0"/>
                <w:bCs w:val="0"/>
                <w:color w:val="auto"/>
                <w:sz w:val="24"/>
                <w:szCs w:val="24"/>
                <w:highlight w:val="none"/>
                <w:lang w:val="en-US" w:eastAsia="zh-CN"/>
              </w:rPr>
              <w:t>地下水</w:t>
            </w:r>
            <w:r>
              <w:rPr>
                <w:rFonts w:hint="eastAsia" w:hAnsi="宋体"/>
                <w:b w:val="0"/>
                <w:bCs w:val="0"/>
                <w:color w:val="auto"/>
                <w:sz w:val="24"/>
                <w:szCs w:val="24"/>
                <w:highlight w:val="none"/>
              </w:rPr>
              <w:t>污染途径，因此不开展</w:t>
            </w:r>
            <w:r>
              <w:rPr>
                <w:rFonts w:hint="eastAsia" w:hAnsi="宋体"/>
                <w:b w:val="0"/>
                <w:bCs w:val="0"/>
                <w:color w:val="auto"/>
                <w:sz w:val="24"/>
                <w:szCs w:val="24"/>
                <w:highlight w:val="none"/>
                <w:lang w:val="en-US" w:eastAsia="zh-CN"/>
              </w:rPr>
              <w:t>地下水</w:t>
            </w:r>
            <w:r>
              <w:rPr>
                <w:rFonts w:hint="eastAsia" w:hAnsi="宋体"/>
                <w:b w:val="0"/>
                <w:bCs w:val="0"/>
                <w:color w:val="auto"/>
                <w:sz w:val="24"/>
                <w:szCs w:val="24"/>
                <w:highlight w:val="none"/>
              </w:rPr>
              <w:t>环境质量现状调查。</w:t>
            </w:r>
          </w:p>
        </w:tc>
      </w:tr>
      <w:tr w14:paraId="022079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828" w:type="dxa"/>
            <w:noWrap w:val="0"/>
            <w:vAlign w:val="center"/>
          </w:tcPr>
          <w:p w14:paraId="4F3E217C">
            <w:pPr>
              <w:adjustRightInd w:val="0"/>
              <w:snapToGrid w:val="0"/>
              <w:jc w:val="center"/>
              <w:rPr>
                <w:b w:val="0"/>
                <w:bCs w:val="0"/>
                <w:color w:val="auto"/>
                <w:kern w:val="0"/>
                <w:sz w:val="24"/>
                <w:szCs w:val="24"/>
                <w:highlight w:val="none"/>
              </w:rPr>
            </w:pPr>
            <w:r>
              <w:rPr>
                <w:rFonts w:hAnsi="宋体"/>
                <w:b w:val="0"/>
                <w:bCs w:val="0"/>
                <w:color w:val="auto"/>
                <w:kern w:val="0"/>
                <w:sz w:val="24"/>
                <w:szCs w:val="24"/>
                <w:highlight w:val="none"/>
              </w:rPr>
              <w:t>环境</w:t>
            </w:r>
          </w:p>
          <w:p w14:paraId="209ABCB7">
            <w:pPr>
              <w:adjustRightInd w:val="0"/>
              <w:snapToGrid w:val="0"/>
              <w:jc w:val="center"/>
              <w:rPr>
                <w:b w:val="0"/>
                <w:bCs w:val="0"/>
                <w:color w:val="auto"/>
                <w:kern w:val="0"/>
                <w:sz w:val="24"/>
                <w:szCs w:val="24"/>
                <w:highlight w:val="none"/>
              </w:rPr>
            </w:pPr>
            <w:r>
              <w:rPr>
                <w:rFonts w:hAnsi="宋体"/>
                <w:b w:val="0"/>
                <w:bCs w:val="0"/>
                <w:color w:val="auto"/>
                <w:kern w:val="0"/>
                <w:sz w:val="24"/>
                <w:szCs w:val="24"/>
                <w:highlight w:val="none"/>
              </w:rPr>
              <w:t>保护</w:t>
            </w:r>
          </w:p>
          <w:p w14:paraId="03384FC2">
            <w:pPr>
              <w:adjustRightInd w:val="0"/>
              <w:snapToGrid w:val="0"/>
              <w:jc w:val="center"/>
              <w:rPr>
                <w:b w:val="0"/>
                <w:bCs w:val="0"/>
                <w:color w:val="auto"/>
                <w:kern w:val="0"/>
                <w:sz w:val="24"/>
                <w:szCs w:val="24"/>
                <w:highlight w:val="green"/>
              </w:rPr>
            </w:pPr>
            <w:r>
              <w:rPr>
                <w:rFonts w:hAnsi="宋体"/>
                <w:b w:val="0"/>
                <w:bCs w:val="0"/>
                <w:color w:val="auto"/>
                <w:kern w:val="0"/>
                <w:sz w:val="24"/>
                <w:szCs w:val="24"/>
                <w:highlight w:val="none"/>
              </w:rPr>
              <w:t>目标</w:t>
            </w:r>
          </w:p>
        </w:tc>
        <w:tc>
          <w:tcPr>
            <w:tcW w:w="8814" w:type="dxa"/>
            <w:noWrap w:val="0"/>
            <w:vAlign w:val="center"/>
          </w:tcPr>
          <w:p w14:paraId="5BF6C56F">
            <w:pPr>
              <w:spacing w:line="360" w:lineRule="auto"/>
              <w:ind w:firstLine="592" w:firstLineChars="247"/>
              <w:rPr>
                <w:rFonts w:hAnsi="宋体"/>
                <w:b w:val="0"/>
                <w:bCs w:val="0"/>
                <w:color w:val="auto"/>
                <w:sz w:val="24"/>
                <w:szCs w:val="24"/>
                <w:highlight w:val="none"/>
              </w:rPr>
            </w:pPr>
            <w:r>
              <w:rPr>
                <w:rFonts w:hint="eastAsia" w:hAnsi="宋体"/>
                <w:b w:val="0"/>
                <w:bCs w:val="0"/>
                <w:color w:val="auto"/>
                <w:sz w:val="24"/>
                <w:szCs w:val="24"/>
                <w:highlight w:val="none"/>
                <w:lang w:eastAsia="zh-CN"/>
              </w:rPr>
              <w:t>1.</w:t>
            </w:r>
            <w:r>
              <w:rPr>
                <w:rFonts w:hint="eastAsia" w:hAnsi="宋体"/>
                <w:b w:val="0"/>
                <w:bCs w:val="0"/>
                <w:color w:val="auto"/>
                <w:sz w:val="24"/>
                <w:szCs w:val="24"/>
                <w:highlight w:val="none"/>
              </w:rPr>
              <w:t>环境空气保护目标</w:t>
            </w:r>
          </w:p>
          <w:p w14:paraId="2882F3D8">
            <w:pPr>
              <w:spacing w:line="360" w:lineRule="auto"/>
              <w:ind w:firstLine="592" w:firstLineChars="247"/>
              <w:rPr>
                <w:rFonts w:hAnsi="宋体" w:eastAsia="宋体"/>
                <w:b w:val="0"/>
                <w:bCs w:val="0"/>
                <w:color w:val="auto"/>
                <w:sz w:val="24"/>
                <w:szCs w:val="24"/>
                <w:highlight w:val="none"/>
              </w:rPr>
            </w:pPr>
            <w:r>
              <w:rPr>
                <w:rFonts w:hint="eastAsia" w:hAnsi="宋体" w:eastAsia="宋体"/>
                <w:b w:val="0"/>
                <w:bCs w:val="0"/>
                <w:color w:val="auto"/>
                <w:sz w:val="24"/>
                <w:szCs w:val="24"/>
                <w:highlight w:val="none"/>
                <w:lang w:val="en-US" w:eastAsia="zh-CN"/>
              </w:rPr>
              <w:t>项目</w:t>
            </w:r>
            <w:r>
              <w:rPr>
                <w:rFonts w:hint="eastAsia" w:hAnsi="宋体"/>
                <w:b w:val="0"/>
                <w:bCs w:val="0"/>
                <w:color w:val="auto"/>
                <w:sz w:val="24"/>
                <w:szCs w:val="24"/>
                <w:highlight w:val="none"/>
                <w:lang w:val="en-US" w:eastAsia="zh-CN"/>
              </w:rPr>
              <w:t>供热站</w:t>
            </w:r>
            <w:r>
              <w:rPr>
                <w:rFonts w:hint="eastAsia" w:hAnsi="宋体" w:eastAsia="宋体"/>
                <w:b w:val="0"/>
                <w:bCs w:val="0"/>
                <w:color w:val="auto"/>
                <w:sz w:val="24"/>
                <w:szCs w:val="24"/>
                <w:highlight w:val="none"/>
              </w:rPr>
              <w:t>周边500m范围内环境空气保护目标见表3-</w:t>
            </w:r>
            <w:r>
              <w:rPr>
                <w:rFonts w:hint="eastAsia" w:hAnsi="宋体"/>
                <w:b w:val="0"/>
                <w:bCs w:val="0"/>
                <w:color w:val="auto"/>
                <w:sz w:val="24"/>
                <w:szCs w:val="24"/>
                <w:highlight w:val="none"/>
                <w:lang w:val="en-US" w:eastAsia="zh-CN"/>
              </w:rPr>
              <w:t>7</w:t>
            </w:r>
            <w:r>
              <w:rPr>
                <w:rFonts w:hint="eastAsia" w:hAnsi="宋体" w:eastAsia="宋体"/>
                <w:b w:val="0"/>
                <w:bCs w:val="0"/>
                <w:color w:val="auto"/>
                <w:sz w:val="24"/>
                <w:szCs w:val="24"/>
                <w:highlight w:val="none"/>
              </w:rPr>
              <w:t>。</w:t>
            </w:r>
          </w:p>
          <w:p w14:paraId="6898FFFA">
            <w:pPr>
              <w:jc w:val="center"/>
              <w:rPr>
                <w:rFonts w:hAnsi="宋体" w:eastAsia="宋体"/>
                <w:b/>
                <w:bCs/>
                <w:color w:val="auto"/>
                <w:sz w:val="24"/>
                <w:szCs w:val="24"/>
                <w:highlight w:val="none"/>
              </w:rPr>
            </w:pPr>
            <w:r>
              <w:rPr>
                <w:rFonts w:hint="eastAsia" w:hAnsi="宋体" w:eastAsia="宋体"/>
                <w:b/>
                <w:bCs/>
                <w:color w:val="auto"/>
                <w:sz w:val="24"/>
                <w:szCs w:val="24"/>
                <w:highlight w:val="none"/>
              </w:rPr>
              <w:t>表</w:t>
            </w:r>
            <w:r>
              <w:rPr>
                <w:rFonts w:hAnsi="宋体" w:eastAsia="宋体"/>
                <w:b/>
                <w:bCs/>
                <w:color w:val="auto"/>
                <w:sz w:val="24"/>
                <w:szCs w:val="24"/>
                <w:highlight w:val="none"/>
              </w:rPr>
              <w:t>3-</w:t>
            </w:r>
            <w:r>
              <w:rPr>
                <w:rFonts w:hint="eastAsia" w:hAnsi="宋体"/>
                <w:b/>
                <w:bCs/>
                <w:color w:val="auto"/>
                <w:sz w:val="24"/>
                <w:szCs w:val="24"/>
                <w:highlight w:val="none"/>
                <w:lang w:val="en-US" w:eastAsia="zh-CN"/>
              </w:rPr>
              <w:t>7</w:t>
            </w:r>
            <w:r>
              <w:rPr>
                <w:rFonts w:hint="eastAsia" w:hAnsi="宋体" w:eastAsia="宋体"/>
                <w:b/>
                <w:bCs/>
                <w:color w:val="auto"/>
                <w:sz w:val="24"/>
                <w:szCs w:val="24"/>
                <w:highlight w:val="none"/>
                <w:lang w:val="en-US" w:eastAsia="zh-CN"/>
              </w:rPr>
              <w:t xml:space="preserve"> </w:t>
            </w:r>
            <w:r>
              <w:rPr>
                <w:rFonts w:hint="eastAsia" w:hAnsi="宋体" w:eastAsia="宋体"/>
                <w:b/>
                <w:bCs/>
                <w:color w:val="auto"/>
                <w:sz w:val="24"/>
                <w:szCs w:val="24"/>
                <w:highlight w:val="none"/>
              </w:rPr>
              <w:t xml:space="preserve">  环境空气保护目标一览表</w:t>
            </w:r>
          </w:p>
          <w:tbl>
            <w:tblPr>
              <w:tblStyle w:val="37"/>
              <w:tblW w:w="857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7"/>
              <w:gridCol w:w="1198"/>
              <w:gridCol w:w="1318"/>
              <w:gridCol w:w="1112"/>
              <w:gridCol w:w="683"/>
              <w:gridCol w:w="832"/>
              <w:gridCol w:w="983"/>
              <w:gridCol w:w="2152"/>
            </w:tblGrid>
            <w:tr w14:paraId="2072F8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 w:type="dxa"/>
                  <w:vMerge w:val="restart"/>
                  <w:tcBorders>
                    <w:tl2br w:val="nil"/>
                    <w:tr2bl w:val="nil"/>
                  </w:tcBorders>
                  <w:noWrap w:val="0"/>
                  <w:tcMar>
                    <w:top w:w="0" w:type="dxa"/>
                    <w:left w:w="0" w:type="dxa"/>
                    <w:bottom w:w="0" w:type="dxa"/>
                    <w:right w:w="0" w:type="dxa"/>
                  </w:tcMar>
                  <w:vAlign w:val="center"/>
                </w:tcPr>
                <w:p w14:paraId="340B281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环境要素</w:t>
                  </w:r>
                </w:p>
              </w:tc>
              <w:tc>
                <w:tcPr>
                  <w:tcW w:w="1198" w:type="dxa"/>
                  <w:vMerge w:val="restart"/>
                  <w:tcBorders>
                    <w:tl2br w:val="nil"/>
                    <w:tr2bl w:val="nil"/>
                  </w:tcBorders>
                  <w:noWrap w:val="0"/>
                  <w:tcMar>
                    <w:top w:w="0" w:type="dxa"/>
                    <w:left w:w="0" w:type="dxa"/>
                    <w:bottom w:w="0" w:type="dxa"/>
                    <w:right w:w="0" w:type="dxa"/>
                  </w:tcMar>
                  <w:vAlign w:val="center"/>
                </w:tcPr>
                <w:p w14:paraId="1DFB21E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名称</w:t>
                  </w:r>
                </w:p>
              </w:tc>
              <w:tc>
                <w:tcPr>
                  <w:tcW w:w="2430" w:type="dxa"/>
                  <w:gridSpan w:val="2"/>
                  <w:tcBorders>
                    <w:tl2br w:val="nil"/>
                    <w:tr2bl w:val="nil"/>
                  </w:tcBorders>
                  <w:noWrap w:val="0"/>
                  <w:vAlign w:val="center"/>
                </w:tcPr>
                <w:p w14:paraId="4CA1140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坐标/m</w:t>
                  </w:r>
                </w:p>
              </w:tc>
              <w:tc>
                <w:tcPr>
                  <w:tcW w:w="683" w:type="dxa"/>
                  <w:vMerge w:val="restart"/>
                  <w:tcBorders>
                    <w:tl2br w:val="nil"/>
                    <w:tr2bl w:val="nil"/>
                  </w:tcBorders>
                  <w:noWrap w:val="0"/>
                  <w:tcMar>
                    <w:top w:w="0" w:type="dxa"/>
                    <w:left w:w="0" w:type="dxa"/>
                    <w:bottom w:w="0" w:type="dxa"/>
                    <w:right w:w="0" w:type="dxa"/>
                  </w:tcMar>
                  <w:vAlign w:val="center"/>
                </w:tcPr>
                <w:p w14:paraId="76675BC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相对厂址方位</w:t>
                  </w:r>
                </w:p>
              </w:tc>
              <w:tc>
                <w:tcPr>
                  <w:tcW w:w="832" w:type="dxa"/>
                  <w:vMerge w:val="restart"/>
                  <w:tcBorders>
                    <w:tl2br w:val="nil"/>
                    <w:tr2bl w:val="nil"/>
                  </w:tcBorders>
                  <w:noWrap w:val="0"/>
                  <w:tcMar>
                    <w:top w:w="0" w:type="dxa"/>
                    <w:left w:w="0" w:type="dxa"/>
                    <w:bottom w:w="0" w:type="dxa"/>
                    <w:right w:w="0" w:type="dxa"/>
                  </w:tcMar>
                  <w:vAlign w:val="center"/>
                </w:tcPr>
                <w:p w14:paraId="1B1D34FA">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相对厂界距离（m）</w:t>
                  </w:r>
                </w:p>
              </w:tc>
              <w:tc>
                <w:tcPr>
                  <w:tcW w:w="983" w:type="dxa"/>
                  <w:vMerge w:val="restart"/>
                  <w:tcBorders>
                    <w:tl2br w:val="nil"/>
                    <w:tr2bl w:val="nil"/>
                  </w:tcBorders>
                  <w:noWrap w:val="0"/>
                  <w:tcMar>
                    <w:top w:w="0" w:type="dxa"/>
                    <w:left w:w="0" w:type="dxa"/>
                    <w:bottom w:w="0" w:type="dxa"/>
                    <w:right w:w="0" w:type="dxa"/>
                  </w:tcMar>
                  <w:vAlign w:val="center"/>
                </w:tcPr>
                <w:p w14:paraId="5E20B4D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snapToGrid w:val="0"/>
                      <w:color w:val="auto"/>
                      <w:kern w:val="0"/>
                      <w:sz w:val="21"/>
                      <w:szCs w:val="21"/>
                      <w:highlight w:val="none"/>
                    </w:rPr>
                    <w:t>保护内容</w:t>
                  </w:r>
                </w:p>
              </w:tc>
              <w:tc>
                <w:tcPr>
                  <w:tcW w:w="2152" w:type="dxa"/>
                  <w:vMerge w:val="restart"/>
                  <w:tcBorders>
                    <w:tl2br w:val="nil"/>
                    <w:tr2bl w:val="nil"/>
                  </w:tcBorders>
                  <w:noWrap w:val="0"/>
                  <w:tcMar>
                    <w:top w:w="0" w:type="dxa"/>
                    <w:left w:w="0" w:type="dxa"/>
                    <w:bottom w:w="0" w:type="dxa"/>
                    <w:right w:w="0" w:type="dxa"/>
                  </w:tcMar>
                  <w:vAlign w:val="center"/>
                </w:tcPr>
                <w:p w14:paraId="085CED1A">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环境功能区划</w:t>
                  </w:r>
                </w:p>
              </w:tc>
            </w:tr>
            <w:tr w14:paraId="01C095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7" w:type="dxa"/>
                  <w:vMerge w:val="continue"/>
                  <w:tcBorders>
                    <w:tl2br w:val="nil"/>
                    <w:tr2bl w:val="nil"/>
                  </w:tcBorders>
                  <w:noWrap w:val="0"/>
                  <w:vAlign w:val="center"/>
                </w:tcPr>
                <w:p w14:paraId="62B53D39">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p>
              </w:tc>
              <w:tc>
                <w:tcPr>
                  <w:tcW w:w="1198" w:type="dxa"/>
                  <w:vMerge w:val="continue"/>
                  <w:tcBorders>
                    <w:tl2br w:val="nil"/>
                    <w:tr2bl w:val="nil"/>
                  </w:tcBorders>
                  <w:noWrap w:val="0"/>
                  <w:vAlign w:val="center"/>
                </w:tcPr>
                <w:p w14:paraId="6ACD77FA">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p>
              </w:tc>
              <w:tc>
                <w:tcPr>
                  <w:tcW w:w="1318" w:type="dxa"/>
                  <w:tcBorders>
                    <w:tl2br w:val="nil"/>
                    <w:tr2bl w:val="nil"/>
                  </w:tcBorders>
                  <w:noWrap w:val="0"/>
                  <w:vAlign w:val="center"/>
                </w:tcPr>
                <w:p w14:paraId="669F7C77">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纬度</w:t>
                  </w:r>
                </w:p>
              </w:tc>
              <w:tc>
                <w:tcPr>
                  <w:tcW w:w="1112" w:type="dxa"/>
                  <w:tcBorders>
                    <w:tl2br w:val="nil"/>
                    <w:tr2bl w:val="nil"/>
                  </w:tcBorders>
                  <w:noWrap w:val="0"/>
                  <w:vAlign w:val="center"/>
                </w:tcPr>
                <w:p w14:paraId="09A72122">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sz w:val="21"/>
                      <w:szCs w:val="21"/>
                      <w:highlight w:val="none"/>
                      <w:lang w:eastAsia="zh-CN"/>
                    </w:rPr>
                  </w:pPr>
                  <w:r>
                    <w:rPr>
                      <w:rFonts w:hint="eastAsia" w:ascii="Times New Roman" w:hAnsi="Times New Roman" w:cs="Times New Roman"/>
                      <w:b/>
                      <w:bCs/>
                      <w:color w:val="auto"/>
                      <w:sz w:val="21"/>
                      <w:szCs w:val="21"/>
                      <w:highlight w:val="none"/>
                      <w:lang w:val="en-US" w:eastAsia="zh-CN"/>
                    </w:rPr>
                    <w:t>经度</w:t>
                  </w:r>
                </w:p>
              </w:tc>
              <w:tc>
                <w:tcPr>
                  <w:tcW w:w="683" w:type="dxa"/>
                  <w:vMerge w:val="continue"/>
                  <w:tcBorders>
                    <w:tl2br w:val="nil"/>
                    <w:tr2bl w:val="nil"/>
                  </w:tcBorders>
                  <w:noWrap w:val="0"/>
                  <w:vAlign w:val="center"/>
                </w:tcPr>
                <w:p w14:paraId="7416E92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832" w:type="dxa"/>
                  <w:vMerge w:val="continue"/>
                  <w:tcBorders>
                    <w:tl2br w:val="nil"/>
                    <w:tr2bl w:val="nil"/>
                  </w:tcBorders>
                  <w:noWrap w:val="0"/>
                  <w:vAlign w:val="center"/>
                </w:tcPr>
                <w:p w14:paraId="349EE58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983" w:type="dxa"/>
                  <w:vMerge w:val="continue"/>
                  <w:tcBorders>
                    <w:tl2br w:val="nil"/>
                    <w:tr2bl w:val="nil"/>
                  </w:tcBorders>
                  <w:noWrap w:val="0"/>
                  <w:vAlign w:val="center"/>
                </w:tcPr>
                <w:p w14:paraId="12D5F5F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2152" w:type="dxa"/>
                  <w:vMerge w:val="continue"/>
                  <w:tcBorders>
                    <w:tl2br w:val="nil"/>
                    <w:tr2bl w:val="nil"/>
                  </w:tcBorders>
                  <w:noWrap w:val="0"/>
                  <w:vAlign w:val="center"/>
                </w:tcPr>
                <w:p w14:paraId="7E2A4AA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7E800B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97" w:type="dxa"/>
                  <w:vMerge w:val="restart"/>
                  <w:tcBorders>
                    <w:tl2br w:val="nil"/>
                    <w:tr2bl w:val="nil"/>
                  </w:tcBorders>
                  <w:noWrap w:val="0"/>
                  <w:tcMar>
                    <w:top w:w="0" w:type="dxa"/>
                    <w:left w:w="0" w:type="dxa"/>
                    <w:bottom w:w="0" w:type="dxa"/>
                    <w:right w:w="0" w:type="dxa"/>
                  </w:tcMar>
                  <w:vAlign w:val="center"/>
                </w:tcPr>
                <w:p w14:paraId="31C2EE4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环境空气</w:t>
                  </w:r>
                </w:p>
              </w:tc>
              <w:tc>
                <w:tcPr>
                  <w:tcW w:w="1198" w:type="dxa"/>
                  <w:tcBorders>
                    <w:tl2br w:val="nil"/>
                    <w:tr2bl w:val="nil"/>
                  </w:tcBorders>
                  <w:noWrap w:val="0"/>
                  <w:tcMar>
                    <w:top w:w="0" w:type="dxa"/>
                    <w:left w:w="0" w:type="dxa"/>
                    <w:bottom w:w="0" w:type="dxa"/>
                    <w:right w:w="0" w:type="dxa"/>
                  </w:tcMar>
                  <w:vAlign w:val="center"/>
                </w:tcPr>
                <w:p w14:paraId="447A1274">
                  <w:pPr>
                    <w:pStyle w:val="138"/>
                    <w:keepNext w:val="0"/>
                    <w:keepLines w:val="0"/>
                    <w:pageBreakBefore w:val="0"/>
                    <w:suppressLineNumbers w:val="0"/>
                    <w:tabs>
                      <w:tab w:val="left" w:pos="1592"/>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sz w:val="21"/>
                      <w:szCs w:val="21"/>
                      <w:highlight w:val="none"/>
                    </w:rPr>
                  </w:pPr>
                  <w:r>
                    <w:rPr>
                      <w:rFonts w:hint="eastAsia" w:cs="Times New Roman"/>
                      <w:i w:val="0"/>
                      <w:iCs w:val="0"/>
                      <w:color w:val="auto"/>
                      <w:sz w:val="21"/>
                      <w:szCs w:val="21"/>
                      <w:highlight w:val="none"/>
                      <w:lang w:val="en-US" w:eastAsia="zh-CN"/>
                    </w:rPr>
                    <w:t>翠矶山小区（1#、2#、3#、4#楼）</w:t>
                  </w:r>
                </w:p>
              </w:tc>
              <w:tc>
                <w:tcPr>
                  <w:tcW w:w="1318" w:type="dxa"/>
                  <w:tcBorders>
                    <w:tl2br w:val="nil"/>
                    <w:tr2bl w:val="nil"/>
                  </w:tcBorders>
                  <w:noWrap w:val="0"/>
                  <w:vAlign w:val="center"/>
                </w:tcPr>
                <w:p w14:paraId="7EFF1F1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107度1</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分</w:t>
                  </w:r>
                  <w:r>
                    <w:rPr>
                      <w:rFonts w:hint="eastAsia" w:cs="Times New Roman"/>
                      <w:color w:val="auto"/>
                      <w:sz w:val="21"/>
                      <w:szCs w:val="21"/>
                      <w:highlight w:val="none"/>
                      <w:lang w:val="en-US" w:eastAsia="zh-CN"/>
                    </w:rPr>
                    <w:t>29.668</w:t>
                  </w:r>
                  <w:r>
                    <w:rPr>
                      <w:rFonts w:hint="default" w:ascii="Times New Roman" w:hAnsi="Times New Roman" w:cs="Times New Roman"/>
                      <w:color w:val="auto"/>
                      <w:sz w:val="21"/>
                      <w:szCs w:val="21"/>
                      <w:highlight w:val="none"/>
                    </w:rPr>
                    <w:t>秒</w:t>
                  </w:r>
                </w:p>
              </w:tc>
              <w:tc>
                <w:tcPr>
                  <w:tcW w:w="1112" w:type="dxa"/>
                  <w:tcBorders>
                    <w:tl2br w:val="nil"/>
                    <w:tr2bl w:val="nil"/>
                  </w:tcBorders>
                  <w:noWrap w:val="0"/>
                  <w:vAlign w:val="center"/>
                </w:tcPr>
                <w:p w14:paraId="6DC6A02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34度3分</w:t>
                  </w:r>
                  <w:r>
                    <w:rPr>
                      <w:rFonts w:hint="eastAsia" w:cs="Times New Roman"/>
                      <w:color w:val="auto"/>
                      <w:sz w:val="21"/>
                      <w:szCs w:val="21"/>
                      <w:highlight w:val="none"/>
                      <w:lang w:val="en-US" w:eastAsia="zh-CN"/>
                    </w:rPr>
                    <w:t>33.638</w:t>
                  </w:r>
                  <w:r>
                    <w:rPr>
                      <w:rFonts w:hint="default" w:ascii="Times New Roman" w:hAnsi="Times New Roman" w:cs="Times New Roman"/>
                      <w:color w:val="auto"/>
                      <w:sz w:val="21"/>
                      <w:szCs w:val="21"/>
                      <w:highlight w:val="none"/>
                    </w:rPr>
                    <w:t>秒</w:t>
                  </w:r>
                </w:p>
              </w:tc>
              <w:tc>
                <w:tcPr>
                  <w:tcW w:w="683" w:type="dxa"/>
                  <w:tcBorders>
                    <w:tl2br w:val="nil"/>
                    <w:tr2bl w:val="nil"/>
                  </w:tcBorders>
                  <w:noWrap w:val="0"/>
                  <w:tcMar>
                    <w:top w:w="0" w:type="dxa"/>
                    <w:left w:w="0" w:type="dxa"/>
                    <w:bottom w:w="0" w:type="dxa"/>
                    <w:right w:w="0" w:type="dxa"/>
                  </w:tcMar>
                  <w:vAlign w:val="center"/>
                </w:tcPr>
                <w:p w14:paraId="4EDD4DED">
                  <w:pPr>
                    <w:keepNext w:val="0"/>
                    <w:keepLines w:val="0"/>
                    <w:suppressLineNumbers w:val="0"/>
                    <w:spacing w:before="0" w:beforeAutospacing="0" w:after="0" w:afterAutospacing="0"/>
                    <w:ind w:left="0" w:right="0"/>
                    <w:jc w:val="center"/>
                    <w:rPr>
                      <w:rFonts w:hint="eastAsia" w:ascii="Times New Roman" w:hAnsi="Times New Roman" w:cs="Times New Roman"/>
                      <w:b w:val="0"/>
                      <w:bCs w:val="0"/>
                      <w:color w:val="auto"/>
                      <w:sz w:val="21"/>
                      <w:szCs w:val="21"/>
                      <w:highlight w:val="none"/>
                      <w:lang w:eastAsia="zh-CN"/>
                    </w:rPr>
                  </w:pPr>
                  <w:r>
                    <w:rPr>
                      <w:rFonts w:hint="eastAsia" w:cs="Times New Roman"/>
                      <w:b w:val="0"/>
                      <w:bCs w:val="0"/>
                      <w:color w:val="auto"/>
                      <w:sz w:val="21"/>
                      <w:szCs w:val="21"/>
                      <w:highlight w:val="none"/>
                      <w:lang w:val="en-US" w:eastAsia="zh-CN"/>
                    </w:rPr>
                    <w:t>N</w:t>
                  </w:r>
                </w:p>
              </w:tc>
              <w:tc>
                <w:tcPr>
                  <w:tcW w:w="832" w:type="dxa"/>
                  <w:tcBorders>
                    <w:tl2br w:val="nil"/>
                    <w:tr2bl w:val="nil"/>
                  </w:tcBorders>
                  <w:noWrap w:val="0"/>
                  <w:tcMar>
                    <w:top w:w="0" w:type="dxa"/>
                    <w:left w:w="0" w:type="dxa"/>
                    <w:bottom w:w="0" w:type="dxa"/>
                    <w:right w:w="0" w:type="dxa"/>
                  </w:tcMar>
                  <w:vAlign w:val="center"/>
                </w:tcPr>
                <w:p w14:paraId="378E2832">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55</w:t>
                  </w:r>
                </w:p>
              </w:tc>
              <w:tc>
                <w:tcPr>
                  <w:tcW w:w="983" w:type="dxa"/>
                  <w:tcBorders>
                    <w:tl2br w:val="nil"/>
                    <w:tr2bl w:val="nil"/>
                  </w:tcBorders>
                  <w:noWrap w:val="0"/>
                  <w:tcMar>
                    <w:top w:w="0" w:type="dxa"/>
                    <w:left w:w="0" w:type="dxa"/>
                    <w:bottom w:w="0" w:type="dxa"/>
                    <w:right w:w="0" w:type="dxa"/>
                  </w:tcMar>
                  <w:vAlign w:val="center"/>
                </w:tcPr>
                <w:p w14:paraId="36BD05D5">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居民</w:t>
                  </w:r>
                </w:p>
              </w:tc>
              <w:tc>
                <w:tcPr>
                  <w:tcW w:w="2152" w:type="dxa"/>
                  <w:vMerge w:val="restart"/>
                  <w:tcBorders>
                    <w:tl2br w:val="nil"/>
                    <w:tr2bl w:val="nil"/>
                  </w:tcBorders>
                  <w:noWrap w:val="0"/>
                  <w:tcMar>
                    <w:top w:w="0" w:type="dxa"/>
                    <w:left w:w="0" w:type="dxa"/>
                    <w:bottom w:w="0" w:type="dxa"/>
                    <w:right w:w="0" w:type="dxa"/>
                  </w:tcMar>
                  <w:vAlign w:val="center"/>
                </w:tcPr>
                <w:p w14:paraId="1AA9F20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《环境空气质量标准》（GB3095—20</w:t>
                  </w:r>
                  <w:r>
                    <w:rPr>
                      <w:rFonts w:hint="eastAsia" w:cs="Times New Roman"/>
                      <w:color w:val="auto"/>
                      <w:sz w:val="21"/>
                      <w:szCs w:val="21"/>
                      <w:highlight w:val="none"/>
                      <w:lang w:val="en-US" w:eastAsia="zh-CN"/>
                    </w:rPr>
                    <w:t>26</w:t>
                  </w:r>
                  <w:r>
                    <w:rPr>
                      <w:rFonts w:hint="default" w:ascii="Times New Roman" w:hAnsi="Times New Roman" w:cs="Times New Roman"/>
                      <w:color w:val="auto"/>
                      <w:sz w:val="21"/>
                      <w:szCs w:val="21"/>
                      <w:highlight w:val="none"/>
                    </w:rPr>
                    <w:t>）过渡阶段二级标准</w:t>
                  </w:r>
                </w:p>
              </w:tc>
            </w:tr>
            <w:tr w14:paraId="06ACD4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97" w:type="dxa"/>
                  <w:vMerge w:val="continue"/>
                  <w:tcBorders>
                    <w:tl2br w:val="nil"/>
                    <w:tr2bl w:val="nil"/>
                  </w:tcBorders>
                  <w:noWrap w:val="0"/>
                  <w:tcMar>
                    <w:top w:w="0" w:type="dxa"/>
                    <w:left w:w="0" w:type="dxa"/>
                    <w:bottom w:w="0" w:type="dxa"/>
                    <w:right w:w="0" w:type="dxa"/>
                  </w:tcMar>
                  <w:vAlign w:val="center"/>
                </w:tcPr>
                <w:p w14:paraId="13BD1C5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p>
              </w:tc>
              <w:tc>
                <w:tcPr>
                  <w:tcW w:w="1198" w:type="dxa"/>
                  <w:tcBorders>
                    <w:tl2br w:val="nil"/>
                    <w:tr2bl w:val="nil"/>
                  </w:tcBorders>
                  <w:shd w:val="clear" w:color="auto" w:fill="auto"/>
                  <w:noWrap w:val="0"/>
                  <w:tcMar>
                    <w:top w:w="0" w:type="dxa"/>
                    <w:left w:w="0" w:type="dxa"/>
                    <w:bottom w:w="0" w:type="dxa"/>
                    <w:right w:w="0" w:type="dxa"/>
                  </w:tcMar>
                  <w:vAlign w:val="center"/>
                </w:tcPr>
                <w:p w14:paraId="05A714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咀头街村</w:t>
                  </w:r>
                </w:p>
              </w:tc>
              <w:tc>
                <w:tcPr>
                  <w:tcW w:w="1318" w:type="dxa"/>
                  <w:tcBorders>
                    <w:tl2br w:val="nil"/>
                    <w:tr2bl w:val="nil"/>
                  </w:tcBorders>
                  <w:shd w:val="clear" w:color="auto" w:fill="auto"/>
                  <w:noWrap w:val="0"/>
                  <w:vAlign w:val="center"/>
                </w:tcPr>
                <w:p w14:paraId="4ED058E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107度1</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分</w:t>
                  </w:r>
                  <w:r>
                    <w:rPr>
                      <w:rFonts w:hint="eastAsia" w:cs="Times New Roman"/>
                      <w:color w:val="auto"/>
                      <w:sz w:val="21"/>
                      <w:szCs w:val="21"/>
                      <w:highlight w:val="none"/>
                      <w:lang w:val="en-US" w:eastAsia="zh-CN"/>
                    </w:rPr>
                    <w:t>36.331</w:t>
                  </w:r>
                  <w:r>
                    <w:rPr>
                      <w:rFonts w:hint="default" w:ascii="Times New Roman" w:hAnsi="Times New Roman" w:cs="Times New Roman"/>
                      <w:color w:val="auto"/>
                      <w:sz w:val="21"/>
                      <w:szCs w:val="21"/>
                      <w:highlight w:val="none"/>
                    </w:rPr>
                    <w:t>秒</w:t>
                  </w:r>
                </w:p>
              </w:tc>
              <w:tc>
                <w:tcPr>
                  <w:tcW w:w="1112" w:type="dxa"/>
                  <w:tcBorders>
                    <w:tl2br w:val="nil"/>
                    <w:tr2bl w:val="nil"/>
                  </w:tcBorders>
                  <w:shd w:val="clear" w:color="auto" w:fill="auto"/>
                  <w:noWrap w:val="0"/>
                  <w:vAlign w:val="center"/>
                </w:tcPr>
                <w:p w14:paraId="73C16D9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34度3分</w:t>
                  </w:r>
                  <w:r>
                    <w:rPr>
                      <w:rFonts w:hint="eastAsia" w:cs="Times New Roman"/>
                      <w:color w:val="auto"/>
                      <w:sz w:val="21"/>
                      <w:szCs w:val="21"/>
                      <w:highlight w:val="none"/>
                      <w:lang w:val="en-US" w:eastAsia="zh-CN"/>
                    </w:rPr>
                    <w:t>43.429</w:t>
                  </w:r>
                  <w:r>
                    <w:rPr>
                      <w:rFonts w:hint="default" w:ascii="Times New Roman" w:hAnsi="Times New Roman" w:cs="Times New Roman"/>
                      <w:color w:val="auto"/>
                      <w:sz w:val="21"/>
                      <w:szCs w:val="21"/>
                      <w:highlight w:val="none"/>
                    </w:rPr>
                    <w:t>秒</w:t>
                  </w:r>
                </w:p>
              </w:tc>
              <w:tc>
                <w:tcPr>
                  <w:tcW w:w="683" w:type="dxa"/>
                  <w:tcBorders>
                    <w:tl2br w:val="nil"/>
                    <w:tr2bl w:val="nil"/>
                  </w:tcBorders>
                  <w:noWrap w:val="0"/>
                  <w:tcMar>
                    <w:top w:w="0" w:type="dxa"/>
                    <w:left w:w="0" w:type="dxa"/>
                    <w:bottom w:w="0" w:type="dxa"/>
                    <w:right w:w="0" w:type="dxa"/>
                  </w:tcMar>
                  <w:vAlign w:val="center"/>
                </w:tcPr>
                <w:p w14:paraId="47FE52C7">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N</w:t>
                  </w:r>
                  <w:r>
                    <w:rPr>
                      <w:rFonts w:hint="eastAsia" w:cs="Times New Roman"/>
                      <w:color w:val="auto"/>
                      <w:sz w:val="21"/>
                      <w:szCs w:val="21"/>
                      <w:highlight w:val="none"/>
                      <w:lang w:val="en-US" w:eastAsia="zh-CN"/>
                    </w:rPr>
                    <w:t>E</w:t>
                  </w:r>
                </w:p>
              </w:tc>
              <w:tc>
                <w:tcPr>
                  <w:tcW w:w="832" w:type="dxa"/>
                  <w:tcBorders>
                    <w:tl2br w:val="nil"/>
                    <w:tr2bl w:val="nil"/>
                  </w:tcBorders>
                  <w:noWrap w:val="0"/>
                  <w:tcMar>
                    <w:top w:w="0" w:type="dxa"/>
                    <w:left w:w="0" w:type="dxa"/>
                    <w:bottom w:w="0" w:type="dxa"/>
                    <w:right w:w="0" w:type="dxa"/>
                  </w:tcMar>
                  <w:vAlign w:val="center"/>
                </w:tcPr>
                <w:p w14:paraId="1A6C0309">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380</w:t>
                  </w:r>
                </w:p>
              </w:tc>
              <w:tc>
                <w:tcPr>
                  <w:tcW w:w="983" w:type="dxa"/>
                  <w:tcBorders>
                    <w:tl2br w:val="nil"/>
                    <w:tr2bl w:val="nil"/>
                  </w:tcBorders>
                  <w:noWrap w:val="0"/>
                  <w:tcMar>
                    <w:top w:w="0" w:type="dxa"/>
                    <w:left w:w="0" w:type="dxa"/>
                    <w:bottom w:w="0" w:type="dxa"/>
                    <w:right w:w="0" w:type="dxa"/>
                  </w:tcMar>
                  <w:vAlign w:val="center"/>
                </w:tcPr>
                <w:p w14:paraId="1C41E16F">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highlight w:val="none"/>
                    </w:rPr>
                  </w:pPr>
                  <w:r>
                    <w:rPr>
                      <w:rFonts w:hint="eastAsia" w:ascii="Times New Roman" w:hAnsi="Times New Roman" w:cs="Times New Roman"/>
                      <w:color w:val="auto"/>
                      <w:sz w:val="21"/>
                      <w:szCs w:val="21"/>
                      <w:highlight w:val="none"/>
                      <w:lang w:val="en-US" w:eastAsia="zh-CN"/>
                    </w:rPr>
                    <w:t>居民</w:t>
                  </w:r>
                </w:p>
              </w:tc>
              <w:tc>
                <w:tcPr>
                  <w:tcW w:w="2152" w:type="dxa"/>
                  <w:vMerge w:val="continue"/>
                  <w:tcBorders>
                    <w:tl2br w:val="nil"/>
                    <w:tr2bl w:val="nil"/>
                  </w:tcBorders>
                  <w:noWrap w:val="0"/>
                  <w:tcMar>
                    <w:top w:w="0" w:type="dxa"/>
                    <w:left w:w="0" w:type="dxa"/>
                    <w:bottom w:w="0" w:type="dxa"/>
                    <w:right w:w="0" w:type="dxa"/>
                  </w:tcMar>
                  <w:vAlign w:val="center"/>
                </w:tcPr>
                <w:p w14:paraId="0927DC0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426E9E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97" w:type="dxa"/>
                  <w:vMerge w:val="continue"/>
                  <w:tcBorders>
                    <w:tl2br w:val="nil"/>
                    <w:tr2bl w:val="nil"/>
                  </w:tcBorders>
                  <w:noWrap w:val="0"/>
                  <w:tcMar>
                    <w:top w:w="0" w:type="dxa"/>
                    <w:left w:w="0" w:type="dxa"/>
                    <w:bottom w:w="0" w:type="dxa"/>
                    <w:right w:w="0" w:type="dxa"/>
                  </w:tcMar>
                  <w:vAlign w:val="center"/>
                </w:tcPr>
                <w:p w14:paraId="0F9612B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p>
              </w:tc>
              <w:tc>
                <w:tcPr>
                  <w:tcW w:w="1198" w:type="dxa"/>
                  <w:tcBorders>
                    <w:tl2br w:val="nil"/>
                    <w:tr2bl w:val="nil"/>
                  </w:tcBorders>
                  <w:shd w:val="clear" w:color="auto" w:fill="auto"/>
                  <w:noWrap w:val="0"/>
                  <w:tcMar>
                    <w:top w:w="0" w:type="dxa"/>
                    <w:left w:w="0" w:type="dxa"/>
                    <w:bottom w:w="0" w:type="dxa"/>
                    <w:right w:w="0" w:type="dxa"/>
                  </w:tcMar>
                  <w:vAlign w:val="center"/>
                </w:tcPr>
                <w:p w14:paraId="1CADA5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太白县考试管理中心</w:t>
                  </w:r>
                </w:p>
              </w:tc>
              <w:tc>
                <w:tcPr>
                  <w:tcW w:w="1318" w:type="dxa"/>
                  <w:tcBorders>
                    <w:tl2br w:val="nil"/>
                    <w:tr2bl w:val="nil"/>
                  </w:tcBorders>
                  <w:shd w:val="clear" w:color="auto" w:fill="auto"/>
                  <w:noWrap w:val="0"/>
                  <w:vAlign w:val="center"/>
                </w:tcPr>
                <w:p w14:paraId="1D6EC01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107度1</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分</w:t>
                  </w:r>
                  <w:r>
                    <w:rPr>
                      <w:rFonts w:hint="eastAsia" w:cs="Times New Roman"/>
                      <w:color w:val="auto"/>
                      <w:sz w:val="21"/>
                      <w:szCs w:val="21"/>
                      <w:highlight w:val="none"/>
                      <w:lang w:val="en-US" w:eastAsia="zh-CN"/>
                    </w:rPr>
                    <w:t>39.749</w:t>
                  </w:r>
                  <w:r>
                    <w:rPr>
                      <w:rFonts w:hint="default" w:ascii="Times New Roman" w:hAnsi="Times New Roman" w:cs="Times New Roman"/>
                      <w:color w:val="auto"/>
                      <w:sz w:val="21"/>
                      <w:szCs w:val="21"/>
                      <w:highlight w:val="none"/>
                    </w:rPr>
                    <w:t>秒</w:t>
                  </w:r>
                </w:p>
              </w:tc>
              <w:tc>
                <w:tcPr>
                  <w:tcW w:w="1112" w:type="dxa"/>
                  <w:tcBorders>
                    <w:tl2br w:val="nil"/>
                    <w:tr2bl w:val="nil"/>
                  </w:tcBorders>
                  <w:shd w:val="clear" w:color="auto" w:fill="auto"/>
                  <w:noWrap w:val="0"/>
                  <w:vAlign w:val="center"/>
                </w:tcPr>
                <w:p w14:paraId="1A65E9B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34度3分</w:t>
                  </w:r>
                  <w:r>
                    <w:rPr>
                      <w:rFonts w:hint="eastAsia" w:cs="Times New Roman"/>
                      <w:color w:val="auto"/>
                      <w:sz w:val="21"/>
                      <w:szCs w:val="21"/>
                      <w:highlight w:val="none"/>
                      <w:lang w:val="en-US" w:eastAsia="zh-CN"/>
                    </w:rPr>
                    <w:t>44.437</w:t>
                  </w:r>
                  <w:r>
                    <w:rPr>
                      <w:rFonts w:hint="default" w:ascii="Times New Roman" w:hAnsi="Times New Roman" w:cs="Times New Roman"/>
                      <w:color w:val="auto"/>
                      <w:sz w:val="21"/>
                      <w:szCs w:val="21"/>
                      <w:highlight w:val="none"/>
                    </w:rPr>
                    <w:t>秒</w:t>
                  </w:r>
                </w:p>
              </w:tc>
              <w:tc>
                <w:tcPr>
                  <w:tcW w:w="683" w:type="dxa"/>
                  <w:tcBorders>
                    <w:tl2br w:val="nil"/>
                    <w:tr2bl w:val="nil"/>
                  </w:tcBorders>
                  <w:shd w:val="clear" w:color="auto" w:fill="auto"/>
                  <w:noWrap w:val="0"/>
                  <w:tcMar>
                    <w:top w:w="0" w:type="dxa"/>
                    <w:left w:w="0" w:type="dxa"/>
                    <w:bottom w:w="0" w:type="dxa"/>
                    <w:right w:w="0" w:type="dxa"/>
                  </w:tcMar>
                  <w:vAlign w:val="center"/>
                </w:tcPr>
                <w:p w14:paraId="482C945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N</w:t>
                  </w:r>
                  <w:r>
                    <w:rPr>
                      <w:rFonts w:hint="eastAsia" w:cs="Times New Roman"/>
                      <w:color w:val="auto"/>
                      <w:sz w:val="21"/>
                      <w:szCs w:val="21"/>
                      <w:highlight w:val="none"/>
                      <w:lang w:val="en-US" w:eastAsia="zh-CN"/>
                    </w:rPr>
                    <w:t>E</w:t>
                  </w:r>
                </w:p>
              </w:tc>
              <w:tc>
                <w:tcPr>
                  <w:tcW w:w="832" w:type="dxa"/>
                  <w:tcBorders>
                    <w:tl2br w:val="nil"/>
                    <w:tr2bl w:val="nil"/>
                  </w:tcBorders>
                  <w:shd w:val="clear" w:color="auto" w:fill="auto"/>
                  <w:noWrap w:val="0"/>
                  <w:tcMar>
                    <w:top w:w="0" w:type="dxa"/>
                    <w:left w:w="0" w:type="dxa"/>
                    <w:bottom w:w="0" w:type="dxa"/>
                    <w:right w:w="0" w:type="dxa"/>
                  </w:tcMar>
                  <w:vAlign w:val="center"/>
                </w:tcPr>
                <w:p w14:paraId="49F3FD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468</w:t>
                  </w:r>
                </w:p>
              </w:tc>
              <w:tc>
                <w:tcPr>
                  <w:tcW w:w="983" w:type="dxa"/>
                  <w:tcBorders>
                    <w:tl2br w:val="nil"/>
                    <w:tr2bl w:val="nil"/>
                  </w:tcBorders>
                  <w:shd w:val="clear" w:color="auto" w:fill="auto"/>
                  <w:noWrap w:val="0"/>
                  <w:tcMar>
                    <w:top w:w="0" w:type="dxa"/>
                    <w:left w:w="0" w:type="dxa"/>
                    <w:bottom w:w="0" w:type="dxa"/>
                    <w:right w:w="0" w:type="dxa"/>
                  </w:tcMar>
                  <w:vAlign w:val="center"/>
                </w:tcPr>
                <w:p w14:paraId="503EF2C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单位</w:t>
                  </w:r>
                </w:p>
              </w:tc>
              <w:tc>
                <w:tcPr>
                  <w:tcW w:w="2152" w:type="dxa"/>
                  <w:vMerge w:val="continue"/>
                  <w:tcBorders>
                    <w:tl2br w:val="nil"/>
                    <w:tr2bl w:val="nil"/>
                  </w:tcBorders>
                  <w:noWrap w:val="0"/>
                  <w:tcMar>
                    <w:top w:w="0" w:type="dxa"/>
                    <w:left w:w="0" w:type="dxa"/>
                    <w:bottom w:w="0" w:type="dxa"/>
                    <w:right w:w="0" w:type="dxa"/>
                  </w:tcMar>
                  <w:vAlign w:val="center"/>
                </w:tcPr>
                <w:p w14:paraId="34825B7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24EB31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97" w:type="dxa"/>
                  <w:vMerge w:val="continue"/>
                  <w:tcBorders>
                    <w:tl2br w:val="nil"/>
                    <w:tr2bl w:val="nil"/>
                  </w:tcBorders>
                  <w:noWrap w:val="0"/>
                  <w:tcMar>
                    <w:top w:w="0" w:type="dxa"/>
                    <w:left w:w="0" w:type="dxa"/>
                    <w:bottom w:w="0" w:type="dxa"/>
                    <w:right w:w="0" w:type="dxa"/>
                  </w:tcMar>
                  <w:vAlign w:val="center"/>
                </w:tcPr>
                <w:p w14:paraId="5C91914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p>
              </w:tc>
              <w:tc>
                <w:tcPr>
                  <w:tcW w:w="1198" w:type="dxa"/>
                  <w:tcBorders>
                    <w:tl2br w:val="nil"/>
                    <w:tr2bl w:val="nil"/>
                  </w:tcBorders>
                  <w:noWrap w:val="0"/>
                  <w:tcMar>
                    <w:top w:w="0" w:type="dxa"/>
                    <w:left w:w="0" w:type="dxa"/>
                    <w:bottom w:w="0" w:type="dxa"/>
                    <w:right w:w="0" w:type="dxa"/>
                  </w:tcMar>
                  <w:vAlign w:val="center"/>
                </w:tcPr>
                <w:p w14:paraId="4B1AB6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太白县烟草专卖局</w:t>
                  </w:r>
                </w:p>
              </w:tc>
              <w:tc>
                <w:tcPr>
                  <w:tcW w:w="1318" w:type="dxa"/>
                  <w:tcBorders>
                    <w:tl2br w:val="nil"/>
                    <w:tr2bl w:val="nil"/>
                  </w:tcBorders>
                  <w:shd w:val="clear" w:color="auto" w:fill="auto"/>
                  <w:noWrap w:val="0"/>
                  <w:vAlign w:val="center"/>
                </w:tcPr>
                <w:p w14:paraId="7054A86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107度1</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分</w:t>
                  </w:r>
                  <w:r>
                    <w:rPr>
                      <w:rFonts w:hint="eastAsia" w:cs="Times New Roman"/>
                      <w:color w:val="auto"/>
                      <w:sz w:val="21"/>
                      <w:szCs w:val="21"/>
                      <w:highlight w:val="none"/>
                      <w:lang w:val="en-US" w:eastAsia="zh-CN"/>
                    </w:rPr>
                    <w:t>39.440</w:t>
                  </w:r>
                  <w:r>
                    <w:rPr>
                      <w:rFonts w:hint="default" w:ascii="Times New Roman" w:hAnsi="Times New Roman" w:cs="Times New Roman"/>
                      <w:color w:val="auto"/>
                      <w:sz w:val="21"/>
                      <w:szCs w:val="21"/>
                      <w:highlight w:val="none"/>
                    </w:rPr>
                    <w:t>秒</w:t>
                  </w:r>
                </w:p>
              </w:tc>
              <w:tc>
                <w:tcPr>
                  <w:tcW w:w="1112" w:type="dxa"/>
                  <w:tcBorders>
                    <w:tl2br w:val="nil"/>
                    <w:tr2bl w:val="nil"/>
                  </w:tcBorders>
                  <w:shd w:val="clear" w:color="auto" w:fill="auto"/>
                  <w:noWrap w:val="0"/>
                  <w:vAlign w:val="center"/>
                </w:tcPr>
                <w:p w14:paraId="6FE417A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34度3分</w:t>
                  </w:r>
                  <w:r>
                    <w:rPr>
                      <w:rFonts w:hint="eastAsia" w:cs="Times New Roman"/>
                      <w:color w:val="auto"/>
                      <w:sz w:val="21"/>
                      <w:szCs w:val="21"/>
                      <w:highlight w:val="none"/>
                      <w:lang w:val="en-US" w:eastAsia="zh-CN"/>
                    </w:rPr>
                    <w:t>33.606</w:t>
                  </w:r>
                  <w:r>
                    <w:rPr>
                      <w:rFonts w:hint="default" w:ascii="Times New Roman" w:hAnsi="Times New Roman" w:cs="Times New Roman"/>
                      <w:color w:val="auto"/>
                      <w:sz w:val="21"/>
                      <w:szCs w:val="21"/>
                      <w:highlight w:val="none"/>
                    </w:rPr>
                    <w:t>秒</w:t>
                  </w:r>
                </w:p>
              </w:tc>
              <w:tc>
                <w:tcPr>
                  <w:tcW w:w="683" w:type="dxa"/>
                  <w:tcBorders>
                    <w:tl2br w:val="nil"/>
                    <w:tr2bl w:val="nil"/>
                  </w:tcBorders>
                  <w:noWrap w:val="0"/>
                  <w:tcMar>
                    <w:top w:w="0" w:type="dxa"/>
                    <w:left w:w="0" w:type="dxa"/>
                    <w:bottom w:w="0" w:type="dxa"/>
                    <w:right w:w="0" w:type="dxa"/>
                  </w:tcMar>
                  <w:vAlign w:val="center"/>
                </w:tcPr>
                <w:p w14:paraId="5874781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NE</w:t>
                  </w:r>
                </w:p>
              </w:tc>
              <w:tc>
                <w:tcPr>
                  <w:tcW w:w="832" w:type="dxa"/>
                  <w:tcBorders>
                    <w:tl2br w:val="nil"/>
                    <w:tr2bl w:val="nil"/>
                  </w:tcBorders>
                  <w:noWrap w:val="0"/>
                  <w:tcMar>
                    <w:top w:w="0" w:type="dxa"/>
                    <w:left w:w="0" w:type="dxa"/>
                    <w:bottom w:w="0" w:type="dxa"/>
                    <w:right w:w="0" w:type="dxa"/>
                  </w:tcMar>
                  <w:vAlign w:val="center"/>
                </w:tcPr>
                <w:p w14:paraId="4D21D53D">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286</w:t>
                  </w:r>
                </w:p>
              </w:tc>
              <w:tc>
                <w:tcPr>
                  <w:tcW w:w="983" w:type="dxa"/>
                  <w:tcBorders>
                    <w:tl2br w:val="nil"/>
                    <w:tr2bl w:val="nil"/>
                  </w:tcBorders>
                  <w:noWrap w:val="0"/>
                  <w:tcMar>
                    <w:top w:w="0" w:type="dxa"/>
                    <w:left w:w="0" w:type="dxa"/>
                    <w:bottom w:w="0" w:type="dxa"/>
                    <w:right w:w="0" w:type="dxa"/>
                  </w:tcMar>
                  <w:vAlign w:val="center"/>
                </w:tcPr>
                <w:p w14:paraId="6F6B8062">
                  <w:pPr>
                    <w:keepNext w:val="0"/>
                    <w:keepLines w:val="0"/>
                    <w:suppressLineNumbers w:val="0"/>
                    <w:spacing w:before="0" w:beforeAutospacing="0" w:after="0" w:afterAutospacing="0"/>
                    <w:ind w:left="0" w:right="0"/>
                    <w:jc w:val="center"/>
                    <w:rPr>
                      <w:rFonts w:hint="eastAsia"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单位</w:t>
                  </w:r>
                </w:p>
              </w:tc>
              <w:tc>
                <w:tcPr>
                  <w:tcW w:w="2152" w:type="dxa"/>
                  <w:vMerge w:val="continue"/>
                  <w:tcBorders>
                    <w:tl2br w:val="nil"/>
                    <w:tr2bl w:val="nil"/>
                  </w:tcBorders>
                  <w:noWrap w:val="0"/>
                  <w:tcMar>
                    <w:top w:w="0" w:type="dxa"/>
                    <w:left w:w="0" w:type="dxa"/>
                    <w:bottom w:w="0" w:type="dxa"/>
                    <w:right w:w="0" w:type="dxa"/>
                  </w:tcMar>
                  <w:vAlign w:val="center"/>
                </w:tcPr>
                <w:p w14:paraId="138417C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31728A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97" w:type="dxa"/>
                  <w:vMerge w:val="continue"/>
                  <w:tcBorders>
                    <w:tl2br w:val="nil"/>
                    <w:tr2bl w:val="nil"/>
                  </w:tcBorders>
                  <w:noWrap w:val="0"/>
                  <w:tcMar>
                    <w:top w:w="0" w:type="dxa"/>
                    <w:left w:w="0" w:type="dxa"/>
                    <w:bottom w:w="0" w:type="dxa"/>
                    <w:right w:w="0" w:type="dxa"/>
                  </w:tcMar>
                  <w:vAlign w:val="center"/>
                </w:tcPr>
                <w:p w14:paraId="7EF7080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p>
              </w:tc>
              <w:tc>
                <w:tcPr>
                  <w:tcW w:w="1198" w:type="dxa"/>
                  <w:tcBorders>
                    <w:tl2br w:val="nil"/>
                    <w:tr2bl w:val="nil"/>
                  </w:tcBorders>
                  <w:noWrap w:val="0"/>
                  <w:tcMar>
                    <w:top w:w="0" w:type="dxa"/>
                    <w:left w:w="0" w:type="dxa"/>
                    <w:bottom w:w="0" w:type="dxa"/>
                    <w:right w:w="0" w:type="dxa"/>
                  </w:tcMar>
                  <w:vAlign w:val="center"/>
                </w:tcPr>
                <w:p w14:paraId="3328D7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太白县市场监督管理局</w:t>
                  </w:r>
                </w:p>
              </w:tc>
              <w:tc>
                <w:tcPr>
                  <w:tcW w:w="1318" w:type="dxa"/>
                  <w:tcBorders>
                    <w:tl2br w:val="nil"/>
                    <w:tr2bl w:val="nil"/>
                  </w:tcBorders>
                  <w:shd w:val="clear" w:color="auto" w:fill="auto"/>
                  <w:noWrap w:val="0"/>
                  <w:vAlign w:val="center"/>
                </w:tcPr>
                <w:p w14:paraId="21D3155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107度1</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分</w:t>
                  </w:r>
                  <w:r>
                    <w:rPr>
                      <w:rFonts w:hint="eastAsia" w:cs="Times New Roman"/>
                      <w:color w:val="auto"/>
                      <w:sz w:val="21"/>
                      <w:szCs w:val="21"/>
                      <w:highlight w:val="none"/>
                      <w:lang w:val="en-US" w:eastAsia="zh-CN"/>
                    </w:rPr>
                    <w:t>39.517</w:t>
                  </w:r>
                  <w:r>
                    <w:rPr>
                      <w:rFonts w:hint="default" w:ascii="Times New Roman" w:hAnsi="Times New Roman" w:cs="Times New Roman"/>
                      <w:color w:val="auto"/>
                      <w:sz w:val="21"/>
                      <w:szCs w:val="21"/>
                      <w:highlight w:val="none"/>
                    </w:rPr>
                    <w:t>秒</w:t>
                  </w:r>
                </w:p>
              </w:tc>
              <w:tc>
                <w:tcPr>
                  <w:tcW w:w="1112" w:type="dxa"/>
                  <w:tcBorders>
                    <w:tl2br w:val="nil"/>
                    <w:tr2bl w:val="nil"/>
                  </w:tcBorders>
                  <w:shd w:val="clear" w:color="auto" w:fill="auto"/>
                  <w:noWrap w:val="0"/>
                  <w:vAlign w:val="center"/>
                </w:tcPr>
                <w:p w14:paraId="1345D11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34度3分</w:t>
                  </w:r>
                  <w:r>
                    <w:rPr>
                      <w:rFonts w:hint="eastAsia" w:cs="Times New Roman"/>
                      <w:color w:val="auto"/>
                      <w:sz w:val="21"/>
                      <w:szCs w:val="21"/>
                      <w:highlight w:val="none"/>
                      <w:lang w:val="en-US" w:eastAsia="zh-CN"/>
                    </w:rPr>
                    <w:t>32.998</w:t>
                  </w:r>
                  <w:r>
                    <w:rPr>
                      <w:rFonts w:hint="default" w:ascii="Times New Roman" w:hAnsi="Times New Roman" w:cs="Times New Roman"/>
                      <w:color w:val="auto"/>
                      <w:sz w:val="21"/>
                      <w:szCs w:val="21"/>
                      <w:highlight w:val="none"/>
                    </w:rPr>
                    <w:t>秒</w:t>
                  </w:r>
                </w:p>
              </w:tc>
              <w:tc>
                <w:tcPr>
                  <w:tcW w:w="683" w:type="dxa"/>
                  <w:tcBorders>
                    <w:tl2br w:val="nil"/>
                    <w:tr2bl w:val="nil"/>
                  </w:tcBorders>
                  <w:shd w:val="clear" w:color="auto" w:fill="auto"/>
                  <w:noWrap w:val="0"/>
                  <w:tcMar>
                    <w:top w:w="0" w:type="dxa"/>
                    <w:left w:w="0" w:type="dxa"/>
                    <w:bottom w:w="0" w:type="dxa"/>
                    <w:right w:w="0" w:type="dxa"/>
                  </w:tcMar>
                  <w:vAlign w:val="center"/>
                </w:tcPr>
                <w:p w14:paraId="5BED76B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NE</w:t>
                  </w:r>
                </w:p>
              </w:tc>
              <w:tc>
                <w:tcPr>
                  <w:tcW w:w="832" w:type="dxa"/>
                  <w:tcBorders>
                    <w:tl2br w:val="nil"/>
                    <w:tr2bl w:val="nil"/>
                  </w:tcBorders>
                  <w:shd w:val="clear" w:color="auto" w:fill="auto"/>
                  <w:noWrap w:val="0"/>
                  <w:tcMar>
                    <w:top w:w="0" w:type="dxa"/>
                    <w:left w:w="0" w:type="dxa"/>
                    <w:bottom w:w="0" w:type="dxa"/>
                    <w:right w:w="0" w:type="dxa"/>
                  </w:tcMar>
                  <w:vAlign w:val="center"/>
                </w:tcPr>
                <w:p w14:paraId="50E55B9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275</w:t>
                  </w:r>
                </w:p>
              </w:tc>
              <w:tc>
                <w:tcPr>
                  <w:tcW w:w="983" w:type="dxa"/>
                  <w:tcBorders>
                    <w:tl2br w:val="nil"/>
                    <w:tr2bl w:val="nil"/>
                  </w:tcBorders>
                  <w:noWrap w:val="0"/>
                  <w:tcMar>
                    <w:top w:w="0" w:type="dxa"/>
                    <w:left w:w="0" w:type="dxa"/>
                    <w:bottom w:w="0" w:type="dxa"/>
                    <w:right w:w="0" w:type="dxa"/>
                  </w:tcMar>
                  <w:vAlign w:val="center"/>
                </w:tcPr>
                <w:p w14:paraId="682D496B">
                  <w:pPr>
                    <w:keepNext w:val="0"/>
                    <w:keepLines w:val="0"/>
                    <w:suppressLineNumbers w:val="0"/>
                    <w:spacing w:before="0" w:beforeAutospacing="0" w:after="0" w:afterAutospacing="0"/>
                    <w:ind w:left="0" w:right="0"/>
                    <w:jc w:val="center"/>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单位</w:t>
                  </w:r>
                </w:p>
              </w:tc>
              <w:tc>
                <w:tcPr>
                  <w:tcW w:w="2152" w:type="dxa"/>
                  <w:vMerge w:val="continue"/>
                  <w:tcBorders>
                    <w:tl2br w:val="nil"/>
                    <w:tr2bl w:val="nil"/>
                  </w:tcBorders>
                  <w:noWrap w:val="0"/>
                  <w:tcMar>
                    <w:top w:w="0" w:type="dxa"/>
                    <w:left w:w="0" w:type="dxa"/>
                    <w:bottom w:w="0" w:type="dxa"/>
                    <w:right w:w="0" w:type="dxa"/>
                  </w:tcMar>
                  <w:vAlign w:val="center"/>
                </w:tcPr>
                <w:p w14:paraId="23D5700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11BA73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97" w:type="dxa"/>
                  <w:vMerge w:val="continue"/>
                  <w:tcBorders>
                    <w:tl2br w:val="nil"/>
                    <w:tr2bl w:val="nil"/>
                  </w:tcBorders>
                  <w:noWrap w:val="0"/>
                  <w:tcMar>
                    <w:top w:w="0" w:type="dxa"/>
                    <w:left w:w="0" w:type="dxa"/>
                    <w:bottom w:w="0" w:type="dxa"/>
                    <w:right w:w="0" w:type="dxa"/>
                  </w:tcMar>
                  <w:vAlign w:val="center"/>
                </w:tcPr>
                <w:p w14:paraId="0EFE545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p>
              </w:tc>
              <w:tc>
                <w:tcPr>
                  <w:tcW w:w="1198" w:type="dxa"/>
                  <w:tcBorders>
                    <w:tl2br w:val="nil"/>
                    <w:tr2bl w:val="nil"/>
                  </w:tcBorders>
                  <w:noWrap w:val="0"/>
                  <w:tcMar>
                    <w:top w:w="0" w:type="dxa"/>
                    <w:left w:w="0" w:type="dxa"/>
                    <w:bottom w:w="0" w:type="dxa"/>
                    <w:right w:w="0" w:type="dxa"/>
                  </w:tcMar>
                  <w:vAlign w:val="center"/>
                </w:tcPr>
                <w:p w14:paraId="2D92A6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风鸣华府</w:t>
                  </w:r>
                </w:p>
              </w:tc>
              <w:tc>
                <w:tcPr>
                  <w:tcW w:w="1318" w:type="dxa"/>
                  <w:tcBorders>
                    <w:tl2br w:val="nil"/>
                    <w:tr2bl w:val="nil"/>
                  </w:tcBorders>
                  <w:shd w:val="clear" w:color="auto" w:fill="auto"/>
                  <w:noWrap w:val="0"/>
                  <w:vAlign w:val="center"/>
                </w:tcPr>
                <w:p w14:paraId="638933B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107度1</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分</w:t>
                  </w:r>
                  <w:r>
                    <w:rPr>
                      <w:rFonts w:hint="eastAsia" w:cs="Times New Roman"/>
                      <w:color w:val="auto"/>
                      <w:sz w:val="21"/>
                      <w:szCs w:val="21"/>
                      <w:highlight w:val="none"/>
                      <w:lang w:val="en-US" w:eastAsia="zh-CN"/>
                    </w:rPr>
                    <w:t>45.465</w:t>
                  </w:r>
                  <w:r>
                    <w:rPr>
                      <w:rFonts w:hint="default" w:ascii="Times New Roman" w:hAnsi="Times New Roman" w:cs="Times New Roman"/>
                      <w:color w:val="auto"/>
                      <w:sz w:val="21"/>
                      <w:szCs w:val="21"/>
                      <w:highlight w:val="none"/>
                    </w:rPr>
                    <w:t>秒</w:t>
                  </w:r>
                </w:p>
              </w:tc>
              <w:tc>
                <w:tcPr>
                  <w:tcW w:w="1112" w:type="dxa"/>
                  <w:tcBorders>
                    <w:tl2br w:val="nil"/>
                    <w:tr2bl w:val="nil"/>
                  </w:tcBorders>
                  <w:shd w:val="clear" w:color="auto" w:fill="auto"/>
                  <w:noWrap w:val="0"/>
                  <w:vAlign w:val="center"/>
                </w:tcPr>
                <w:p w14:paraId="7A81B7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34度3分</w:t>
                  </w:r>
                  <w:r>
                    <w:rPr>
                      <w:rFonts w:hint="eastAsia" w:cs="Times New Roman"/>
                      <w:color w:val="auto"/>
                      <w:sz w:val="21"/>
                      <w:szCs w:val="21"/>
                      <w:highlight w:val="none"/>
                      <w:lang w:val="en-US" w:eastAsia="zh-CN"/>
                    </w:rPr>
                    <w:t>35.285</w:t>
                  </w:r>
                  <w:r>
                    <w:rPr>
                      <w:rFonts w:hint="default" w:ascii="Times New Roman" w:hAnsi="Times New Roman" w:cs="Times New Roman"/>
                      <w:color w:val="auto"/>
                      <w:sz w:val="21"/>
                      <w:szCs w:val="21"/>
                      <w:highlight w:val="none"/>
                    </w:rPr>
                    <w:t>秒</w:t>
                  </w:r>
                </w:p>
              </w:tc>
              <w:tc>
                <w:tcPr>
                  <w:tcW w:w="683" w:type="dxa"/>
                  <w:tcBorders>
                    <w:tl2br w:val="nil"/>
                    <w:tr2bl w:val="nil"/>
                  </w:tcBorders>
                  <w:noWrap w:val="0"/>
                  <w:tcMar>
                    <w:top w:w="0" w:type="dxa"/>
                    <w:left w:w="0" w:type="dxa"/>
                    <w:bottom w:w="0" w:type="dxa"/>
                    <w:right w:w="0" w:type="dxa"/>
                  </w:tcMar>
                  <w:vAlign w:val="center"/>
                </w:tcPr>
                <w:p w14:paraId="61AE2C2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NE</w:t>
                  </w:r>
                </w:p>
              </w:tc>
              <w:tc>
                <w:tcPr>
                  <w:tcW w:w="832" w:type="dxa"/>
                  <w:tcBorders>
                    <w:tl2br w:val="nil"/>
                    <w:tr2bl w:val="nil"/>
                  </w:tcBorders>
                  <w:noWrap w:val="0"/>
                  <w:tcMar>
                    <w:top w:w="0" w:type="dxa"/>
                    <w:left w:w="0" w:type="dxa"/>
                    <w:bottom w:w="0" w:type="dxa"/>
                    <w:right w:w="0" w:type="dxa"/>
                  </w:tcMar>
                  <w:vAlign w:val="center"/>
                </w:tcPr>
                <w:p w14:paraId="10B66D2E">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346</w:t>
                  </w:r>
                </w:p>
              </w:tc>
              <w:tc>
                <w:tcPr>
                  <w:tcW w:w="983" w:type="dxa"/>
                  <w:tcBorders>
                    <w:tl2br w:val="nil"/>
                    <w:tr2bl w:val="nil"/>
                  </w:tcBorders>
                  <w:noWrap w:val="0"/>
                  <w:tcMar>
                    <w:top w:w="0" w:type="dxa"/>
                    <w:left w:w="0" w:type="dxa"/>
                    <w:bottom w:w="0" w:type="dxa"/>
                    <w:right w:w="0" w:type="dxa"/>
                  </w:tcMar>
                  <w:vAlign w:val="center"/>
                </w:tcPr>
                <w:p w14:paraId="60253D74">
                  <w:pPr>
                    <w:keepNext w:val="0"/>
                    <w:keepLines w:val="0"/>
                    <w:suppressLineNumbers w:val="0"/>
                    <w:spacing w:before="0" w:beforeAutospacing="0" w:after="0" w:afterAutospacing="0"/>
                    <w:ind w:left="0" w:right="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居民</w:t>
                  </w:r>
                </w:p>
              </w:tc>
              <w:tc>
                <w:tcPr>
                  <w:tcW w:w="2152" w:type="dxa"/>
                  <w:vMerge w:val="continue"/>
                  <w:tcBorders>
                    <w:tl2br w:val="nil"/>
                    <w:tr2bl w:val="nil"/>
                  </w:tcBorders>
                  <w:noWrap w:val="0"/>
                  <w:tcMar>
                    <w:top w:w="0" w:type="dxa"/>
                    <w:left w:w="0" w:type="dxa"/>
                    <w:bottom w:w="0" w:type="dxa"/>
                    <w:right w:w="0" w:type="dxa"/>
                  </w:tcMar>
                  <w:vAlign w:val="center"/>
                </w:tcPr>
                <w:p w14:paraId="2A78C46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298E3E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97" w:type="dxa"/>
                  <w:vMerge w:val="continue"/>
                  <w:tcBorders>
                    <w:tl2br w:val="nil"/>
                    <w:tr2bl w:val="nil"/>
                  </w:tcBorders>
                  <w:noWrap w:val="0"/>
                  <w:tcMar>
                    <w:top w:w="0" w:type="dxa"/>
                    <w:left w:w="0" w:type="dxa"/>
                    <w:bottom w:w="0" w:type="dxa"/>
                    <w:right w:w="0" w:type="dxa"/>
                  </w:tcMar>
                  <w:vAlign w:val="center"/>
                </w:tcPr>
                <w:p w14:paraId="3501663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p>
              </w:tc>
              <w:tc>
                <w:tcPr>
                  <w:tcW w:w="1198" w:type="dxa"/>
                  <w:tcBorders>
                    <w:tl2br w:val="nil"/>
                    <w:tr2bl w:val="nil"/>
                  </w:tcBorders>
                  <w:noWrap w:val="0"/>
                  <w:tcMar>
                    <w:top w:w="0" w:type="dxa"/>
                    <w:left w:w="0" w:type="dxa"/>
                    <w:bottom w:w="0" w:type="dxa"/>
                    <w:right w:w="0" w:type="dxa"/>
                  </w:tcMar>
                  <w:vAlign w:val="center"/>
                </w:tcPr>
                <w:p w14:paraId="531C06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太白路小区</w:t>
                  </w:r>
                </w:p>
              </w:tc>
              <w:tc>
                <w:tcPr>
                  <w:tcW w:w="1318" w:type="dxa"/>
                  <w:tcBorders>
                    <w:tl2br w:val="nil"/>
                    <w:tr2bl w:val="nil"/>
                  </w:tcBorders>
                  <w:shd w:val="clear" w:color="auto" w:fill="auto"/>
                  <w:noWrap w:val="0"/>
                  <w:vAlign w:val="center"/>
                </w:tcPr>
                <w:p w14:paraId="2E7FEF6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107度1</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分</w:t>
                  </w:r>
                  <w:r>
                    <w:rPr>
                      <w:rFonts w:hint="eastAsia" w:cs="Times New Roman"/>
                      <w:color w:val="auto"/>
                      <w:sz w:val="21"/>
                      <w:szCs w:val="21"/>
                      <w:highlight w:val="none"/>
                      <w:lang w:val="en-US" w:eastAsia="zh-CN"/>
                    </w:rPr>
                    <w:t>45.87</w:t>
                  </w:r>
                  <w:r>
                    <w:rPr>
                      <w:rFonts w:hint="default" w:ascii="Times New Roman" w:hAnsi="Times New Roman" w:cs="Times New Roman"/>
                      <w:color w:val="auto"/>
                      <w:sz w:val="21"/>
                      <w:szCs w:val="21"/>
                      <w:highlight w:val="none"/>
                    </w:rPr>
                    <w:t>秒</w:t>
                  </w:r>
                </w:p>
              </w:tc>
              <w:tc>
                <w:tcPr>
                  <w:tcW w:w="1112" w:type="dxa"/>
                  <w:tcBorders>
                    <w:tl2br w:val="nil"/>
                    <w:tr2bl w:val="nil"/>
                  </w:tcBorders>
                  <w:shd w:val="clear" w:color="auto" w:fill="auto"/>
                  <w:noWrap w:val="0"/>
                  <w:vAlign w:val="center"/>
                </w:tcPr>
                <w:p w14:paraId="6341D83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34度3分</w:t>
                  </w:r>
                  <w:r>
                    <w:rPr>
                      <w:rFonts w:hint="eastAsia" w:cs="Times New Roman"/>
                      <w:color w:val="auto"/>
                      <w:sz w:val="21"/>
                      <w:szCs w:val="21"/>
                      <w:highlight w:val="none"/>
                      <w:lang w:val="en-US" w:eastAsia="zh-CN"/>
                    </w:rPr>
                    <w:t>51.36</w:t>
                  </w:r>
                  <w:r>
                    <w:rPr>
                      <w:rFonts w:hint="default" w:ascii="Times New Roman" w:hAnsi="Times New Roman" w:cs="Times New Roman"/>
                      <w:color w:val="auto"/>
                      <w:sz w:val="21"/>
                      <w:szCs w:val="21"/>
                      <w:highlight w:val="none"/>
                    </w:rPr>
                    <w:t>秒</w:t>
                  </w:r>
                </w:p>
              </w:tc>
              <w:tc>
                <w:tcPr>
                  <w:tcW w:w="683" w:type="dxa"/>
                  <w:tcBorders>
                    <w:tl2br w:val="nil"/>
                    <w:tr2bl w:val="nil"/>
                  </w:tcBorders>
                  <w:noWrap w:val="0"/>
                  <w:tcMar>
                    <w:top w:w="0" w:type="dxa"/>
                    <w:left w:w="0" w:type="dxa"/>
                    <w:bottom w:w="0" w:type="dxa"/>
                    <w:right w:w="0" w:type="dxa"/>
                  </w:tcMar>
                  <w:vAlign w:val="center"/>
                </w:tcPr>
                <w:p w14:paraId="5BF322C9">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E</w:t>
                  </w:r>
                </w:p>
              </w:tc>
              <w:tc>
                <w:tcPr>
                  <w:tcW w:w="832" w:type="dxa"/>
                  <w:tcBorders>
                    <w:tl2br w:val="nil"/>
                    <w:tr2bl w:val="nil"/>
                  </w:tcBorders>
                  <w:noWrap w:val="0"/>
                  <w:tcMar>
                    <w:top w:w="0" w:type="dxa"/>
                    <w:left w:w="0" w:type="dxa"/>
                    <w:bottom w:w="0" w:type="dxa"/>
                    <w:right w:w="0" w:type="dxa"/>
                  </w:tcMar>
                  <w:vAlign w:val="center"/>
                </w:tcPr>
                <w:p w14:paraId="4A3BCAE8">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323</w:t>
                  </w:r>
                </w:p>
              </w:tc>
              <w:tc>
                <w:tcPr>
                  <w:tcW w:w="983" w:type="dxa"/>
                  <w:tcBorders>
                    <w:tl2br w:val="nil"/>
                    <w:tr2bl w:val="nil"/>
                  </w:tcBorders>
                  <w:noWrap w:val="0"/>
                  <w:tcMar>
                    <w:top w:w="0" w:type="dxa"/>
                    <w:left w:w="0" w:type="dxa"/>
                    <w:bottom w:w="0" w:type="dxa"/>
                    <w:right w:w="0" w:type="dxa"/>
                  </w:tcMar>
                  <w:vAlign w:val="center"/>
                </w:tcPr>
                <w:p w14:paraId="1664A352">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居民</w:t>
                  </w:r>
                </w:p>
              </w:tc>
              <w:tc>
                <w:tcPr>
                  <w:tcW w:w="2152" w:type="dxa"/>
                  <w:vMerge w:val="continue"/>
                  <w:tcBorders>
                    <w:tl2br w:val="nil"/>
                    <w:tr2bl w:val="nil"/>
                  </w:tcBorders>
                  <w:noWrap w:val="0"/>
                  <w:tcMar>
                    <w:top w:w="0" w:type="dxa"/>
                    <w:left w:w="0" w:type="dxa"/>
                    <w:bottom w:w="0" w:type="dxa"/>
                    <w:right w:w="0" w:type="dxa"/>
                  </w:tcMar>
                  <w:vAlign w:val="center"/>
                </w:tcPr>
                <w:p w14:paraId="6012F40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r>
            <w:tr w14:paraId="776755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97" w:type="dxa"/>
                  <w:vMerge w:val="continue"/>
                  <w:tcBorders>
                    <w:tl2br w:val="nil"/>
                    <w:tr2bl w:val="nil"/>
                  </w:tcBorders>
                  <w:noWrap w:val="0"/>
                  <w:tcMar>
                    <w:top w:w="0" w:type="dxa"/>
                    <w:left w:w="0" w:type="dxa"/>
                    <w:bottom w:w="0" w:type="dxa"/>
                    <w:right w:w="0" w:type="dxa"/>
                  </w:tcMar>
                  <w:vAlign w:val="center"/>
                </w:tcPr>
                <w:p w14:paraId="3A514D6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en-US" w:eastAsia="zh-CN"/>
                    </w:rPr>
                  </w:pPr>
                </w:p>
              </w:tc>
              <w:tc>
                <w:tcPr>
                  <w:tcW w:w="1198" w:type="dxa"/>
                  <w:tcBorders>
                    <w:tl2br w:val="nil"/>
                    <w:tr2bl w:val="nil"/>
                  </w:tcBorders>
                  <w:noWrap w:val="0"/>
                  <w:tcMar>
                    <w:top w:w="0" w:type="dxa"/>
                    <w:left w:w="0" w:type="dxa"/>
                    <w:bottom w:w="0" w:type="dxa"/>
                    <w:right w:w="0" w:type="dxa"/>
                  </w:tcMar>
                  <w:vAlign w:val="center"/>
                </w:tcPr>
                <w:p w14:paraId="56ABA9DD">
                  <w:pPr>
                    <w:pStyle w:val="138"/>
                    <w:keepNext w:val="0"/>
                    <w:keepLines w:val="0"/>
                    <w:pageBreakBefore w:val="0"/>
                    <w:suppressLineNumbers w:val="0"/>
                    <w:tabs>
                      <w:tab w:val="left" w:pos="1592"/>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cs="Times New Roman"/>
                      <w:i w:val="0"/>
                      <w:iCs w:val="0"/>
                      <w:color w:val="auto"/>
                      <w:sz w:val="21"/>
                      <w:szCs w:val="21"/>
                      <w:highlight w:val="none"/>
                      <w:lang w:val="en-US" w:eastAsia="zh-CN"/>
                    </w:rPr>
                  </w:pPr>
                  <w:r>
                    <w:rPr>
                      <w:rFonts w:hint="eastAsia" w:cs="Times New Roman"/>
                      <w:i w:val="0"/>
                      <w:iCs w:val="0"/>
                      <w:color w:val="auto"/>
                      <w:sz w:val="21"/>
                      <w:szCs w:val="21"/>
                      <w:highlight w:val="none"/>
                      <w:lang w:val="en-US" w:eastAsia="zh-CN"/>
                    </w:rPr>
                    <w:t>林业局家属院</w:t>
                  </w:r>
                </w:p>
              </w:tc>
              <w:tc>
                <w:tcPr>
                  <w:tcW w:w="1318" w:type="dxa"/>
                  <w:tcBorders>
                    <w:tl2br w:val="nil"/>
                    <w:tr2bl w:val="nil"/>
                  </w:tcBorders>
                  <w:shd w:val="clear" w:color="auto" w:fill="auto"/>
                  <w:noWrap w:val="0"/>
                  <w:vAlign w:val="center"/>
                </w:tcPr>
                <w:p w14:paraId="5C677A8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107度1</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分</w:t>
                  </w:r>
                  <w:r>
                    <w:rPr>
                      <w:rFonts w:hint="eastAsia" w:cs="Times New Roman"/>
                      <w:color w:val="auto"/>
                      <w:sz w:val="21"/>
                      <w:szCs w:val="21"/>
                      <w:highlight w:val="none"/>
                      <w:lang w:val="en-US" w:eastAsia="zh-CN"/>
                    </w:rPr>
                    <w:t>34.477</w:t>
                  </w:r>
                  <w:r>
                    <w:rPr>
                      <w:rFonts w:hint="default" w:ascii="Times New Roman" w:hAnsi="Times New Roman" w:cs="Times New Roman"/>
                      <w:color w:val="auto"/>
                      <w:sz w:val="21"/>
                      <w:szCs w:val="21"/>
                      <w:highlight w:val="none"/>
                    </w:rPr>
                    <w:t>秒</w:t>
                  </w:r>
                </w:p>
              </w:tc>
              <w:tc>
                <w:tcPr>
                  <w:tcW w:w="1112" w:type="dxa"/>
                  <w:tcBorders>
                    <w:tl2br w:val="nil"/>
                    <w:tr2bl w:val="nil"/>
                  </w:tcBorders>
                  <w:shd w:val="clear" w:color="auto" w:fill="auto"/>
                  <w:noWrap w:val="0"/>
                  <w:vAlign w:val="center"/>
                </w:tcPr>
                <w:p w14:paraId="6F8AC84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34度3分</w:t>
                  </w:r>
                  <w:r>
                    <w:rPr>
                      <w:rFonts w:hint="eastAsia" w:cs="Times New Roman"/>
                      <w:color w:val="auto"/>
                      <w:sz w:val="21"/>
                      <w:szCs w:val="21"/>
                      <w:highlight w:val="none"/>
                      <w:lang w:val="en-US" w:eastAsia="zh-CN"/>
                    </w:rPr>
                    <w:t>30.502</w:t>
                  </w:r>
                  <w:r>
                    <w:rPr>
                      <w:rFonts w:hint="default" w:ascii="Times New Roman" w:hAnsi="Times New Roman" w:cs="Times New Roman"/>
                      <w:color w:val="auto"/>
                      <w:sz w:val="21"/>
                      <w:szCs w:val="21"/>
                      <w:highlight w:val="none"/>
                    </w:rPr>
                    <w:t>秒</w:t>
                  </w:r>
                </w:p>
              </w:tc>
              <w:tc>
                <w:tcPr>
                  <w:tcW w:w="683" w:type="dxa"/>
                  <w:tcBorders>
                    <w:tl2br w:val="nil"/>
                    <w:tr2bl w:val="nil"/>
                  </w:tcBorders>
                  <w:noWrap w:val="0"/>
                  <w:tcMar>
                    <w:top w:w="0" w:type="dxa"/>
                    <w:left w:w="0" w:type="dxa"/>
                    <w:bottom w:w="0" w:type="dxa"/>
                    <w:right w:w="0" w:type="dxa"/>
                  </w:tcMar>
                  <w:vAlign w:val="center"/>
                </w:tcPr>
                <w:p w14:paraId="1E27C5F5">
                  <w:pPr>
                    <w:keepNext w:val="0"/>
                    <w:keepLines w:val="0"/>
                    <w:suppressLineNumbers w:val="0"/>
                    <w:spacing w:before="0" w:beforeAutospacing="0" w:after="0" w:afterAutospacing="0"/>
                    <w:ind w:left="0" w:right="0"/>
                    <w:jc w:val="center"/>
                    <w:rPr>
                      <w:rFonts w:hint="default" w:ascii="Times New Roman" w:hAnsi="Times New Roman" w:cs="Times New Roman"/>
                      <w:b w:val="0"/>
                      <w:bCs w:val="0"/>
                      <w:i w:val="0"/>
                      <w:iCs w:val="0"/>
                      <w:color w:val="auto"/>
                      <w:sz w:val="21"/>
                      <w:szCs w:val="21"/>
                      <w:highlight w:val="none"/>
                      <w:lang w:val="en-US" w:eastAsia="zh-CN"/>
                    </w:rPr>
                  </w:pPr>
                  <w:r>
                    <w:rPr>
                      <w:rFonts w:hint="eastAsia" w:cs="Times New Roman"/>
                      <w:b w:val="0"/>
                      <w:bCs w:val="0"/>
                      <w:i w:val="0"/>
                      <w:iCs w:val="0"/>
                      <w:color w:val="auto"/>
                      <w:sz w:val="21"/>
                      <w:szCs w:val="21"/>
                      <w:highlight w:val="none"/>
                      <w:lang w:val="en-US" w:eastAsia="zh-CN"/>
                    </w:rPr>
                    <w:t>E</w:t>
                  </w:r>
                </w:p>
              </w:tc>
              <w:tc>
                <w:tcPr>
                  <w:tcW w:w="832" w:type="dxa"/>
                  <w:tcBorders>
                    <w:tl2br w:val="nil"/>
                    <w:tr2bl w:val="nil"/>
                  </w:tcBorders>
                  <w:noWrap w:val="0"/>
                  <w:tcMar>
                    <w:top w:w="0" w:type="dxa"/>
                    <w:left w:w="0" w:type="dxa"/>
                    <w:bottom w:w="0" w:type="dxa"/>
                    <w:right w:w="0" w:type="dxa"/>
                  </w:tcMar>
                  <w:vAlign w:val="center"/>
                </w:tcPr>
                <w:p w14:paraId="5C4EFAFF">
                  <w:pPr>
                    <w:keepNext w:val="0"/>
                    <w:keepLines w:val="0"/>
                    <w:suppressLineNumbers w:val="0"/>
                    <w:spacing w:before="0" w:beforeAutospacing="0" w:after="0" w:afterAutospacing="0"/>
                    <w:ind w:left="0" w:right="0"/>
                    <w:jc w:val="center"/>
                    <w:rPr>
                      <w:rFonts w:hint="default" w:ascii="Times New Roman" w:hAnsi="Times New Roman" w:cs="Times New Roman"/>
                      <w:b w:val="0"/>
                      <w:bCs w:val="0"/>
                      <w:i w:val="0"/>
                      <w:iCs w:val="0"/>
                      <w:color w:val="auto"/>
                      <w:sz w:val="21"/>
                      <w:szCs w:val="21"/>
                      <w:highlight w:val="none"/>
                      <w:lang w:val="en-US" w:eastAsia="zh-CN"/>
                    </w:rPr>
                  </w:pPr>
                  <w:r>
                    <w:rPr>
                      <w:rFonts w:hint="eastAsia" w:cs="Times New Roman"/>
                      <w:b w:val="0"/>
                      <w:bCs w:val="0"/>
                      <w:i w:val="0"/>
                      <w:iCs w:val="0"/>
                      <w:color w:val="auto"/>
                      <w:sz w:val="21"/>
                      <w:szCs w:val="21"/>
                      <w:highlight w:val="none"/>
                      <w:lang w:val="en-US" w:eastAsia="zh-CN"/>
                    </w:rPr>
                    <w:t>107</w:t>
                  </w:r>
                </w:p>
              </w:tc>
              <w:tc>
                <w:tcPr>
                  <w:tcW w:w="983" w:type="dxa"/>
                  <w:tcBorders>
                    <w:tl2br w:val="nil"/>
                    <w:tr2bl w:val="nil"/>
                  </w:tcBorders>
                  <w:noWrap w:val="0"/>
                  <w:tcMar>
                    <w:top w:w="0" w:type="dxa"/>
                    <w:left w:w="0" w:type="dxa"/>
                    <w:bottom w:w="0" w:type="dxa"/>
                    <w:right w:w="0" w:type="dxa"/>
                  </w:tcMar>
                  <w:vAlign w:val="center"/>
                </w:tcPr>
                <w:p w14:paraId="3ED1E861">
                  <w:pPr>
                    <w:keepNext w:val="0"/>
                    <w:keepLines w:val="0"/>
                    <w:suppressLineNumbers w:val="0"/>
                    <w:spacing w:before="0" w:beforeAutospacing="0" w:after="0" w:afterAutospacing="0"/>
                    <w:ind w:left="0" w:right="0"/>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居民</w:t>
                  </w:r>
                </w:p>
              </w:tc>
              <w:tc>
                <w:tcPr>
                  <w:tcW w:w="2152" w:type="dxa"/>
                  <w:vMerge w:val="continue"/>
                  <w:tcBorders>
                    <w:tl2br w:val="nil"/>
                    <w:tr2bl w:val="nil"/>
                  </w:tcBorders>
                  <w:noWrap w:val="0"/>
                  <w:tcMar>
                    <w:top w:w="0" w:type="dxa"/>
                    <w:left w:w="0" w:type="dxa"/>
                    <w:bottom w:w="0" w:type="dxa"/>
                    <w:right w:w="0" w:type="dxa"/>
                  </w:tcMar>
                  <w:vAlign w:val="center"/>
                </w:tcPr>
                <w:p w14:paraId="755F40A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r>
            <w:tr w14:paraId="04EAE3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97" w:type="dxa"/>
                  <w:vMerge w:val="continue"/>
                  <w:tcBorders>
                    <w:tl2br w:val="nil"/>
                    <w:tr2bl w:val="nil"/>
                  </w:tcBorders>
                  <w:noWrap w:val="0"/>
                  <w:tcMar>
                    <w:top w:w="0" w:type="dxa"/>
                    <w:left w:w="0" w:type="dxa"/>
                    <w:bottom w:w="0" w:type="dxa"/>
                    <w:right w:w="0" w:type="dxa"/>
                  </w:tcMar>
                  <w:vAlign w:val="center"/>
                </w:tcPr>
                <w:p w14:paraId="733F097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lang w:val="en-US" w:eastAsia="zh-CN"/>
                    </w:rPr>
                  </w:pPr>
                </w:p>
              </w:tc>
              <w:tc>
                <w:tcPr>
                  <w:tcW w:w="1198" w:type="dxa"/>
                  <w:tcBorders>
                    <w:tl2br w:val="nil"/>
                    <w:tr2bl w:val="nil"/>
                  </w:tcBorders>
                  <w:noWrap w:val="0"/>
                  <w:tcMar>
                    <w:top w:w="0" w:type="dxa"/>
                    <w:left w:w="0" w:type="dxa"/>
                    <w:bottom w:w="0" w:type="dxa"/>
                    <w:right w:w="0" w:type="dxa"/>
                  </w:tcMar>
                  <w:vAlign w:val="center"/>
                </w:tcPr>
                <w:p w14:paraId="0370D64D">
                  <w:pPr>
                    <w:pStyle w:val="138"/>
                    <w:keepNext w:val="0"/>
                    <w:keepLines w:val="0"/>
                    <w:pageBreakBefore w:val="0"/>
                    <w:suppressLineNumbers w:val="0"/>
                    <w:tabs>
                      <w:tab w:val="left" w:pos="1592"/>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cs="Times New Roman"/>
                      <w:i w:val="0"/>
                      <w:iCs w:val="0"/>
                      <w:color w:val="auto"/>
                      <w:sz w:val="21"/>
                      <w:szCs w:val="21"/>
                      <w:highlight w:val="none"/>
                      <w:lang w:val="en-US" w:eastAsia="zh-CN"/>
                    </w:rPr>
                  </w:pPr>
                  <w:r>
                    <w:rPr>
                      <w:rFonts w:hint="eastAsia" w:cs="Times New Roman"/>
                      <w:i w:val="0"/>
                      <w:iCs w:val="0"/>
                      <w:color w:val="auto"/>
                      <w:sz w:val="21"/>
                      <w:szCs w:val="21"/>
                      <w:highlight w:val="none"/>
                      <w:lang w:val="en-US" w:eastAsia="zh-CN"/>
                    </w:rPr>
                    <w:t>夏都花园</w:t>
                  </w:r>
                </w:p>
              </w:tc>
              <w:tc>
                <w:tcPr>
                  <w:tcW w:w="1318" w:type="dxa"/>
                  <w:tcBorders>
                    <w:tl2br w:val="nil"/>
                    <w:tr2bl w:val="nil"/>
                  </w:tcBorders>
                  <w:shd w:val="clear" w:color="auto" w:fill="auto"/>
                  <w:noWrap w:val="0"/>
                  <w:vAlign w:val="center"/>
                </w:tcPr>
                <w:p w14:paraId="1CCB7E5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107度1</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分</w:t>
                  </w:r>
                  <w:r>
                    <w:rPr>
                      <w:rFonts w:hint="eastAsia" w:cs="Times New Roman"/>
                      <w:color w:val="auto"/>
                      <w:sz w:val="21"/>
                      <w:szCs w:val="21"/>
                      <w:highlight w:val="none"/>
                      <w:lang w:val="en-US" w:eastAsia="zh-CN"/>
                    </w:rPr>
                    <w:t>37.644</w:t>
                  </w:r>
                  <w:r>
                    <w:rPr>
                      <w:rFonts w:hint="default" w:ascii="Times New Roman" w:hAnsi="Times New Roman" w:cs="Times New Roman"/>
                      <w:color w:val="auto"/>
                      <w:sz w:val="21"/>
                      <w:szCs w:val="21"/>
                      <w:highlight w:val="none"/>
                    </w:rPr>
                    <w:t>秒</w:t>
                  </w:r>
                </w:p>
              </w:tc>
              <w:tc>
                <w:tcPr>
                  <w:tcW w:w="1112" w:type="dxa"/>
                  <w:tcBorders>
                    <w:tl2br w:val="nil"/>
                    <w:tr2bl w:val="nil"/>
                  </w:tcBorders>
                  <w:shd w:val="clear" w:color="auto" w:fill="auto"/>
                  <w:noWrap w:val="0"/>
                  <w:vAlign w:val="center"/>
                </w:tcPr>
                <w:p w14:paraId="59B7AE5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34度3分</w:t>
                  </w:r>
                  <w:r>
                    <w:rPr>
                      <w:rFonts w:hint="eastAsia" w:cs="Times New Roman"/>
                      <w:color w:val="auto"/>
                      <w:sz w:val="21"/>
                      <w:szCs w:val="21"/>
                      <w:highlight w:val="none"/>
                      <w:lang w:val="en-US" w:eastAsia="zh-CN"/>
                    </w:rPr>
                    <w:t>23.814</w:t>
                  </w:r>
                  <w:r>
                    <w:rPr>
                      <w:rFonts w:hint="default" w:ascii="Times New Roman" w:hAnsi="Times New Roman" w:cs="Times New Roman"/>
                      <w:color w:val="auto"/>
                      <w:sz w:val="21"/>
                      <w:szCs w:val="21"/>
                      <w:highlight w:val="none"/>
                    </w:rPr>
                    <w:t>秒</w:t>
                  </w:r>
                </w:p>
              </w:tc>
              <w:tc>
                <w:tcPr>
                  <w:tcW w:w="683" w:type="dxa"/>
                  <w:tcBorders>
                    <w:tl2br w:val="nil"/>
                    <w:tr2bl w:val="nil"/>
                  </w:tcBorders>
                  <w:noWrap w:val="0"/>
                  <w:tcMar>
                    <w:top w:w="0" w:type="dxa"/>
                    <w:left w:w="0" w:type="dxa"/>
                    <w:bottom w:w="0" w:type="dxa"/>
                    <w:right w:w="0" w:type="dxa"/>
                  </w:tcMar>
                  <w:vAlign w:val="center"/>
                </w:tcPr>
                <w:p w14:paraId="2357AFB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val="0"/>
                      <w:bCs w:val="0"/>
                      <w:i w:val="0"/>
                      <w:iCs w:val="0"/>
                      <w:color w:val="auto"/>
                      <w:sz w:val="21"/>
                      <w:szCs w:val="21"/>
                      <w:highlight w:val="none"/>
                      <w:lang w:val="en-US" w:eastAsia="zh-CN"/>
                    </w:rPr>
                  </w:pPr>
                  <w:r>
                    <w:rPr>
                      <w:rFonts w:hint="eastAsia" w:cs="Times New Roman"/>
                      <w:b w:val="0"/>
                      <w:bCs w:val="0"/>
                      <w:i w:val="0"/>
                      <w:iCs w:val="0"/>
                      <w:color w:val="auto"/>
                      <w:sz w:val="21"/>
                      <w:szCs w:val="21"/>
                      <w:highlight w:val="none"/>
                      <w:lang w:val="en-US" w:eastAsia="zh-CN"/>
                    </w:rPr>
                    <w:t>SE</w:t>
                  </w:r>
                </w:p>
              </w:tc>
              <w:tc>
                <w:tcPr>
                  <w:tcW w:w="832" w:type="dxa"/>
                  <w:tcBorders>
                    <w:tl2br w:val="nil"/>
                    <w:tr2bl w:val="nil"/>
                  </w:tcBorders>
                  <w:noWrap w:val="0"/>
                  <w:tcMar>
                    <w:top w:w="0" w:type="dxa"/>
                    <w:left w:w="0" w:type="dxa"/>
                    <w:bottom w:w="0" w:type="dxa"/>
                    <w:right w:w="0" w:type="dxa"/>
                  </w:tcMar>
                  <w:vAlign w:val="center"/>
                </w:tcPr>
                <w:p w14:paraId="3C0A427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val="0"/>
                      <w:bCs w:val="0"/>
                      <w:i w:val="0"/>
                      <w:iCs w:val="0"/>
                      <w:color w:val="auto"/>
                      <w:sz w:val="21"/>
                      <w:szCs w:val="21"/>
                      <w:highlight w:val="none"/>
                      <w:lang w:val="en-US" w:eastAsia="zh-CN"/>
                    </w:rPr>
                  </w:pPr>
                  <w:r>
                    <w:rPr>
                      <w:rFonts w:hint="eastAsia" w:cs="Times New Roman"/>
                      <w:b w:val="0"/>
                      <w:bCs w:val="0"/>
                      <w:i w:val="0"/>
                      <w:iCs w:val="0"/>
                      <w:color w:val="auto"/>
                      <w:sz w:val="21"/>
                      <w:szCs w:val="21"/>
                      <w:highlight w:val="none"/>
                      <w:lang w:val="en-US" w:eastAsia="zh-CN"/>
                    </w:rPr>
                    <w:t>364</w:t>
                  </w:r>
                </w:p>
              </w:tc>
              <w:tc>
                <w:tcPr>
                  <w:tcW w:w="983" w:type="dxa"/>
                  <w:tcBorders>
                    <w:tl2br w:val="nil"/>
                    <w:tr2bl w:val="nil"/>
                  </w:tcBorders>
                  <w:noWrap w:val="0"/>
                  <w:tcMar>
                    <w:top w:w="0" w:type="dxa"/>
                    <w:left w:w="0" w:type="dxa"/>
                    <w:bottom w:w="0" w:type="dxa"/>
                    <w:right w:w="0" w:type="dxa"/>
                  </w:tcMar>
                  <w:vAlign w:val="center"/>
                </w:tcPr>
                <w:p w14:paraId="0157761F">
                  <w:pPr>
                    <w:keepNext w:val="0"/>
                    <w:keepLines w:val="0"/>
                    <w:suppressLineNumbers w:val="0"/>
                    <w:spacing w:before="0" w:beforeAutospacing="0" w:after="0" w:afterAutospacing="0"/>
                    <w:ind w:left="0" w:right="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居民</w:t>
                  </w:r>
                </w:p>
              </w:tc>
              <w:tc>
                <w:tcPr>
                  <w:tcW w:w="2152" w:type="dxa"/>
                  <w:vMerge w:val="continue"/>
                  <w:tcBorders>
                    <w:tl2br w:val="nil"/>
                    <w:tr2bl w:val="nil"/>
                  </w:tcBorders>
                  <w:noWrap w:val="0"/>
                  <w:tcMar>
                    <w:top w:w="0" w:type="dxa"/>
                    <w:left w:w="0" w:type="dxa"/>
                    <w:bottom w:w="0" w:type="dxa"/>
                    <w:right w:w="0" w:type="dxa"/>
                  </w:tcMar>
                  <w:vAlign w:val="center"/>
                </w:tcPr>
                <w:p w14:paraId="7194EAC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r>
            <w:tr w14:paraId="6D08F1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97" w:type="dxa"/>
                  <w:vMerge w:val="continue"/>
                  <w:tcBorders>
                    <w:tl2br w:val="nil"/>
                    <w:tr2bl w:val="nil"/>
                  </w:tcBorders>
                  <w:noWrap w:val="0"/>
                  <w:tcMar>
                    <w:top w:w="0" w:type="dxa"/>
                    <w:left w:w="0" w:type="dxa"/>
                    <w:bottom w:w="0" w:type="dxa"/>
                    <w:right w:w="0" w:type="dxa"/>
                  </w:tcMar>
                  <w:vAlign w:val="center"/>
                </w:tcPr>
                <w:p w14:paraId="21434A9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lang w:val="en-US" w:eastAsia="zh-CN"/>
                    </w:rPr>
                  </w:pPr>
                </w:p>
              </w:tc>
              <w:tc>
                <w:tcPr>
                  <w:tcW w:w="1198" w:type="dxa"/>
                  <w:tcBorders>
                    <w:tl2br w:val="nil"/>
                    <w:tr2bl w:val="nil"/>
                  </w:tcBorders>
                  <w:noWrap w:val="0"/>
                  <w:tcMar>
                    <w:top w:w="0" w:type="dxa"/>
                    <w:left w:w="0" w:type="dxa"/>
                    <w:bottom w:w="0" w:type="dxa"/>
                    <w:right w:w="0" w:type="dxa"/>
                  </w:tcMar>
                  <w:vAlign w:val="center"/>
                </w:tcPr>
                <w:p w14:paraId="52E0AFC9">
                  <w:pPr>
                    <w:pStyle w:val="138"/>
                    <w:keepNext w:val="0"/>
                    <w:keepLines w:val="0"/>
                    <w:pageBreakBefore w:val="0"/>
                    <w:suppressLineNumbers w:val="0"/>
                    <w:tabs>
                      <w:tab w:val="left" w:pos="1592"/>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default" w:cs="Times New Roman"/>
                      <w:i w:val="0"/>
                      <w:iCs w:val="0"/>
                      <w:color w:val="auto"/>
                      <w:sz w:val="21"/>
                      <w:szCs w:val="21"/>
                      <w:highlight w:val="none"/>
                      <w:lang w:val="en-US" w:eastAsia="zh-CN"/>
                    </w:rPr>
                  </w:pPr>
                  <w:r>
                    <w:rPr>
                      <w:rFonts w:hint="eastAsia" w:cs="Times New Roman"/>
                      <w:i w:val="0"/>
                      <w:iCs w:val="0"/>
                      <w:color w:val="auto"/>
                      <w:sz w:val="21"/>
                      <w:szCs w:val="21"/>
                      <w:highlight w:val="none"/>
                      <w:lang w:val="en-US" w:eastAsia="zh-CN"/>
                    </w:rPr>
                    <w:t>金域蓝湾</w:t>
                  </w:r>
                </w:p>
              </w:tc>
              <w:tc>
                <w:tcPr>
                  <w:tcW w:w="1318" w:type="dxa"/>
                  <w:tcBorders>
                    <w:tl2br w:val="nil"/>
                    <w:tr2bl w:val="nil"/>
                  </w:tcBorders>
                  <w:shd w:val="clear" w:color="auto" w:fill="auto"/>
                  <w:noWrap w:val="0"/>
                  <w:vAlign w:val="center"/>
                </w:tcPr>
                <w:p w14:paraId="32E12DD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107度1</w:t>
                  </w:r>
                  <w:r>
                    <w:rPr>
                      <w:rFonts w:hint="eastAsia"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分</w:t>
                  </w:r>
                  <w:r>
                    <w:rPr>
                      <w:rFonts w:hint="eastAsia" w:cs="Times New Roman"/>
                      <w:color w:val="auto"/>
                      <w:sz w:val="21"/>
                      <w:szCs w:val="21"/>
                      <w:highlight w:val="none"/>
                      <w:lang w:val="en-US" w:eastAsia="zh-CN"/>
                    </w:rPr>
                    <w:t>22.368</w:t>
                  </w:r>
                  <w:r>
                    <w:rPr>
                      <w:rFonts w:hint="default" w:ascii="Times New Roman" w:hAnsi="Times New Roman" w:cs="Times New Roman"/>
                      <w:color w:val="auto"/>
                      <w:sz w:val="21"/>
                      <w:szCs w:val="21"/>
                      <w:highlight w:val="none"/>
                    </w:rPr>
                    <w:t>秒</w:t>
                  </w:r>
                </w:p>
              </w:tc>
              <w:tc>
                <w:tcPr>
                  <w:tcW w:w="1112" w:type="dxa"/>
                  <w:tcBorders>
                    <w:tl2br w:val="nil"/>
                    <w:tr2bl w:val="nil"/>
                  </w:tcBorders>
                  <w:shd w:val="clear" w:color="auto" w:fill="auto"/>
                  <w:noWrap w:val="0"/>
                  <w:vAlign w:val="center"/>
                </w:tcPr>
                <w:p w14:paraId="76D20F2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34度3分</w:t>
                  </w:r>
                  <w:r>
                    <w:rPr>
                      <w:rFonts w:hint="eastAsia" w:cs="Times New Roman"/>
                      <w:color w:val="auto"/>
                      <w:sz w:val="21"/>
                      <w:szCs w:val="21"/>
                      <w:highlight w:val="none"/>
                      <w:lang w:val="en-US" w:eastAsia="zh-CN"/>
                    </w:rPr>
                    <w:t>22.102</w:t>
                  </w:r>
                  <w:r>
                    <w:rPr>
                      <w:rFonts w:hint="default" w:ascii="Times New Roman" w:hAnsi="Times New Roman" w:cs="Times New Roman"/>
                      <w:color w:val="auto"/>
                      <w:sz w:val="21"/>
                      <w:szCs w:val="21"/>
                      <w:highlight w:val="none"/>
                    </w:rPr>
                    <w:t>秒</w:t>
                  </w:r>
                </w:p>
              </w:tc>
              <w:tc>
                <w:tcPr>
                  <w:tcW w:w="683" w:type="dxa"/>
                  <w:tcBorders>
                    <w:tl2br w:val="nil"/>
                    <w:tr2bl w:val="nil"/>
                  </w:tcBorders>
                  <w:noWrap w:val="0"/>
                  <w:tcMar>
                    <w:top w:w="0" w:type="dxa"/>
                    <w:left w:w="0" w:type="dxa"/>
                    <w:bottom w:w="0" w:type="dxa"/>
                    <w:right w:w="0" w:type="dxa"/>
                  </w:tcMar>
                  <w:vAlign w:val="center"/>
                </w:tcPr>
                <w:p w14:paraId="487086BA">
                  <w:pPr>
                    <w:keepNext w:val="0"/>
                    <w:keepLines w:val="0"/>
                    <w:suppressLineNumbers w:val="0"/>
                    <w:spacing w:before="0" w:beforeAutospacing="0" w:after="0" w:afterAutospacing="0"/>
                    <w:ind w:left="0" w:right="0"/>
                    <w:jc w:val="center"/>
                    <w:rPr>
                      <w:rFonts w:hint="default" w:ascii="Times New Roman" w:hAnsi="Times New Roman" w:cs="Times New Roman"/>
                      <w:b w:val="0"/>
                      <w:bCs w:val="0"/>
                      <w:i w:val="0"/>
                      <w:iCs w:val="0"/>
                      <w:color w:val="auto"/>
                      <w:sz w:val="21"/>
                      <w:szCs w:val="21"/>
                      <w:highlight w:val="none"/>
                      <w:lang w:val="en-US" w:eastAsia="zh-CN"/>
                    </w:rPr>
                  </w:pPr>
                  <w:r>
                    <w:rPr>
                      <w:rFonts w:hint="eastAsia" w:ascii="Times New Roman" w:hAnsi="Times New Roman" w:cs="Times New Roman"/>
                      <w:b w:val="0"/>
                      <w:bCs w:val="0"/>
                      <w:i w:val="0"/>
                      <w:iCs w:val="0"/>
                      <w:color w:val="auto"/>
                      <w:sz w:val="21"/>
                      <w:szCs w:val="21"/>
                      <w:highlight w:val="none"/>
                      <w:lang w:val="en-US" w:eastAsia="zh-CN"/>
                    </w:rPr>
                    <w:t>S</w:t>
                  </w:r>
                </w:p>
              </w:tc>
              <w:tc>
                <w:tcPr>
                  <w:tcW w:w="832" w:type="dxa"/>
                  <w:tcBorders>
                    <w:tl2br w:val="nil"/>
                    <w:tr2bl w:val="nil"/>
                  </w:tcBorders>
                  <w:noWrap w:val="0"/>
                  <w:tcMar>
                    <w:top w:w="0" w:type="dxa"/>
                    <w:left w:w="0" w:type="dxa"/>
                    <w:bottom w:w="0" w:type="dxa"/>
                    <w:right w:w="0" w:type="dxa"/>
                  </w:tcMar>
                  <w:vAlign w:val="center"/>
                </w:tcPr>
                <w:p w14:paraId="55F4D097">
                  <w:pPr>
                    <w:keepNext w:val="0"/>
                    <w:keepLines w:val="0"/>
                    <w:suppressLineNumbers w:val="0"/>
                    <w:spacing w:before="0" w:beforeAutospacing="0" w:after="0" w:afterAutospacing="0"/>
                    <w:ind w:left="0" w:right="0"/>
                    <w:jc w:val="center"/>
                    <w:rPr>
                      <w:rFonts w:hint="default" w:ascii="Times New Roman" w:hAnsi="Times New Roman" w:cs="Times New Roman"/>
                      <w:b w:val="0"/>
                      <w:bCs w:val="0"/>
                      <w:i w:val="0"/>
                      <w:iCs w:val="0"/>
                      <w:color w:val="auto"/>
                      <w:sz w:val="21"/>
                      <w:szCs w:val="21"/>
                      <w:highlight w:val="none"/>
                      <w:lang w:val="en-US" w:eastAsia="zh-CN"/>
                    </w:rPr>
                  </w:pPr>
                  <w:r>
                    <w:rPr>
                      <w:rFonts w:hint="eastAsia" w:cs="Times New Roman"/>
                      <w:b w:val="0"/>
                      <w:bCs w:val="0"/>
                      <w:i w:val="0"/>
                      <w:iCs w:val="0"/>
                      <w:color w:val="auto"/>
                      <w:sz w:val="21"/>
                      <w:szCs w:val="21"/>
                      <w:highlight w:val="none"/>
                      <w:lang w:val="en-US" w:eastAsia="zh-CN"/>
                    </w:rPr>
                    <w:t>363</w:t>
                  </w:r>
                </w:p>
              </w:tc>
              <w:tc>
                <w:tcPr>
                  <w:tcW w:w="983" w:type="dxa"/>
                  <w:tcBorders>
                    <w:tl2br w:val="nil"/>
                    <w:tr2bl w:val="nil"/>
                  </w:tcBorders>
                  <w:noWrap w:val="0"/>
                  <w:tcMar>
                    <w:top w:w="0" w:type="dxa"/>
                    <w:left w:w="0" w:type="dxa"/>
                    <w:bottom w:w="0" w:type="dxa"/>
                    <w:right w:w="0" w:type="dxa"/>
                  </w:tcMar>
                  <w:vAlign w:val="center"/>
                </w:tcPr>
                <w:p w14:paraId="4EDE594A">
                  <w:pPr>
                    <w:keepNext w:val="0"/>
                    <w:keepLines w:val="0"/>
                    <w:suppressLineNumbers w:val="0"/>
                    <w:spacing w:before="0" w:beforeAutospacing="0" w:after="0" w:afterAutospacing="0"/>
                    <w:ind w:left="0" w:right="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居民</w:t>
                  </w:r>
                </w:p>
              </w:tc>
              <w:tc>
                <w:tcPr>
                  <w:tcW w:w="2152" w:type="dxa"/>
                  <w:vMerge w:val="continue"/>
                  <w:tcBorders>
                    <w:tl2br w:val="nil"/>
                    <w:tr2bl w:val="nil"/>
                  </w:tcBorders>
                  <w:noWrap w:val="0"/>
                  <w:tcMar>
                    <w:top w:w="0" w:type="dxa"/>
                    <w:left w:w="0" w:type="dxa"/>
                    <w:bottom w:w="0" w:type="dxa"/>
                    <w:right w:w="0" w:type="dxa"/>
                  </w:tcMar>
                  <w:vAlign w:val="center"/>
                </w:tcPr>
                <w:p w14:paraId="1297968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green"/>
                    </w:rPr>
                  </w:pPr>
                </w:p>
              </w:tc>
            </w:tr>
          </w:tbl>
          <w:p w14:paraId="3D538701">
            <w:pPr>
              <w:spacing w:line="360" w:lineRule="auto"/>
              <w:ind w:firstLine="480" w:firstLineChars="200"/>
              <w:rPr>
                <w:rFonts w:hAnsi="宋体"/>
                <w:b w:val="0"/>
                <w:bCs w:val="0"/>
                <w:color w:val="auto"/>
                <w:sz w:val="24"/>
                <w:szCs w:val="24"/>
                <w:highlight w:val="none"/>
              </w:rPr>
            </w:pPr>
            <w:r>
              <w:rPr>
                <w:rFonts w:hint="eastAsia" w:hAnsi="宋体"/>
                <w:b w:val="0"/>
                <w:bCs w:val="0"/>
                <w:color w:val="auto"/>
                <w:sz w:val="24"/>
                <w:szCs w:val="24"/>
                <w:highlight w:val="none"/>
                <w:lang w:eastAsia="zh-CN"/>
              </w:rPr>
              <w:t>2.</w:t>
            </w:r>
            <w:r>
              <w:rPr>
                <w:rFonts w:hint="eastAsia" w:hAnsi="宋体"/>
                <w:b w:val="0"/>
                <w:bCs w:val="0"/>
                <w:color w:val="auto"/>
                <w:sz w:val="24"/>
                <w:szCs w:val="24"/>
                <w:highlight w:val="none"/>
              </w:rPr>
              <w:t>声环境保护目标</w:t>
            </w:r>
          </w:p>
          <w:p w14:paraId="4E2577A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本项目厂界外50m范围内无声环境保护目标。</w:t>
            </w:r>
          </w:p>
          <w:p w14:paraId="770B5770">
            <w:pPr>
              <w:spacing w:line="360" w:lineRule="auto"/>
              <w:ind w:firstLine="480" w:firstLineChars="200"/>
              <w:rPr>
                <w:rFonts w:hAnsi="宋体"/>
                <w:b w:val="0"/>
                <w:bCs w:val="0"/>
                <w:color w:val="auto"/>
                <w:sz w:val="24"/>
                <w:szCs w:val="24"/>
                <w:highlight w:val="none"/>
              </w:rPr>
            </w:pPr>
            <w:r>
              <w:rPr>
                <w:rFonts w:hint="eastAsia" w:hAnsi="宋体"/>
                <w:b w:val="0"/>
                <w:bCs w:val="0"/>
                <w:color w:val="auto"/>
                <w:sz w:val="24"/>
                <w:szCs w:val="24"/>
                <w:highlight w:val="none"/>
                <w:lang w:eastAsia="zh-CN"/>
              </w:rPr>
              <w:t>3.</w:t>
            </w:r>
            <w:r>
              <w:rPr>
                <w:rFonts w:hint="eastAsia" w:hAnsi="宋体"/>
                <w:b w:val="0"/>
                <w:bCs w:val="0"/>
                <w:color w:val="auto"/>
                <w:sz w:val="24"/>
                <w:szCs w:val="24"/>
                <w:highlight w:val="none"/>
              </w:rPr>
              <w:t>地下水环境保护目标</w:t>
            </w:r>
          </w:p>
          <w:p w14:paraId="60D6BDB2">
            <w:pPr>
              <w:spacing w:line="360" w:lineRule="auto"/>
              <w:ind w:firstLine="480" w:firstLineChars="200"/>
              <w:rPr>
                <w:rFonts w:hAnsi="宋体"/>
                <w:b w:val="0"/>
                <w:bCs w:val="0"/>
                <w:color w:val="auto"/>
                <w:sz w:val="24"/>
                <w:szCs w:val="24"/>
                <w:highlight w:val="none"/>
              </w:rPr>
            </w:pPr>
            <w:r>
              <w:rPr>
                <w:rFonts w:hint="eastAsia" w:hAnsi="宋体"/>
                <w:b w:val="0"/>
                <w:bCs w:val="0"/>
                <w:color w:val="auto"/>
                <w:sz w:val="24"/>
                <w:szCs w:val="24"/>
                <w:highlight w:val="none"/>
              </w:rPr>
              <w:t>项目</w:t>
            </w:r>
            <w:r>
              <w:rPr>
                <w:rFonts w:hint="eastAsia" w:hAnsi="宋体"/>
                <w:b w:val="0"/>
                <w:bCs w:val="0"/>
                <w:color w:val="auto"/>
                <w:sz w:val="24"/>
                <w:szCs w:val="24"/>
                <w:highlight w:val="none"/>
                <w:lang w:val="en-US" w:eastAsia="zh-CN"/>
              </w:rPr>
              <w:t>供热站</w:t>
            </w:r>
            <w:r>
              <w:rPr>
                <w:rFonts w:hint="eastAsia" w:hAnsi="宋体"/>
                <w:b w:val="0"/>
                <w:bCs w:val="0"/>
                <w:color w:val="auto"/>
                <w:sz w:val="24"/>
                <w:szCs w:val="24"/>
                <w:highlight w:val="none"/>
              </w:rPr>
              <w:t>外500m范围内无地下水集中式饮用水水源和热水、矿泉水、温泉等特殊地下水资源。</w:t>
            </w:r>
          </w:p>
          <w:p w14:paraId="11629E06">
            <w:pPr>
              <w:spacing w:line="360" w:lineRule="auto"/>
              <w:ind w:firstLine="480" w:firstLineChars="200"/>
              <w:rPr>
                <w:rFonts w:hint="eastAsia" w:ascii="Times New Roman" w:hAnsi="宋体" w:eastAsia="宋体" w:cs="Times New Roman"/>
                <w:b w:val="0"/>
                <w:bCs w:val="0"/>
                <w:color w:val="auto"/>
                <w:sz w:val="24"/>
                <w:szCs w:val="24"/>
                <w:highlight w:val="none"/>
              </w:rPr>
            </w:pPr>
            <w:r>
              <w:rPr>
                <w:rFonts w:hint="eastAsia" w:hAnsi="宋体"/>
                <w:b w:val="0"/>
                <w:bCs w:val="0"/>
                <w:color w:val="auto"/>
                <w:sz w:val="24"/>
                <w:szCs w:val="24"/>
                <w:highlight w:val="none"/>
                <w:lang w:eastAsia="zh-CN"/>
              </w:rPr>
              <w:t>4.</w:t>
            </w:r>
            <w:r>
              <w:rPr>
                <w:rFonts w:hint="eastAsia" w:hAnsi="宋体"/>
                <w:b w:val="0"/>
                <w:bCs w:val="0"/>
                <w:color w:val="auto"/>
                <w:sz w:val="24"/>
                <w:szCs w:val="24"/>
                <w:highlight w:val="none"/>
              </w:rPr>
              <w:t>生态环境保护目标</w:t>
            </w:r>
          </w:p>
          <w:p w14:paraId="6D674764">
            <w:pPr>
              <w:spacing w:line="360" w:lineRule="auto"/>
              <w:ind w:firstLine="480" w:firstLineChars="200"/>
              <w:rPr>
                <w:rFonts w:hint="eastAsia" w:ascii="Times New Roman" w:hAnsi="宋体" w:eastAsia="宋体" w:cs="Times New Roman"/>
                <w:b w:val="0"/>
                <w:bCs w:val="0"/>
                <w:color w:val="auto"/>
                <w:sz w:val="24"/>
                <w:szCs w:val="24"/>
                <w:highlight w:val="none"/>
              </w:rPr>
            </w:pPr>
            <w:r>
              <w:rPr>
                <w:rFonts w:hint="eastAsia" w:ascii="Times New Roman" w:hAnsi="宋体" w:eastAsia="宋体" w:cs="Times New Roman"/>
                <w:b w:val="0"/>
                <w:bCs w:val="0"/>
                <w:color w:val="auto"/>
                <w:sz w:val="24"/>
                <w:szCs w:val="24"/>
                <w:highlight w:val="none"/>
              </w:rPr>
              <w:t>本项目用地范围内不涉及生态环境保护目标。</w:t>
            </w:r>
          </w:p>
          <w:p w14:paraId="6455F3CB">
            <w:pPr>
              <w:pStyle w:val="30"/>
              <w:rPr>
                <w:rFonts w:hint="eastAsia" w:ascii="Times New Roman" w:hAnsi="宋体" w:eastAsia="宋体" w:cs="Times New Roman"/>
                <w:b w:val="0"/>
                <w:bCs w:val="0"/>
                <w:color w:val="auto"/>
                <w:sz w:val="24"/>
                <w:szCs w:val="24"/>
                <w:highlight w:val="green"/>
              </w:rPr>
            </w:pPr>
          </w:p>
          <w:p w14:paraId="7A0F6285">
            <w:pPr>
              <w:rPr>
                <w:rFonts w:hint="eastAsia" w:ascii="Times New Roman" w:hAnsi="宋体" w:eastAsia="宋体" w:cs="Times New Roman"/>
                <w:b w:val="0"/>
                <w:bCs w:val="0"/>
                <w:color w:val="auto"/>
                <w:sz w:val="24"/>
                <w:szCs w:val="24"/>
                <w:highlight w:val="green"/>
              </w:rPr>
            </w:pPr>
          </w:p>
          <w:p w14:paraId="2534DD50">
            <w:pPr>
              <w:rPr>
                <w:rFonts w:hint="eastAsia" w:ascii="Times New Roman" w:hAnsi="宋体" w:eastAsia="宋体" w:cs="Times New Roman"/>
                <w:b w:val="0"/>
                <w:bCs w:val="0"/>
                <w:color w:val="auto"/>
                <w:sz w:val="24"/>
                <w:szCs w:val="24"/>
                <w:highlight w:val="green"/>
              </w:rPr>
            </w:pPr>
          </w:p>
          <w:p w14:paraId="4A5B1269">
            <w:pPr>
              <w:spacing w:line="360" w:lineRule="auto"/>
              <w:ind w:firstLine="480" w:firstLineChars="200"/>
              <w:rPr>
                <w:b w:val="0"/>
                <w:bCs w:val="0"/>
                <w:color w:val="auto"/>
                <w:sz w:val="24"/>
                <w:szCs w:val="24"/>
                <w:highlight w:val="green"/>
              </w:rPr>
            </w:pPr>
          </w:p>
        </w:tc>
      </w:tr>
      <w:tr w14:paraId="0B1AFF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90" w:hRule="atLeast"/>
        </w:trPr>
        <w:tc>
          <w:tcPr>
            <w:tcW w:w="828" w:type="dxa"/>
            <w:noWrap w:val="0"/>
            <w:tcMar>
              <w:left w:w="28" w:type="dxa"/>
              <w:right w:w="28" w:type="dxa"/>
            </w:tcMar>
            <w:vAlign w:val="center"/>
          </w:tcPr>
          <w:p w14:paraId="79CFA535">
            <w:pPr>
              <w:adjustRightInd w:val="0"/>
              <w:snapToGrid w:val="0"/>
              <w:jc w:val="center"/>
              <w:rPr>
                <w:b w:val="0"/>
                <w:bCs w:val="0"/>
                <w:color w:val="auto"/>
                <w:kern w:val="0"/>
                <w:sz w:val="24"/>
                <w:szCs w:val="24"/>
                <w:highlight w:val="none"/>
              </w:rPr>
            </w:pPr>
            <w:r>
              <w:rPr>
                <w:rFonts w:hAnsi="宋体"/>
                <w:b w:val="0"/>
                <w:bCs w:val="0"/>
                <w:color w:val="auto"/>
                <w:kern w:val="0"/>
                <w:sz w:val="24"/>
                <w:szCs w:val="24"/>
                <w:highlight w:val="none"/>
              </w:rPr>
              <w:t>污染</w:t>
            </w:r>
          </w:p>
          <w:p w14:paraId="4907911F">
            <w:pPr>
              <w:adjustRightInd w:val="0"/>
              <w:snapToGrid w:val="0"/>
              <w:jc w:val="center"/>
              <w:rPr>
                <w:b w:val="0"/>
                <w:bCs w:val="0"/>
                <w:color w:val="auto"/>
                <w:kern w:val="0"/>
                <w:sz w:val="24"/>
                <w:szCs w:val="24"/>
                <w:highlight w:val="none"/>
              </w:rPr>
            </w:pPr>
            <w:r>
              <w:rPr>
                <w:rFonts w:hAnsi="宋体"/>
                <w:b w:val="0"/>
                <w:bCs w:val="0"/>
                <w:color w:val="auto"/>
                <w:kern w:val="0"/>
                <w:sz w:val="24"/>
                <w:szCs w:val="24"/>
                <w:highlight w:val="none"/>
              </w:rPr>
              <w:t>物排</w:t>
            </w:r>
          </w:p>
          <w:p w14:paraId="04C38224">
            <w:pPr>
              <w:adjustRightInd w:val="0"/>
              <w:snapToGrid w:val="0"/>
              <w:jc w:val="center"/>
              <w:rPr>
                <w:b w:val="0"/>
                <w:bCs w:val="0"/>
                <w:color w:val="auto"/>
                <w:kern w:val="0"/>
                <w:sz w:val="24"/>
                <w:szCs w:val="24"/>
                <w:highlight w:val="none"/>
              </w:rPr>
            </w:pPr>
            <w:r>
              <w:rPr>
                <w:rFonts w:hAnsi="宋体"/>
                <w:b w:val="0"/>
                <w:bCs w:val="0"/>
                <w:color w:val="auto"/>
                <w:kern w:val="0"/>
                <w:sz w:val="24"/>
                <w:szCs w:val="24"/>
                <w:highlight w:val="none"/>
              </w:rPr>
              <w:t>放控</w:t>
            </w:r>
          </w:p>
          <w:p w14:paraId="04BB42F5">
            <w:pPr>
              <w:adjustRightInd w:val="0"/>
              <w:snapToGrid w:val="0"/>
              <w:jc w:val="center"/>
              <w:rPr>
                <w:b w:val="0"/>
                <w:bCs w:val="0"/>
                <w:color w:val="auto"/>
                <w:kern w:val="0"/>
                <w:sz w:val="24"/>
                <w:szCs w:val="24"/>
                <w:highlight w:val="none"/>
              </w:rPr>
            </w:pPr>
            <w:r>
              <w:rPr>
                <w:rFonts w:hAnsi="宋体"/>
                <w:b w:val="0"/>
                <w:bCs w:val="0"/>
                <w:color w:val="auto"/>
                <w:kern w:val="0"/>
                <w:sz w:val="24"/>
                <w:szCs w:val="24"/>
                <w:highlight w:val="none"/>
              </w:rPr>
              <w:t>制标</w:t>
            </w:r>
          </w:p>
          <w:p w14:paraId="104B4016">
            <w:pPr>
              <w:adjustRightInd w:val="0"/>
              <w:snapToGrid w:val="0"/>
              <w:jc w:val="center"/>
              <w:rPr>
                <w:b w:val="0"/>
                <w:bCs w:val="0"/>
                <w:color w:val="auto"/>
                <w:kern w:val="0"/>
                <w:sz w:val="24"/>
                <w:szCs w:val="24"/>
                <w:highlight w:val="green"/>
              </w:rPr>
            </w:pPr>
            <w:r>
              <w:rPr>
                <w:rFonts w:hAnsi="宋体"/>
                <w:b w:val="0"/>
                <w:bCs w:val="0"/>
                <w:color w:val="auto"/>
                <w:kern w:val="0"/>
                <w:sz w:val="24"/>
                <w:szCs w:val="24"/>
                <w:highlight w:val="none"/>
              </w:rPr>
              <w:t>准</w:t>
            </w:r>
          </w:p>
        </w:tc>
        <w:tc>
          <w:tcPr>
            <w:tcW w:w="8814" w:type="dxa"/>
            <w:noWrap w:val="0"/>
            <w:vAlign w:val="center"/>
          </w:tcPr>
          <w:p w14:paraId="7683D636">
            <w:pPr>
              <w:autoSpaceDE w:val="0"/>
              <w:autoSpaceDN w:val="0"/>
              <w:spacing w:line="360" w:lineRule="auto"/>
              <w:ind w:firstLine="480" w:firstLineChars="200"/>
              <w:rPr>
                <w:rFonts w:hint="eastAsia" w:eastAsia="宋体"/>
                <w:b w:val="0"/>
                <w:bCs w:val="0"/>
                <w:color w:val="auto"/>
                <w:kern w:val="0"/>
                <w:sz w:val="24"/>
                <w:szCs w:val="24"/>
                <w:highlight w:val="none"/>
                <w:lang w:eastAsia="zh-CN"/>
              </w:rPr>
            </w:pPr>
            <w:r>
              <w:rPr>
                <w:rFonts w:hint="eastAsia"/>
                <w:b w:val="0"/>
                <w:bCs w:val="0"/>
                <w:color w:val="auto"/>
                <w:kern w:val="0"/>
                <w:sz w:val="24"/>
                <w:szCs w:val="24"/>
                <w:highlight w:val="none"/>
                <w:lang w:eastAsia="zh-CN"/>
              </w:rPr>
              <w:t>1.</w:t>
            </w:r>
            <w:r>
              <w:rPr>
                <w:rFonts w:hAnsi="宋体"/>
                <w:b w:val="0"/>
                <w:bCs w:val="0"/>
                <w:color w:val="auto"/>
                <w:kern w:val="0"/>
                <w:sz w:val="24"/>
                <w:szCs w:val="24"/>
                <w:highlight w:val="none"/>
              </w:rPr>
              <w:t>废气</w:t>
            </w:r>
            <w:r>
              <w:rPr>
                <w:rFonts w:hint="eastAsia" w:hAnsi="宋体"/>
                <w:b w:val="0"/>
                <w:bCs w:val="0"/>
                <w:color w:val="auto"/>
                <w:kern w:val="0"/>
                <w:sz w:val="24"/>
                <w:szCs w:val="24"/>
                <w:highlight w:val="none"/>
                <w:lang w:eastAsia="zh-CN"/>
              </w:rPr>
              <w:t>排放标准</w:t>
            </w:r>
          </w:p>
          <w:p w14:paraId="6732C944">
            <w:pPr>
              <w:autoSpaceDE w:val="0"/>
              <w:autoSpaceDN w:val="0"/>
              <w:spacing w:line="360" w:lineRule="auto"/>
              <w:ind w:firstLine="480" w:firstLineChars="200"/>
              <w:rPr>
                <w:rFonts w:hint="eastAsia" w:ascii="Times New Roman" w:hAnsi="Times New Roman" w:eastAsia="宋体" w:cs="Times New Roman"/>
                <w:b w:val="0"/>
                <w:bCs w:val="0"/>
                <w:color w:val="auto"/>
                <w:kern w:val="0"/>
                <w:sz w:val="24"/>
                <w:szCs w:val="24"/>
                <w:highlight w:val="none"/>
                <w:lang w:eastAsia="zh-CN"/>
              </w:rPr>
            </w:pPr>
            <w:r>
              <w:rPr>
                <w:rFonts w:hint="eastAsia" w:ascii="Times New Roman" w:hAnsi="Times New Roman" w:eastAsia="宋体" w:cs="Times New Roman"/>
                <w:b w:val="0"/>
                <w:bCs w:val="0"/>
                <w:color w:val="auto"/>
                <w:kern w:val="0"/>
                <w:sz w:val="24"/>
                <w:szCs w:val="24"/>
                <w:highlight w:val="none"/>
                <w:lang w:val="en-US" w:eastAsia="zh-CN"/>
              </w:rPr>
              <w:t>运营期锅炉燃烧废气中二氧化硫、氮氧化物、颗粒物执行《锅炉大气污染物排放标准》（DB61/1226-2018）中规定限值，林格曼黑度执行《锅炉大气污染物排放标准》（GB13271-2014）中表3要求，具体见表3-</w:t>
            </w:r>
            <w:r>
              <w:rPr>
                <w:rFonts w:hint="eastAsia" w:cs="Times New Roman"/>
                <w:b w:val="0"/>
                <w:bCs w:val="0"/>
                <w:color w:val="auto"/>
                <w:kern w:val="0"/>
                <w:sz w:val="24"/>
                <w:szCs w:val="24"/>
                <w:highlight w:val="none"/>
                <w:lang w:val="en-US" w:eastAsia="zh-CN"/>
              </w:rPr>
              <w:t>9</w:t>
            </w:r>
            <w:r>
              <w:rPr>
                <w:rFonts w:hint="eastAsia" w:ascii="Times New Roman" w:hAnsi="Times New Roman" w:eastAsia="宋体" w:cs="Times New Roman"/>
                <w:b w:val="0"/>
                <w:bCs w:val="0"/>
                <w:color w:val="auto"/>
                <w:kern w:val="0"/>
                <w:sz w:val="24"/>
                <w:szCs w:val="24"/>
                <w:highlight w:val="none"/>
                <w:lang w:val="en-US" w:eastAsia="zh-CN"/>
              </w:rPr>
              <w:t>。</w:t>
            </w:r>
          </w:p>
          <w:p w14:paraId="0DF5A67D">
            <w:pPr>
              <w:adjustRightInd w:val="0"/>
              <w:snapToGrid w:val="0"/>
              <w:spacing w:line="240" w:lineRule="auto"/>
              <w:jc w:val="center"/>
              <w:rPr>
                <w:b/>
                <w:bCs/>
                <w:color w:val="auto"/>
                <w:sz w:val="24"/>
                <w:szCs w:val="24"/>
                <w:highlight w:val="none"/>
              </w:rPr>
            </w:pPr>
            <w:r>
              <w:rPr>
                <w:b/>
                <w:bCs/>
                <w:color w:val="auto"/>
                <w:sz w:val="24"/>
                <w:szCs w:val="24"/>
                <w:highlight w:val="none"/>
              </w:rPr>
              <w:t>表</w:t>
            </w:r>
            <w:r>
              <w:rPr>
                <w:rFonts w:hint="eastAsia"/>
                <w:b/>
                <w:bCs/>
                <w:color w:val="auto"/>
                <w:sz w:val="24"/>
                <w:szCs w:val="24"/>
                <w:highlight w:val="none"/>
              </w:rPr>
              <w:t>3-</w:t>
            </w:r>
            <w:r>
              <w:rPr>
                <w:rFonts w:hint="eastAsia"/>
                <w:b/>
                <w:bCs/>
                <w:color w:val="auto"/>
                <w:sz w:val="24"/>
                <w:szCs w:val="24"/>
                <w:highlight w:val="none"/>
                <w:lang w:val="en-US" w:eastAsia="zh-CN"/>
              </w:rPr>
              <w:t>9</w:t>
            </w:r>
            <w:r>
              <w:rPr>
                <w:rFonts w:hint="eastAsia"/>
                <w:b/>
                <w:bCs/>
                <w:color w:val="auto"/>
                <w:sz w:val="24"/>
                <w:szCs w:val="24"/>
                <w:highlight w:val="none"/>
              </w:rPr>
              <w:t xml:space="preserve">   </w:t>
            </w:r>
            <w:r>
              <w:rPr>
                <w:b/>
                <w:bCs/>
                <w:color w:val="auto"/>
                <w:sz w:val="24"/>
                <w:szCs w:val="24"/>
                <w:highlight w:val="none"/>
              </w:rPr>
              <w:t>大气污染物排放标准一览表</w:t>
            </w:r>
          </w:p>
          <w:tbl>
            <w:tblPr>
              <w:tblStyle w:val="3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2223"/>
              <w:gridCol w:w="3537"/>
            </w:tblGrid>
            <w:tr w14:paraId="3B12BF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5" w:type="dxa"/>
                  <w:tcBorders>
                    <w:tl2br w:val="nil"/>
                    <w:tr2bl w:val="nil"/>
                  </w:tcBorders>
                  <w:noWrap w:val="0"/>
                  <w:vAlign w:val="center"/>
                </w:tcPr>
                <w:p w14:paraId="2BF8FD5A">
                  <w:pPr>
                    <w:jc w:val="center"/>
                    <w:rPr>
                      <w:b/>
                      <w:bCs/>
                      <w:color w:val="auto"/>
                      <w:sz w:val="21"/>
                      <w:szCs w:val="21"/>
                      <w:highlight w:val="none"/>
                    </w:rPr>
                  </w:pPr>
                  <w:r>
                    <w:rPr>
                      <w:b/>
                      <w:bCs/>
                      <w:color w:val="auto"/>
                      <w:sz w:val="21"/>
                      <w:szCs w:val="21"/>
                      <w:highlight w:val="none"/>
                    </w:rPr>
                    <w:t>污染物</w:t>
                  </w:r>
                </w:p>
              </w:tc>
              <w:tc>
                <w:tcPr>
                  <w:tcW w:w="2223" w:type="dxa"/>
                  <w:tcBorders>
                    <w:tl2br w:val="nil"/>
                    <w:tr2bl w:val="nil"/>
                  </w:tcBorders>
                  <w:noWrap w:val="0"/>
                  <w:vAlign w:val="center"/>
                </w:tcPr>
                <w:p w14:paraId="6901FD37">
                  <w:pPr>
                    <w:adjustRightInd w:val="0"/>
                    <w:snapToGrid w:val="0"/>
                    <w:jc w:val="center"/>
                    <w:outlineLvl w:val="0"/>
                    <w:rPr>
                      <w:b/>
                      <w:bCs/>
                      <w:color w:val="auto"/>
                      <w:sz w:val="21"/>
                      <w:szCs w:val="21"/>
                      <w:highlight w:val="none"/>
                    </w:rPr>
                  </w:pPr>
                  <w:bookmarkStart w:id="6" w:name="_Toc26302"/>
                  <w:r>
                    <w:rPr>
                      <w:b/>
                      <w:bCs/>
                      <w:color w:val="auto"/>
                      <w:sz w:val="21"/>
                      <w:szCs w:val="21"/>
                      <w:highlight w:val="none"/>
                    </w:rPr>
                    <w:t>排放浓度</w:t>
                  </w:r>
                  <w:bookmarkEnd w:id="6"/>
                </w:p>
              </w:tc>
              <w:tc>
                <w:tcPr>
                  <w:tcW w:w="3537" w:type="dxa"/>
                  <w:tcBorders>
                    <w:tl2br w:val="nil"/>
                    <w:tr2bl w:val="nil"/>
                  </w:tcBorders>
                  <w:noWrap w:val="0"/>
                  <w:vAlign w:val="center"/>
                </w:tcPr>
                <w:p w14:paraId="453471FA">
                  <w:pPr>
                    <w:adjustRightInd w:val="0"/>
                    <w:snapToGrid w:val="0"/>
                    <w:jc w:val="center"/>
                    <w:outlineLvl w:val="0"/>
                    <w:rPr>
                      <w:b/>
                      <w:bCs/>
                      <w:color w:val="auto"/>
                      <w:sz w:val="21"/>
                      <w:szCs w:val="21"/>
                      <w:highlight w:val="none"/>
                    </w:rPr>
                  </w:pPr>
                  <w:bookmarkStart w:id="7" w:name="_Toc28236"/>
                  <w:r>
                    <w:rPr>
                      <w:rFonts w:hint="eastAsia"/>
                      <w:b/>
                      <w:bCs/>
                      <w:color w:val="auto"/>
                      <w:sz w:val="21"/>
                      <w:szCs w:val="21"/>
                      <w:highlight w:val="none"/>
                    </w:rPr>
                    <w:t>执行标准</w:t>
                  </w:r>
                  <w:bookmarkEnd w:id="7"/>
                </w:p>
              </w:tc>
            </w:tr>
            <w:tr w14:paraId="7A00C2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5" w:type="dxa"/>
                  <w:tcBorders>
                    <w:tl2br w:val="nil"/>
                    <w:tr2bl w:val="nil"/>
                  </w:tcBorders>
                  <w:noWrap w:val="0"/>
                  <w:vAlign w:val="center"/>
                </w:tcPr>
                <w:p w14:paraId="1829161B">
                  <w:pPr>
                    <w:adjustRightInd w:val="0"/>
                    <w:snapToGrid w:val="0"/>
                    <w:jc w:val="center"/>
                    <w:outlineLvl w:val="0"/>
                    <w:rPr>
                      <w:b w:val="0"/>
                      <w:bCs w:val="0"/>
                      <w:color w:val="auto"/>
                      <w:sz w:val="21"/>
                      <w:szCs w:val="21"/>
                      <w:highlight w:val="none"/>
                    </w:rPr>
                  </w:pPr>
                  <w:bookmarkStart w:id="8" w:name="_Toc24481"/>
                  <w:r>
                    <w:rPr>
                      <w:b w:val="0"/>
                      <w:bCs w:val="0"/>
                      <w:color w:val="auto"/>
                      <w:sz w:val="21"/>
                      <w:szCs w:val="21"/>
                      <w:highlight w:val="none"/>
                    </w:rPr>
                    <w:t>颗粒物</w:t>
                  </w:r>
                  <w:bookmarkEnd w:id="8"/>
                </w:p>
              </w:tc>
              <w:tc>
                <w:tcPr>
                  <w:tcW w:w="2223" w:type="dxa"/>
                  <w:tcBorders>
                    <w:tl2br w:val="nil"/>
                    <w:tr2bl w:val="nil"/>
                  </w:tcBorders>
                  <w:noWrap w:val="0"/>
                  <w:vAlign w:val="center"/>
                </w:tcPr>
                <w:p w14:paraId="392874C7">
                  <w:pPr>
                    <w:adjustRightInd w:val="0"/>
                    <w:snapToGrid w:val="0"/>
                    <w:jc w:val="center"/>
                    <w:outlineLvl w:val="0"/>
                    <w:rPr>
                      <w:b w:val="0"/>
                      <w:bCs w:val="0"/>
                      <w:color w:val="auto"/>
                      <w:sz w:val="21"/>
                      <w:szCs w:val="21"/>
                      <w:highlight w:val="none"/>
                    </w:rPr>
                  </w:pPr>
                  <w:bookmarkStart w:id="9" w:name="_Toc20887"/>
                  <w:r>
                    <w:rPr>
                      <w:b w:val="0"/>
                      <w:bCs w:val="0"/>
                      <w:color w:val="auto"/>
                      <w:sz w:val="21"/>
                      <w:szCs w:val="21"/>
                      <w:highlight w:val="none"/>
                    </w:rPr>
                    <w:t>10mg/m</w:t>
                  </w:r>
                  <w:r>
                    <w:rPr>
                      <w:b w:val="0"/>
                      <w:bCs w:val="0"/>
                      <w:color w:val="auto"/>
                      <w:sz w:val="21"/>
                      <w:szCs w:val="21"/>
                      <w:highlight w:val="none"/>
                      <w:vertAlign w:val="superscript"/>
                    </w:rPr>
                    <w:t>3</w:t>
                  </w:r>
                  <w:bookmarkEnd w:id="9"/>
                </w:p>
              </w:tc>
              <w:tc>
                <w:tcPr>
                  <w:tcW w:w="3537" w:type="dxa"/>
                  <w:vMerge w:val="restart"/>
                  <w:tcBorders>
                    <w:tl2br w:val="nil"/>
                    <w:tr2bl w:val="nil"/>
                  </w:tcBorders>
                  <w:noWrap w:val="0"/>
                  <w:vAlign w:val="center"/>
                </w:tcPr>
                <w:p w14:paraId="6D6A2130">
                  <w:pPr>
                    <w:adjustRightInd w:val="0"/>
                    <w:snapToGrid w:val="0"/>
                    <w:jc w:val="center"/>
                    <w:outlineLvl w:val="0"/>
                    <w:rPr>
                      <w:b w:val="0"/>
                      <w:bCs w:val="0"/>
                      <w:color w:val="auto"/>
                      <w:sz w:val="21"/>
                      <w:szCs w:val="21"/>
                      <w:highlight w:val="none"/>
                    </w:rPr>
                  </w:pPr>
                  <w:bookmarkStart w:id="10" w:name="_Toc20488"/>
                  <w:r>
                    <w:rPr>
                      <w:b w:val="0"/>
                      <w:bCs w:val="0"/>
                      <w:color w:val="auto"/>
                      <w:sz w:val="21"/>
                      <w:szCs w:val="21"/>
                      <w:highlight w:val="none"/>
                    </w:rPr>
                    <w:t>《锅炉大气污染物排放标准》DB61/1226-2018</w:t>
                  </w:r>
                  <w:bookmarkEnd w:id="10"/>
                </w:p>
              </w:tc>
            </w:tr>
            <w:tr w14:paraId="7701E6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5" w:type="dxa"/>
                  <w:tcBorders>
                    <w:tl2br w:val="nil"/>
                    <w:tr2bl w:val="nil"/>
                  </w:tcBorders>
                  <w:noWrap w:val="0"/>
                  <w:vAlign w:val="center"/>
                </w:tcPr>
                <w:p w14:paraId="3707288F">
                  <w:pPr>
                    <w:adjustRightInd w:val="0"/>
                    <w:snapToGrid w:val="0"/>
                    <w:jc w:val="center"/>
                    <w:outlineLvl w:val="0"/>
                    <w:rPr>
                      <w:b w:val="0"/>
                      <w:bCs w:val="0"/>
                      <w:color w:val="auto"/>
                      <w:sz w:val="21"/>
                      <w:szCs w:val="21"/>
                      <w:highlight w:val="none"/>
                    </w:rPr>
                  </w:pPr>
                  <w:bookmarkStart w:id="11" w:name="_Toc9511"/>
                  <w:r>
                    <w:rPr>
                      <w:b w:val="0"/>
                      <w:bCs w:val="0"/>
                      <w:color w:val="auto"/>
                      <w:sz w:val="21"/>
                      <w:szCs w:val="21"/>
                      <w:highlight w:val="none"/>
                    </w:rPr>
                    <w:t>SO</w:t>
                  </w:r>
                  <w:r>
                    <w:rPr>
                      <w:b w:val="0"/>
                      <w:bCs w:val="0"/>
                      <w:color w:val="auto"/>
                      <w:sz w:val="21"/>
                      <w:szCs w:val="21"/>
                      <w:highlight w:val="none"/>
                      <w:vertAlign w:val="subscript"/>
                    </w:rPr>
                    <w:t>2</w:t>
                  </w:r>
                  <w:bookmarkEnd w:id="11"/>
                </w:p>
              </w:tc>
              <w:tc>
                <w:tcPr>
                  <w:tcW w:w="2223" w:type="dxa"/>
                  <w:tcBorders>
                    <w:tl2br w:val="nil"/>
                    <w:tr2bl w:val="nil"/>
                  </w:tcBorders>
                  <w:noWrap w:val="0"/>
                  <w:vAlign w:val="center"/>
                </w:tcPr>
                <w:p w14:paraId="0FC02DF8">
                  <w:pPr>
                    <w:adjustRightInd w:val="0"/>
                    <w:snapToGrid w:val="0"/>
                    <w:jc w:val="center"/>
                    <w:outlineLvl w:val="0"/>
                    <w:rPr>
                      <w:b w:val="0"/>
                      <w:bCs w:val="0"/>
                      <w:color w:val="auto"/>
                      <w:sz w:val="21"/>
                      <w:szCs w:val="21"/>
                      <w:highlight w:val="none"/>
                    </w:rPr>
                  </w:pPr>
                  <w:bookmarkStart w:id="12" w:name="_Toc3109"/>
                  <w:r>
                    <w:rPr>
                      <w:b w:val="0"/>
                      <w:bCs w:val="0"/>
                      <w:color w:val="auto"/>
                      <w:sz w:val="21"/>
                      <w:szCs w:val="21"/>
                      <w:highlight w:val="none"/>
                    </w:rPr>
                    <w:t>20mg/m</w:t>
                  </w:r>
                  <w:r>
                    <w:rPr>
                      <w:b w:val="0"/>
                      <w:bCs w:val="0"/>
                      <w:color w:val="auto"/>
                      <w:sz w:val="21"/>
                      <w:szCs w:val="21"/>
                      <w:highlight w:val="none"/>
                      <w:vertAlign w:val="superscript"/>
                    </w:rPr>
                    <w:t>3</w:t>
                  </w:r>
                  <w:bookmarkEnd w:id="12"/>
                </w:p>
              </w:tc>
              <w:tc>
                <w:tcPr>
                  <w:tcW w:w="3537" w:type="dxa"/>
                  <w:vMerge w:val="continue"/>
                  <w:tcBorders>
                    <w:tl2br w:val="nil"/>
                    <w:tr2bl w:val="nil"/>
                  </w:tcBorders>
                  <w:noWrap w:val="0"/>
                  <w:vAlign w:val="center"/>
                </w:tcPr>
                <w:p w14:paraId="2FBD77D0">
                  <w:pPr>
                    <w:adjustRightInd w:val="0"/>
                    <w:snapToGrid w:val="0"/>
                    <w:jc w:val="center"/>
                    <w:outlineLvl w:val="0"/>
                    <w:rPr>
                      <w:b w:val="0"/>
                      <w:bCs w:val="0"/>
                      <w:color w:val="auto"/>
                      <w:sz w:val="21"/>
                      <w:szCs w:val="21"/>
                      <w:highlight w:val="none"/>
                    </w:rPr>
                  </w:pPr>
                </w:p>
              </w:tc>
            </w:tr>
            <w:tr w14:paraId="1F38AF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5" w:type="dxa"/>
                  <w:tcBorders>
                    <w:tl2br w:val="nil"/>
                    <w:tr2bl w:val="nil"/>
                  </w:tcBorders>
                  <w:noWrap w:val="0"/>
                  <w:vAlign w:val="center"/>
                </w:tcPr>
                <w:p w14:paraId="2086ACD0">
                  <w:pPr>
                    <w:adjustRightInd w:val="0"/>
                    <w:snapToGrid w:val="0"/>
                    <w:jc w:val="center"/>
                    <w:outlineLvl w:val="0"/>
                    <w:rPr>
                      <w:b w:val="0"/>
                      <w:bCs w:val="0"/>
                      <w:color w:val="auto"/>
                      <w:sz w:val="21"/>
                      <w:szCs w:val="21"/>
                      <w:highlight w:val="none"/>
                    </w:rPr>
                  </w:pPr>
                  <w:bookmarkStart w:id="13" w:name="_Toc23822"/>
                  <w:r>
                    <w:rPr>
                      <w:b w:val="0"/>
                      <w:bCs w:val="0"/>
                      <w:color w:val="auto"/>
                      <w:sz w:val="21"/>
                      <w:szCs w:val="21"/>
                      <w:highlight w:val="none"/>
                    </w:rPr>
                    <w:t>NO</w:t>
                  </w:r>
                  <w:r>
                    <w:rPr>
                      <w:b w:val="0"/>
                      <w:bCs w:val="0"/>
                      <w:color w:val="auto"/>
                      <w:sz w:val="21"/>
                      <w:szCs w:val="21"/>
                      <w:highlight w:val="none"/>
                      <w:vertAlign w:val="subscript"/>
                    </w:rPr>
                    <w:t>X</w:t>
                  </w:r>
                  <w:bookmarkEnd w:id="13"/>
                </w:p>
              </w:tc>
              <w:tc>
                <w:tcPr>
                  <w:tcW w:w="2223" w:type="dxa"/>
                  <w:tcBorders>
                    <w:tl2br w:val="nil"/>
                    <w:tr2bl w:val="nil"/>
                  </w:tcBorders>
                  <w:noWrap w:val="0"/>
                  <w:vAlign w:val="center"/>
                </w:tcPr>
                <w:p w14:paraId="39211CCC">
                  <w:pPr>
                    <w:adjustRightInd w:val="0"/>
                    <w:snapToGrid w:val="0"/>
                    <w:jc w:val="center"/>
                    <w:outlineLvl w:val="0"/>
                    <w:rPr>
                      <w:b w:val="0"/>
                      <w:bCs w:val="0"/>
                      <w:color w:val="auto"/>
                      <w:sz w:val="21"/>
                      <w:szCs w:val="21"/>
                      <w:highlight w:val="none"/>
                    </w:rPr>
                  </w:pPr>
                  <w:bookmarkStart w:id="14" w:name="_Toc28120"/>
                  <w:r>
                    <w:rPr>
                      <w:rFonts w:hint="eastAsia"/>
                      <w:b w:val="0"/>
                      <w:bCs w:val="0"/>
                      <w:color w:val="auto"/>
                      <w:sz w:val="21"/>
                      <w:szCs w:val="21"/>
                      <w:highlight w:val="none"/>
                      <w:lang w:val="en-US" w:eastAsia="zh-CN"/>
                    </w:rPr>
                    <w:t>5</w:t>
                  </w:r>
                  <w:r>
                    <w:rPr>
                      <w:b w:val="0"/>
                      <w:bCs w:val="0"/>
                      <w:color w:val="auto"/>
                      <w:sz w:val="21"/>
                      <w:szCs w:val="21"/>
                      <w:highlight w:val="none"/>
                    </w:rPr>
                    <w:t>0mg/m</w:t>
                  </w:r>
                  <w:r>
                    <w:rPr>
                      <w:b w:val="0"/>
                      <w:bCs w:val="0"/>
                      <w:color w:val="auto"/>
                      <w:sz w:val="21"/>
                      <w:szCs w:val="21"/>
                      <w:highlight w:val="none"/>
                      <w:vertAlign w:val="superscript"/>
                    </w:rPr>
                    <w:t>3</w:t>
                  </w:r>
                  <w:bookmarkEnd w:id="14"/>
                </w:p>
              </w:tc>
              <w:tc>
                <w:tcPr>
                  <w:tcW w:w="3537" w:type="dxa"/>
                  <w:vMerge w:val="continue"/>
                  <w:tcBorders>
                    <w:tl2br w:val="nil"/>
                    <w:tr2bl w:val="nil"/>
                  </w:tcBorders>
                  <w:noWrap w:val="0"/>
                  <w:vAlign w:val="center"/>
                </w:tcPr>
                <w:p w14:paraId="4D9ED7A6">
                  <w:pPr>
                    <w:adjustRightInd w:val="0"/>
                    <w:snapToGrid w:val="0"/>
                    <w:jc w:val="center"/>
                    <w:outlineLvl w:val="0"/>
                    <w:rPr>
                      <w:b w:val="0"/>
                      <w:bCs w:val="0"/>
                      <w:color w:val="auto"/>
                      <w:sz w:val="21"/>
                      <w:szCs w:val="21"/>
                      <w:highlight w:val="none"/>
                    </w:rPr>
                  </w:pPr>
                </w:p>
              </w:tc>
            </w:tr>
            <w:tr w14:paraId="31803E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5" w:type="dxa"/>
                  <w:tcBorders>
                    <w:tl2br w:val="nil"/>
                    <w:tr2bl w:val="nil"/>
                  </w:tcBorders>
                  <w:noWrap w:val="0"/>
                  <w:vAlign w:val="center"/>
                </w:tcPr>
                <w:p w14:paraId="6FC92A97">
                  <w:pPr>
                    <w:adjustRightInd w:val="0"/>
                    <w:snapToGrid w:val="0"/>
                    <w:jc w:val="center"/>
                    <w:outlineLvl w:val="0"/>
                    <w:rPr>
                      <w:b w:val="0"/>
                      <w:bCs w:val="0"/>
                      <w:color w:val="auto"/>
                      <w:sz w:val="21"/>
                      <w:szCs w:val="21"/>
                      <w:highlight w:val="none"/>
                    </w:rPr>
                  </w:pPr>
                  <w:bookmarkStart w:id="15" w:name="_Toc12633"/>
                  <w:r>
                    <w:rPr>
                      <w:rFonts w:hint="eastAsia"/>
                      <w:b w:val="0"/>
                      <w:bCs w:val="0"/>
                      <w:color w:val="auto"/>
                      <w:sz w:val="21"/>
                      <w:szCs w:val="21"/>
                      <w:highlight w:val="none"/>
                    </w:rPr>
                    <w:t>烟气黑度（林格曼黑度，级）</w:t>
                  </w:r>
                  <w:bookmarkEnd w:id="15"/>
                </w:p>
              </w:tc>
              <w:tc>
                <w:tcPr>
                  <w:tcW w:w="2223" w:type="dxa"/>
                  <w:tcBorders>
                    <w:tl2br w:val="nil"/>
                    <w:tr2bl w:val="nil"/>
                  </w:tcBorders>
                  <w:noWrap w:val="0"/>
                  <w:vAlign w:val="center"/>
                </w:tcPr>
                <w:p w14:paraId="6B175545">
                  <w:pPr>
                    <w:adjustRightInd w:val="0"/>
                    <w:snapToGrid w:val="0"/>
                    <w:jc w:val="center"/>
                    <w:outlineLvl w:val="0"/>
                    <w:rPr>
                      <w:b w:val="0"/>
                      <w:bCs w:val="0"/>
                      <w:color w:val="auto"/>
                      <w:sz w:val="21"/>
                      <w:szCs w:val="21"/>
                      <w:highlight w:val="none"/>
                    </w:rPr>
                  </w:pPr>
                  <w:bookmarkStart w:id="16" w:name="_Toc17382"/>
                  <w:r>
                    <w:rPr>
                      <w:rFonts w:hint="eastAsia"/>
                      <w:b w:val="0"/>
                      <w:bCs w:val="0"/>
                      <w:color w:val="auto"/>
                      <w:sz w:val="21"/>
                      <w:szCs w:val="21"/>
                      <w:highlight w:val="none"/>
                    </w:rPr>
                    <w:t>≦1</w:t>
                  </w:r>
                  <w:bookmarkEnd w:id="16"/>
                </w:p>
              </w:tc>
              <w:tc>
                <w:tcPr>
                  <w:tcW w:w="3537" w:type="dxa"/>
                  <w:tcBorders>
                    <w:tl2br w:val="nil"/>
                    <w:tr2bl w:val="nil"/>
                  </w:tcBorders>
                  <w:noWrap w:val="0"/>
                  <w:vAlign w:val="center"/>
                </w:tcPr>
                <w:p w14:paraId="6298FB83">
                  <w:pPr>
                    <w:adjustRightInd w:val="0"/>
                    <w:snapToGrid w:val="0"/>
                    <w:jc w:val="center"/>
                    <w:outlineLvl w:val="0"/>
                    <w:rPr>
                      <w:b w:val="0"/>
                      <w:bCs w:val="0"/>
                      <w:color w:val="auto"/>
                      <w:sz w:val="21"/>
                      <w:szCs w:val="21"/>
                      <w:highlight w:val="none"/>
                    </w:rPr>
                  </w:pPr>
                  <w:bookmarkStart w:id="17" w:name="_Toc30975"/>
                  <w:r>
                    <w:rPr>
                      <w:b w:val="0"/>
                      <w:bCs w:val="0"/>
                      <w:color w:val="auto"/>
                      <w:sz w:val="21"/>
                      <w:szCs w:val="21"/>
                      <w:highlight w:val="none"/>
                    </w:rPr>
                    <w:t>《</w:t>
                  </w:r>
                  <w:r>
                    <w:rPr>
                      <w:rFonts w:hint="eastAsia"/>
                      <w:b w:val="0"/>
                      <w:bCs w:val="0"/>
                      <w:color w:val="auto"/>
                      <w:sz w:val="21"/>
                      <w:szCs w:val="21"/>
                      <w:highlight w:val="none"/>
                    </w:rPr>
                    <w:t>锅炉大气污染物排放标准》（GB13271-2014）</w:t>
                  </w:r>
                  <w:bookmarkEnd w:id="17"/>
                </w:p>
              </w:tc>
            </w:tr>
          </w:tbl>
          <w:p w14:paraId="32A84CD7">
            <w:pPr>
              <w:autoSpaceDE w:val="0"/>
              <w:autoSpaceDN w:val="0"/>
              <w:spacing w:line="360" w:lineRule="auto"/>
              <w:ind w:left="480"/>
              <w:rPr>
                <w:b w:val="0"/>
                <w:bCs w:val="0"/>
                <w:color w:val="auto"/>
                <w:kern w:val="0"/>
                <w:sz w:val="24"/>
                <w:szCs w:val="24"/>
                <w:highlight w:val="none"/>
              </w:rPr>
            </w:pPr>
            <w:r>
              <w:rPr>
                <w:rFonts w:hint="eastAsia"/>
                <w:b w:val="0"/>
                <w:bCs w:val="0"/>
                <w:color w:val="auto"/>
                <w:kern w:val="0"/>
                <w:sz w:val="24"/>
                <w:szCs w:val="24"/>
                <w:highlight w:val="none"/>
                <w:lang w:eastAsia="zh-CN"/>
              </w:rPr>
              <w:t>2.</w:t>
            </w:r>
            <w:r>
              <w:rPr>
                <w:rFonts w:hint="eastAsia"/>
                <w:b w:val="0"/>
                <w:bCs w:val="0"/>
                <w:color w:val="auto"/>
                <w:kern w:val="0"/>
                <w:sz w:val="24"/>
                <w:szCs w:val="24"/>
                <w:highlight w:val="none"/>
              </w:rPr>
              <w:t>废水排放标准</w:t>
            </w:r>
          </w:p>
          <w:p w14:paraId="3390D1F6">
            <w:pPr>
              <w:spacing w:line="360" w:lineRule="auto"/>
              <w:ind w:left="21" w:leftChars="10" w:firstLine="480" w:firstLineChars="200"/>
              <w:rPr>
                <w:b w:val="0"/>
                <w:bCs w:val="0"/>
                <w:color w:val="auto"/>
                <w:sz w:val="24"/>
                <w:szCs w:val="24"/>
                <w:highlight w:val="none"/>
              </w:rPr>
            </w:pPr>
            <w:r>
              <w:rPr>
                <w:rFonts w:hint="eastAsia" w:hAnsi="宋体"/>
                <w:b w:val="0"/>
                <w:bCs w:val="0"/>
                <w:color w:val="auto"/>
                <w:sz w:val="24"/>
                <w:szCs w:val="24"/>
                <w:highlight w:val="none"/>
              </w:rPr>
              <w:t>本项目运营期</w:t>
            </w:r>
            <w:r>
              <w:rPr>
                <w:rFonts w:hAnsi="宋体"/>
                <w:b w:val="0"/>
                <w:bCs w:val="0"/>
                <w:color w:val="auto"/>
                <w:sz w:val="24"/>
                <w:szCs w:val="24"/>
                <w:highlight w:val="none"/>
              </w:rPr>
              <w:t>废水排放执行《污水综合排放标准》（</w:t>
            </w:r>
            <w:r>
              <w:rPr>
                <w:b w:val="0"/>
                <w:bCs w:val="0"/>
                <w:color w:val="auto"/>
                <w:sz w:val="24"/>
                <w:szCs w:val="24"/>
                <w:highlight w:val="none"/>
              </w:rPr>
              <w:t>GB8979-1996</w:t>
            </w:r>
            <w:r>
              <w:rPr>
                <w:rFonts w:hAnsi="宋体"/>
                <w:b w:val="0"/>
                <w:bCs w:val="0"/>
                <w:color w:val="auto"/>
                <w:sz w:val="24"/>
                <w:szCs w:val="24"/>
                <w:highlight w:val="none"/>
              </w:rPr>
              <w:t>）中的三级标准及《</w:t>
            </w:r>
            <w:r>
              <w:rPr>
                <w:rFonts w:hint="eastAsia" w:hAnsi="宋体"/>
                <w:b w:val="0"/>
                <w:bCs w:val="0"/>
                <w:color w:val="auto"/>
                <w:sz w:val="24"/>
                <w:szCs w:val="24"/>
                <w:highlight w:val="none"/>
                <w:lang w:eastAsia="zh-CN"/>
              </w:rPr>
              <w:t>污水排入城镇下水道水质标准</w:t>
            </w:r>
            <w:r>
              <w:rPr>
                <w:rFonts w:hAnsi="宋体"/>
                <w:b w:val="0"/>
                <w:bCs w:val="0"/>
                <w:color w:val="auto"/>
                <w:sz w:val="24"/>
                <w:szCs w:val="24"/>
                <w:highlight w:val="none"/>
              </w:rPr>
              <w:t>》（</w:t>
            </w:r>
            <w:r>
              <w:rPr>
                <w:b w:val="0"/>
                <w:bCs w:val="0"/>
                <w:color w:val="auto"/>
                <w:sz w:val="24"/>
                <w:szCs w:val="24"/>
                <w:highlight w:val="none"/>
              </w:rPr>
              <w:t>GB/T31962-2015</w:t>
            </w:r>
            <w:r>
              <w:rPr>
                <w:rFonts w:hAnsi="宋体"/>
                <w:b w:val="0"/>
                <w:bCs w:val="0"/>
                <w:color w:val="auto"/>
                <w:sz w:val="24"/>
                <w:szCs w:val="24"/>
                <w:highlight w:val="none"/>
              </w:rPr>
              <w:t>）中的</w:t>
            </w:r>
            <w:r>
              <w:rPr>
                <w:rFonts w:hint="eastAsia"/>
                <w:b w:val="0"/>
                <w:bCs w:val="0"/>
                <w:color w:val="auto"/>
                <w:sz w:val="24"/>
                <w:szCs w:val="24"/>
                <w:highlight w:val="none"/>
              </w:rPr>
              <w:t>B</w:t>
            </w:r>
            <w:r>
              <w:rPr>
                <w:rFonts w:hAnsi="宋体"/>
                <w:b w:val="0"/>
                <w:bCs w:val="0"/>
                <w:color w:val="auto"/>
                <w:sz w:val="24"/>
                <w:szCs w:val="24"/>
                <w:highlight w:val="none"/>
              </w:rPr>
              <w:t>级标准。标准值见表</w:t>
            </w:r>
            <w:r>
              <w:rPr>
                <w:rFonts w:hint="eastAsia"/>
                <w:b w:val="0"/>
                <w:bCs w:val="0"/>
                <w:color w:val="auto"/>
                <w:sz w:val="24"/>
                <w:szCs w:val="24"/>
                <w:highlight w:val="none"/>
              </w:rPr>
              <w:t>3-</w:t>
            </w:r>
            <w:r>
              <w:rPr>
                <w:rFonts w:hint="eastAsia"/>
                <w:b w:val="0"/>
                <w:bCs w:val="0"/>
                <w:color w:val="auto"/>
                <w:sz w:val="24"/>
                <w:szCs w:val="24"/>
                <w:highlight w:val="none"/>
                <w:lang w:val="en-US" w:eastAsia="zh-CN"/>
              </w:rPr>
              <w:t>10</w:t>
            </w:r>
            <w:r>
              <w:rPr>
                <w:rFonts w:hint="eastAsia"/>
                <w:b w:val="0"/>
                <w:bCs w:val="0"/>
                <w:color w:val="auto"/>
                <w:sz w:val="24"/>
                <w:szCs w:val="24"/>
                <w:highlight w:val="none"/>
              </w:rPr>
              <w:t>。</w:t>
            </w:r>
          </w:p>
          <w:p w14:paraId="4BB3C7BB">
            <w:pPr>
              <w:adjustRightInd w:val="0"/>
              <w:snapToGrid w:val="0"/>
              <w:jc w:val="center"/>
              <w:rPr>
                <w:b/>
                <w:bCs/>
                <w:color w:val="auto"/>
                <w:sz w:val="24"/>
                <w:szCs w:val="24"/>
                <w:highlight w:val="none"/>
              </w:rPr>
            </w:pPr>
            <w:r>
              <w:rPr>
                <w:rFonts w:hint="eastAsia"/>
                <w:b/>
                <w:bCs/>
                <w:color w:val="auto"/>
                <w:sz w:val="24"/>
                <w:szCs w:val="24"/>
                <w:highlight w:val="none"/>
              </w:rPr>
              <w:t>表3</w:t>
            </w:r>
            <w:r>
              <w:rPr>
                <w:rFonts w:hint="eastAsia"/>
                <w:b/>
                <w:bCs/>
                <w:color w:val="auto"/>
                <w:sz w:val="24"/>
                <w:szCs w:val="24"/>
                <w:highlight w:val="none"/>
                <w:lang w:val="en-US" w:eastAsia="zh-CN"/>
              </w:rPr>
              <w:t>-10</w:t>
            </w:r>
            <w:r>
              <w:rPr>
                <w:rFonts w:hint="eastAsia"/>
                <w:b/>
                <w:bCs/>
                <w:color w:val="auto"/>
                <w:sz w:val="24"/>
                <w:szCs w:val="24"/>
                <w:highlight w:val="none"/>
              </w:rPr>
              <w:t xml:space="preserve">   水污染物排放标准一览表  单位：</w:t>
            </w:r>
            <w:r>
              <w:rPr>
                <w:b/>
                <w:bCs/>
                <w:color w:val="auto"/>
                <w:sz w:val="24"/>
                <w:szCs w:val="24"/>
                <w:highlight w:val="none"/>
              </w:rPr>
              <w:t>mg/L</w:t>
            </w:r>
            <w:r>
              <w:rPr>
                <w:rFonts w:hint="eastAsia"/>
                <w:b/>
                <w:bCs/>
                <w:color w:val="auto"/>
                <w:sz w:val="24"/>
                <w:szCs w:val="24"/>
                <w:highlight w:val="none"/>
              </w:rPr>
              <w:t xml:space="preserve">  </w:t>
            </w:r>
            <w:r>
              <w:rPr>
                <w:b/>
                <w:bCs/>
                <w:color w:val="auto"/>
                <w:sz w:val="24"/>
                <w:szCs w:val="24"/>
                <w:highlight w:val="none"/>
              </w:rPr>
              <w:t>pH</w:t>
            </w:r>
            <w:r>
              <w:rPr>
                <w:rFonts w:hint="eastAsia"/>
                <w:b/>
                <w:bCs/>
                <w:color w:val="auto"/>
                <w:sz w:val="24"/>
                <w:szCs w:val="24"/>
                <w:highlight w:val="none"/>
              </w:rPr>
              <w:t>无量纲</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1378"/>
              <w:gridCol w:w="5373"/>
            </w:tblGrid>
            <w:tr w14:paraId="314073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074" w:type="pct"/>
                  <w:tcBorders>
                    <w:tl2br w:val="nil"/>
                    <w:tr2bl w:val="nil"/>
                  </w:tcBorders>
                  <w:noWrap w:val="0"/>
                  <w:vAlign w:val="center"/>
                </w:tcPr>
                <w:p w14:paraId="7B6F8462">
                  <w:pPr>
                    <w:pStyle w:val="167"/>
                    <w:spacing w:line="240" w:lineRule="auto"/>
                    <w:rPr>
                      <w:b/>
                      <w:bCs/>
                      <w:snapToGrid w:val="0"/>
                      <w:color w:val="auto"/>
                      <w:sz w:val="21"/>
                      <w:szCs w:val="21"/>
                      <w:highlight w:val="none"/>
                      <w:lang w:val="en-US" w:eastAsia="zh-CN"/>
                    </w:rPr>
                  </w:pPr>
                  <w:r>
                    <w:rPr>
                      <w:rFonts w:hAnsi="宋体"/>
                      <w:b/>
                      <w:bCs/>
                      <w:snapToGrid w:val="0"/>
                      <w:color w:val="auto"/>
                      <w:sz w:val="21"/>
                      <w:szCs w:val="21"/>
                      <w:highlight w:val="none"/>
                      <w:lang w:val="en-US" w:eastAsia="zh-CN"/>
                    </w:rPr>
                    <w:t>污染物名称</w:t>
                  </w:r>
                </w:p>
              </w:tc>
              <w:tc>
                <w:tcPr>
                  <w:tcW w:w="801" w:type="pct"/>
                  <w:tcBorders>
                    <w:tl2br w:val="nil"/>
                    <w:tr2bl w:val="nil"/>
                  </w:tcBorders>
                  <w:noWrap w:val="0"/>
                  <w:vAlign w:val="center"/>
                </w:tcPr>
                <w:p w14:paraId="0D39749F">
                  <w:pPr>
                    <w:pStyle w:val="167"/>
                    <w:spacing w:line="240" w:lineRule="auto"/>
                    <w:rPr>
                      <w:b/>
                      <w:bCs/>
                      <w:snapToGrid w:val="0"/>
                      <w:color w:val="auto"/>
                      <w:sz w:val="21"/>
                      <w:szCs w:val="21"/>
                      <w:highlight w:val="none"/>
                      <w:lang w:val="en-US" w:eastAsia="zh-CN"/>
                    </w:rPr>
                  </w:pPr>
                  <w:r>
                    <w:rPr>
                      <w:rFonts w:hAnsi="宋体"/>
                      <w:b/>
                      <w:bCs/>
                      <w:color w:val="auto"/>
                      <w:sz w:val="21"/>
                      <w:szCs w:val="21"/>
                      <w:highlight w:val="none"/>
                      <w:lang w:val="en-US" w:eastAsia="zh-CN"/>
                    </w:rPr>
                    <w:t>标准限值</w:t>
                  </w:r>
                </w:p>
              </w:tc>
              <w:tc>
                <w:tcPr>
                  <w:tcW w:w="3124" w:type="pct"/>
                  <w:tcBorders>
                    <w:tl2br w:val="nil"/>
                    <w:tr2bl w:val="nil"/>
                  </w:tcBorders>
                  <w:noWrap w:val="0"/>
                  <w:vAlign w:val="center"/>
                </w:tcPr>
                <w:p w14:paraId="2E67EDB2">
                  <w:pPr>
                    <w:pStyle w:val="167"/>
                    <w:spacing w:line="240" w:lineRule="auto"/>
                    <w:rPr>
                      <w:b/>
                      <w:bCs/>
                      <w:color w:val="auto"/>
                      <w:sz w:val="21"/>
                      <w:szCs w:val="21"/>
                      <w:highlight w:val="none"/>
                      <w:lang w:val="en-US" w:eastAsia="zh-CN"/>
                    </w:rPr>
                  </w:pPr>
                  <w:r>
                    <w:rPr>
                      <w:rFonts w:hAnsi="宋体"/>
                      <w:b/>
                      <w:bCs/>
                      <w:color w:val="auto"/>
                      <w:sz w:val="21"/>
                      <w:szCs w:val="21"/>
                      <w:highlight w:val="none"/>
                      <w:lang w:val="en-US" w:eastAsia="zh-CN"/>
                    </w:rPr>
                    <w:t>执行标准</w:t>
                  </w:r>
                </w:p>
              </w:tc>
            </w:tr>
            <w:tr w14:paraId="214690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4" w:type="pct"/>
                  <w:tcBorders>
                    <w:tl2br w:val="nil"/>
                    <w:tr2bl w:val="nil"/>
                  </w:tcBorders>
                  <w:noWrap w:val="0"/>
                  <w:vAlign w:val="center"/>
                </w:tcPr>
                <w:p w14:paraId="72BCBA9A">
                  <w:pPr>
                    <w:pStyle w:val="167"/>
                    <w:spacing w:line="240" w:lineRule="auto"/>
                    <w:rPr>
                      <w:b w:val="0"/>
                      <w:bCs w:val="0"/>
                      <w:snapToGrid w:val="0"/>
                      <w:color w:val="auto"/>
                      <w:sz w:val="21"/>
                      <w:szCs w:val="21"/>
                      <w:highlight w:val="none"/>
                      <w:lang w:val="en-US" w:eastAsia="zh-CN"/>
                    </w:rPr>
                  </w:pPr>
                  <w:r>
                    <w:rPr>
                      <w:b w:val="0"/>
                      <w:bCs w:val="0"/>
                      <w:snapToGrid w:val="0"/>
                      <w:color w:val="auto"/>
                      <w:sz w:val="21"/>
                      <w:szCs w:val="21"/>
                      <w:highlight w:val="none"/>
                      <w:lang w:val="en-US" w:eastAsia="zh-CN"/>
                    </w:rPr>
                    <w:t>pH</w:t>
                  </w:r>
                </w:p>
              </w:tc>
              <w:tc>
                <w:tcPr>
                  <w:tcW w:w="801" w:type="pct"/>
                  <w:tcBorders>
                    <w:tl2br w:val="nil"/>
                    <w:tr2bl w:val="nil"/>
                  </w:tcBorders>
                  <w:noWrap w:val="0"/>
                  <w:vAlign w:val="center"/>
                </w:tcPr>
                <w:p w14:paraId="334F5E9E">
                  <w:pPr>
                    <w:pStyle w:val="167"/>
                    <w:spacing w:line="240" w:lineRule="auto"/>
                    <w:rPr>
                      <w:b w:val="0"/>
                      <w:bCs w:val="0"/>
                      <w:snapToGrid w:val="0"/>
                      <w:color w:val="auto"/>
                      <w:sz w:val="21"/>
                      <w:szCs w:val="21"/>
                      <w:highlight w:val="none"/>
                      <w:lang w:val="en-US" w:eastAsia="zh-CN"/>
                    </w:rPr>
                  </w:pPr>
                  <w:r>
                    <w:rPr>
                      <w:b w:val="0"/>
                      <w:bCs w:val="0"/>
                      <w:snapToGrid w:val="0"/>
                      <w:color w:val="auto"/>
                      <w:sz w:val="21"/>
                      <w:szCs w:val="21"/>
                      <w:highlight w:val="none"/>
                      <w:lang w:val="en-US" w:eastAsia="zh-CN"/>
                    </w:rPr>
                    <w:t>6-9</w:t>
                  </w:r>
                </w:p>
              </w:tc>
              <w:tc>
                <w:tcPr>
                  <w:tcW w:w="3124" w:type="pct"/>
                  <w:vMerge w:val="restart"/>
                  <w:tcBorders>
                    <w:tl2br w:val="nil"/>
                    <w:tr2bl w:val="nil"/>
                  </w:tcBorders>
                  <w:noWrap w:val="0"/>
                  <w:vAlign w:val="center"/>
                </w:tcPr>
                <w:p w14:paraId="5F124177">
                  <w:pPr>
                    <w:pStyle w:val="167"/>
                    <w:spacing w:line="240" w:lineRule="auto"/>
                    <w:rPr>
                      <w:b w:val="0"/>
                      <w:bCs w:val="0"/>
                      <w:snapToGrid w:val="0"/>
                      <w:color w:val="auto"/>
                      <w:sz w:val="21"/>
                      <w:szCs w:val="21"/>
                      <w:highlight w:val="none"/>
                      <w:lang w:val="en-US" w:eastAsia="zh-CN"/>
                    </w:rPr>
                  </w:pPr>
                  <w:r>
                    <w:rPr>
                      <w:rFonts w:hAnsi="宋体"/>
                      <w:b w:val="0"/>
                      <w:bCs w:val="0"/>
                      <w:color w:val="auto"/>
                      <w:sz w:val="21"/>
                      <w:szCs w:val="21"/>
                      <w:highlight w:val="none"/>
                      <w:lang w:val="en-US" w:eastAsia="zh-CN"/>
                    </w:rPr>
                    <w:t>《污水综合排放标准》（</w:t>
                  </w:r>
                  <w:r>
                    <w:rPr>
                      <w:b w:val="0"/>
                      <w:bCs w:val="0"/>
                      <w:color w:val="auto"/>
                      <w:sz w:val="21"/>
                      <w:szCs w:val="21"/>
                      <w:highlight w:val="none"/>
                      <w:lang w:val="en-US" w:eastAsia="zh-CN"/>
                    </w:rPr>
                    <w:t>GB8978-1996</w:t>
                  </w:r>
                  <w:r>
                    <w:rPr>
                      <w:rFonts w:hAnsi="宋体"/>
                      <w:b w:val="0"/>
                      <w:bCs w:val="0"/>
                      <w:color w:val="auto"/>
                      <w:sz w:val="21"/>
                      <w:szCs w:val="21"/>
                      <w:highlight w:val="none"/>
                      <w:lang w:val="en-US" w:eastAsia="zh-CN"/>
                    </w:rPr>
                    <w:t>）</w:t>
                  </w:r>
                </w:p>
              </w:tc>
            </w:tr>
            <w:tr w14:paraId="33A34C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4" w:type="pct"/>
                  <w:tcBorders>
                    <w:tl2br w:val="nil"/>
                    <w:tr2bl w:val="nil"/>
                  </w:tcBorders>
                  <w:noWrap w:val="0"/>
                  <w:vAlign w:val="center"/>
                </w:tcPr>
                <w:p w14:paraId="64DE136A">
                  <w:pPr>
                    <w:pStyle w:val="167"/>
                    <w:spacing w:line="240" w:lineRule="auto"/>
                    <w:rPr>
                      <w:b w:val="0"/>
                      <w:bCs w:val="0"/>
                      <w:snapToGrid w:val="0"/>
                      <w:color w:val="auto"/>
                      <w:sz w:val="21"/>
                      <w:szCs w:val="21"/>
                      <w:highlight w:val="none"/>
                      <w:lang w:val="en-US" w:eastAsia="zh-CN"/>
                    </w:rPr>
                  </w:pPr>
                  <w:r>
                    <w:rPr>
                      <w:b w:val="0"/>
                      <w:bCs w:val="0"/>
                      <w:color w:val="auto"/>
                      <w:sz w:val="21"/>
                      <w:szCs w:val="21"/>
                      <w:highlight w:val="none"/>
                      <w:lang w:val="en-US" w:eastAsia="zh-CN"/>
                    </w:rPr>
                    <w:t>COD</w:t>
                  </w:r>
                </w:p>
              </w:tc>
              <w:tc>
                <w:tcPr>
                  <w:tcW w:w="801" w:type="pct"/>
                  <w:tcBorders>
                    <w:tl2br w:val="nil"/>
                    <w:tr2bl w:val="nil"/>
                  </w:tcBorders>
                  <w:noWrap w:val="0"/>
                  <w:vAlign w:val="center"/>
                </w:tcPr>
                <w:p w14:paraId="612E2DCB">
                  <w:pPr>
                    <w:pStyle w:val="167"/>
                    <w:spacing w:line="240" w:lineRule="auto"/>
                    <w:rPr>
                      <w:b w:val="0"/>
                      <w:bCs w:val="0"/>
                      <w:snapToGrid w:val="0"/>
                      <w:color w:val="auto"/>
                      <w:sz w:val="21"/>
                      <w:szCs w:val="21"/>
                      <w:highlight w:val="none"/>
                      <w:lang w:val="en-US" w:eastAsia="zh-CN"/>
                    </w:rPr>
                  </w:pPr>
                  <w:r>
                    <w:rPr>
                      <w:b w:val="0"/>
                      <w:bCs w:val="0"/>
                      <w:snapToGrid w:val="0"/>
                      <w:color w:val="auto"/>
                      <w:sz w:val="21"/>
                      <w:szCs w:val="21"/>
                      <w:highlight w:val="none"/>
                      <w:lang w:val="en-US" w:eastAsia="zh-CN"/>
                    </w:rPr>
                    <w:t>500</w:t>
                  </w:r>
                </w:p>
              </w:tc>
              <w:tc>
                <w:tcPr>
                  <w:tcW w:w="3124" w:type="pct"/>
                  <w:vMerge w:val="continue"/>
                  <w:tcBorders>
                    <w:tl2br w:val="nil"/>
                    <w:tr2bl w:val="nil"/>
                  </w:tcBorders>
                  <w:noWrap w:val="0"/>
                  <w:vAlign w:val="center"/>
                </w:tcPr>
                <w:p w14:paraId="5B6E9005">
                  <w:pPr>
                    <w:jc w:val="center"/>
                    <w:rPr>
                      <w:b w:val="0"/>
                      <w:bCs w:val="0"/>
                      <w:snapToGrid w:val="0"/>
                      <w:color w:val="auto"/>
                      <w:sz w:val="21"/>
                      <w:szCs w:val="21"/>
                      <w:highlight w:val="none"/>
                      <w:lang w:bidi="ar-BH"/>
                    </w:rPr>
                  </w:pPr>
                </w:p>
              </w:tc>
            </w:tr>
            <w:tr w14:paraId="6091CA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074" w:type="pct"/>
                  <w:tcBorders>
                    <w:tl2br w:val="nil"/>
                    <w:tr2bl w:val="nil"/>
                  </w:tcBorders>
                  <w:noWrap w:val="0"/>
                  <w:vAlign w:val="center"/>
                </w:tcPr>
                <w:p w14:paraId="5D320C84">
                  <w:pPr>
                    <w:pStyle w:val="167"/>
                    <w:spacing w:line="240" w:lineRule="auto"/>
                    <w:rPr>
                      <w:b w:val="0"/>
                      <w:bCs w:val="0"/>
                      <w:snapToGrid w:val="0"/>
                      <w:color w:val="auto"/>
                      <w:sz w:val="21"/>
                      <w:szCs w:val="21"/>
                      <w:highlight w:val="none"/>
                      <w:lang w:val="en-US" w:eastAsia="zh-CN"/>
                    </w:rPr>
                  </w:pPr>
                  <w:r>
                    <w:rPr>
                      <w:b w:val="0"/>
                      <w:bCs w:val="0"/>
                      <w:snapToGrid w:val="0"/>
                      <w:color w:val="auto"/>
                      <w:sz w:val="21"/>
                      <w:szCs w:val="21"/>
                      <w:highlight w:val="none"/>
                      <w:lang w:val="en-US" w:eastAsia="zh-CN"/>
                    </w:rPr>
                    <w:t>SS</w:t>
                  </w:r>
                </w:p>
              </w:tc>
              <w:tc>
                <w:tcPr>
                  <w:tcW w:w="801" w:type="pct"/>
                  <w:tcBorders>
                    <w:tl2br w:val="nil"/>
                    <w:tr2bl w:val="nil"/>
                  </w:tcBorders>
                  <w:noWrap w:val="0"/>
                  <w:vAlign w:val="center"/>
                </w:tcPr>
                <w:p w14:paraId="176CFA35">
                  <w:pPr>
                    <w:pStyle w:val="167"/>
                    <w:spacing w:line="240" w:lineRule="auto"/>
                    <w:rPr>
                      <w:b w:val="0"/>
                      <w:bCs w:val="0"/>
                      <w:snapToGrid w:val="0"/>
                      <w:color w:val="auto"/>
                      <w:sz w:val="21"/>
                      <w:szCs w:val="21"/>
                      <w:highlight w:val="none"/>
                      <w:lang w:val="en-US" w:eastAsia="zh-CN"/>
                    </w:rPr>
                  </w:pPr>
                  <w:r>
                    <w:rPr>
                      <w:b w:val="0"/>
                      <w:bCs w:val="0"/>
                      <w:snapToGrid w:val="0"/>
                      <w:color w:val="auto"/>
                      <w:sz w:val="21"/>
                      <w:szCs w:val="21"/>
                      <w:highlight w:val="none"/>
                      <w:lang w:val="en-US" w:eastAsia="zh-CN"/>
                    </w:rPr>
                    <w:t>400</w:t>
                  </w:r>
                </w:p>
              </w:tc>
              <w:tc>
                <w:tcPr>
                  <w:tcW w:w="3124" w:type="pct"/>
                  <w:vMerge w:val="continue"/>
                  <w:tcBorders>
                    <w:tl2br w:val="nil"/>
                    <w:tr2bl w:val="nil"/>
                  </w:tcBorders>
                  <w:noWrap w:val="0"/>
                  <w:vAlign w:val="center"/>
                </w:tcPr>
                <w:p w14:paraId="7EAC8556">
                  <w:pPr>
                    <w:jc w:val="center"/>
                    <w:rPr>
                      <w:b w:val="0"/>
                      <w:bCs w:val="0"/>
                      <w:snapToGrid w:val="0"/>
                      <w:color w:val="auto"/>
                      <w:sz w:val="21"/>
                      <w:szCs w:val="21"/>
                      <w:highlight w:val="none"/>
                      <w:lang w:bidi="ar-BH"/>
                    </w:rPr>
                  </w:pPr>
                </w:p>
              </w:tc>
            </w:tr>
            <w:tr w14:paraId="75DEB0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4" w:type="pct"/>
                  <w:tcBorders>
                    <w:tl2br w:val="nil"/>
                    <w:tr2bl w:val="nil"/>
                  </w:tcBorders>
                  <w:noWrap w:val="0"/>
                  <w:vAlign w:val="center"/>
                </w:tcPr>
                <w:p w14:paraId="577B8BE4">
                  <w:pPr>
                    <w:pStyle w:val="167"/>
                    <w:spacing w:line="240" w:lineRule="auto"/>
                    <w:rPr>
                      <w:b w:val="0"/>
                      <w:bCs w:val="0"/>
                      <w:snapToGrid w:val="0"/>
                      <w:color w:val="auto"/>
                      <w:sz w:val="21"/>
                      <w:szCs w:val="21"/>
                      <w:highlight w:val="none"/>
                      <w:lang w:val="en-US" w:eastAsia="zh-CN"/>
                    </w:rPr>
                  </w:pPr>
                  <w:r>
                    <w:rPr>
                      <w:b w:val="0"/>
                      <w:bCs w:val="0"/>
                      <w:snapToGrid w:val="0"/>
                      <w:color w:val="auto"/>
                      <w:sz w:val="21"/>
                      <w:szCs w:val="21"/>
                      <w:highlight w:val="none"/>
                      <w:lang w:val="en-US" w:eastAsia="zh-CN"/>
                    </w:rPr>
                    <w:t>NH</w:t>
                  </w:r>
                  <w:r>
                    <w:rPr>
                      <w:b w:val="0"/>
                      <w:bCs w:val="0"/>
                      <w:snapToGrid w:val="0"/>
                      <w:color w:val="auto"/>
                      <w:sz w:val="21"/>
                      <w:szCs w:val="21"/>
                      <w:highlight w:val="none"/>
                      <w:vertAlign w:val="subscript"/>
                      <w:lang w:val="en-US" w:eastAsia="zh-CN"/>
                    </w:rPr>
                    <w:t>3</w:t>
                  </w:r>
                  <w:r>
                    <w:rPr>
                      <w:b w:val="0"/>
                      <w:bCs w:val="0"/>
                      <w:snapToGrid w:val="0"/>
                      <w:color w:val="auto"/>
                      <w:sz w:val="21"/>
                      <w:szCs w:val="21"/>
                      <w:highlight w:val="none"/>
                      <w:lang w:val="en-US" w:eastAsia="zh-CN"/>
                    </w:rPr>
                    <w:t>-N</w:t>
                  </w:r>
                </w:p>
              </w:tc>
              <w:tc>
                <w:tcPr>
                  <w:tcW w:w="801" w:type="pct"/>
                  <w:tcBorders>
                    <w:tl2br w:val="nil"/>
                    <w:tr2bl w:val="nil"/>
                  </w:tcBorders>
                  <w:noWrap w:val="0"/>
                  <w:vAlign w:val="center"/>
                </w:tcPr>
                <w:p w14:paraId="10827AC5">
                  <w:pPr>
                    <w:pStyle w:val="167"/>
                    <w:spacing w:line="240" w:lineRule="auto"/>
                    <w:rPr>
                      <w:b w:val="0"/>
                      <w:bCs w:val="0"/>
                      <w:snapToGrid w:val="0"/>
                      <w:color w:val="auto"/>
                      <w:sz w:val="21"/>
                      <w:szCs w:val="21"/>
                      <w:highlight w:val="none"/>
                      <w:lang w:val="en-US" w:eastAsia="zh-CN"/>
                    </w:rPr>
                  </w:pPr>
                  <w:r>
                    <w:rPr>
                      <w:b w:val="0"/>
                      <w:bCs w:val="0"/>
                      <w:snapToGrid w:val="0"/>
                      <w:color w:val="auto"/>
                      <w:sz w:val="21"/>
                      <w:szCs w:val="21"/>
                      <w:highlight w:val="none"/>
                      <w:lang w:val="en-US" w:eastAsia="zh-CN"/>
                    </w:rPr>
                    <w:t>45</w:t>
                  </w:r>
                </w:p>
              </w:tc>
              <w:tc>
                <w:tcPr>
                  <w:tcW w:w="3124" w:type="pct"/>
                  <w:vMerge w:val="restart"/>
                  <w:tcBorders>
                    <w:tl2br w:val="nil"/>
                    <w:tr2bl w:val="nil"/>
                  </w:tcBorders>
                  <w:noWrap w:val="0"/>
                  <w:vAlign w:val="center"/>
                </w:tcPr>
                <w:p w14:paraId="247C8B1D">
                  <w:pPr>
                    <w:pStyle w:val="167"/>
                    <w:spacing w:line="240" w:lineRule="auto"/>
                    <w:rPr>
                      <w:b w:val="0"/>
                      <w:bCs w:val="0"/>
                      <w:snapToGrid w:val="0"/>
                      <w:color w:val="auto"/>
                      <w:sz w:val="21"/>
                      <w:szCs w:val="21"/>
                      <w:highlight w:val="none"/>
                      <w:lang w:val="en-US" w:eastAsia="zh-CN"/>
                    </w:rPr>
                  </w:pPr>
                  <w:r>
                    <w:rPr>
                      <w:rFonts w:hAnsi="宋体"/>
                      <w:b w:val="0"/>
                      <w:bCs w:val="0"/>
                      <w:snapToGrid w:val="0"/>
                      <w:color w:val="auto"/>
                      <w:sz w:val="21"/>
                      <w:szCs w:val="21"/>
                      <w:highlight w:val="none"/>
                      <w:lang w:val="en-US" w:eastAsia="zh-CN"/>
                    </w:rPr>
                    <w:t>《污水排入城镇下水道水质标准》（</w:t>
                  </w:r>
                  <w:r>
                    <w:rPr>
                      <w:b w:val="0"/>
                      <w:bCs w:val="0"/>
                      <w:snapToGrid w:val="0"/>
                      <w:color w:val="auto"/>
                      <w:sz w:val="21"/>
                      <w:szCs w:val="21"/>
                      <w:highlight w:val="none"/>
                      <w:lang w:val="en-US" w:eastAsia="zh-CN"/>
                    </w:rPr>
                    <w:t>GB/T31962-2015</w:t>
                  </w:r>
                  <w:r>
                    <w:rPr>
                      <w:rFonts w:hAnsi="宋体"/>
                      <w:b w:val="0"/>
                      <w:bCs w:val="0"/>
                      <w:snapToGrid w:val="0"/>
                      <w:color w:val="auto"/>
                      <w:sz w:val="21"/>
                      <w:szCs w:val="21"/>
                      <w:highlight w:val="none"/>
                      <w:lang w:val="en-US" w:eastAsia="zh-CN"/>
                    </w:rPr>
                    <w:t>）</w:t>
                  </w:r>
                </w:p>
              </w:tc>
            </w:tr>
            <w:tr w14:paraId="74F0E0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4" w:type="pct"/>
                  <w:tcBorders>
                    <w:tl2br w:val="nil"/>
                    <w:tr2bl w:val="nil"/>
                  </w:tcBorders>
                  <w:noWrap w:val="0"/>
                  <w:vAlign w:val="center"/>
                </w:tcPr>
                <w:p w14:paraId="4F867944">
                  <w:pPr>
                    <w:pStyle w:val="167"/>
                    <w:spacing w:line="240" w:lineRule="auto"/>
                    <w:rPr>
                      <w:rFonts w:hint="eastAsia"/>
                      <w:b w:val="0"/>
                      <w:bCs w:val="0"/>
                      <w:snapToGrid w:val="0"/>
                      <w:color w:val="auto"/>
                      <w:sz w:val="21"/>
                      <w:szCs w:val="21"/>
                      <w:highlight w:val="none"/>
                      <w:lang w:val="en-US" w:eastAsia="zh-CN"/>
                    </w:rPr>
                  </w:pPr>
                  <w:r>
                    <w:rPr>
                      <w:rFonts w:hint="eastAsia"/>
                      <w:b w:val="0"/>
                      <w:bCs w:val="0"/>
                      <w:snapToGrid w:val="0"/>
                      <w:color w:val="auto"/>
                      <w:sz w:val="21"/>
                      <w:szCs w:val="21"/>
                      <w:highlight w:val="none"/>
                      <w:lang w:val="en-US" w:eastAsia="zh-CN"/>
                    </w:rPr>
                    <w:t>溶解性总固体</w:t>
                  </w:r>
                </w:p>
                <w:p w14:paraId="17ED2652">
                  <w:pPr>
                    <w:pStyle w:val="167"/>
                    <w:spacing w:line="240" w:lineRule="auto"/>
                    <w:rPr>
                      <w:b w:val="0"/>
                      <w:bCs w:val="0"/>
                      <w:snapToGrid w:val="0"/>
                      <w:color w:val="auto"/>
                      <w:sz w:val="21"/>
                      <w:szCs w:val="21"/>
                      <w:highlight w:val="none"/>
                      <w:lang w:val="en-US" w:eastAsia="zh-CN"/>
                    </w:rPr>
                  </w:pPr>
                  <w:r>
                    <w:rPr>
                      <w:rFonts w:hint="eastAsia"/>
                      <w:b w:val="0"/>
                      <w:bCs w:val="0"/>
                      <w:snapToGrid w:val="0"/>
                      <w:color w:val="auto"/>
                      <w:sz w:val="21"/>
                      <w:szCs w:val="21"/>
                      <w:highlight w:val="none"/>
                      <w:lang w:val="en-US" w:eastAsia="zh-CN"/>
                    </w:rPr>
                    <w:t>（全盐量）</w:t>
                  </w:r>
                </w:p>
              </w:tc>
              <w:tc>
                <w:tcPr>
                  <w:tcW w:w="801" w:type="pct"/>
                  <w:tcBorders>
                    <w:tl2br w:val="nil"/>
                    <w:tr2bl w:val="nil"/>
                  </w:tcBorders>
                  <w:noWrap w:val="0"/>
                  <w:vAlign w:val="center"/>
                </w:tcPr>
                <w:p w14:paraId="55D4D768">
                  <w:pPr>
                    <w:pStyle w:val="167"/>
                    <w:spacing w:line="240" w:lineRule="auto"/>
                    <w:rPr>
                      <w:rFonts w:hint="default"/>
                      <w:b w:val="0"/>
                      <w:bCs w:val="0"/>
                      <w:snapToGrid w:val="0"/>
                      <w:color w:val="auto"/>
                      <w:sz w:val="21"/>
                      <w:szCs w:val="21"/>
                      <w:highlight w:val="none"/>
                      <w:lang w:val="en-US" w:eastAsia="zh-CN"/>
                    </w:rPr>
                  </w:pPr>
                  <w:r>
                    <w:rPr>
                      <w:rFonts w:hint="eastAsia"/>
                      <w:b w:val="0"/>
                      <w:bCs w:val="0"/>
                      <w:snapToGrid w:val="0"/>
                      <w:color w:val="auto"/>
                      <w:sz w:val="21"/>
                      <w:szCs w:val="21"/>
                      <w:highlight w:val="none"/>
                      <w:lang w:val="en-US" w:eastAsia="zh-CN"/>
                    </w:rPr>
                    <w:t>2000</w:t>
                  </w:r>
                </w:p>
              </w:tc>
              <w:tc>
                <w:tcPr>
                  <w:tcW w:w="3124" w:type="pct"/>
                  <w:vMerge w:val="continue"/>
                  <w:tcBorders>
                    <w:tl2br w:val="nil"/>
                    <w:tr2bl w:val="nil"/>
                  </w:tcBorders>
                  <w:noWrap w:val="0"/>
                  <w:vAlign w:val="center"/>
                </w:tcPr>
                <w:p w14:paraId="3951E5F7">
                  <w:pPr>
                    <w:pStyle w:val="167"/>
                    <w:spacing w:line="240" w:lineRule="auto"/>
                    <w:rPr>
                      <w:rFonts w:hAnsi="宋体"/>
                      <w:b w:val="0"/>
                      <w:bCs w:val="0"/>
                      <w:snapToGrid w:val="0"/>
                      <w:color w:val="auto"/>
                      <w:sz w:val="21"/>
                      <w:szCs w:val="21"/>
                      <w:highlight w:val="none"/>
                      <w:lang w:val="en-US" w:eastAsia="zh-CN"/>
                    </w:rPr>
                  </w:pPr>
                </w:p>
              </w:tc>
            </w:tr>
          </w:tbl>
          <w:p w14:paraId="5F7FB8DC">
            <w:pPr>
              <w:autoSpaceDE w:val="0"/>
              <w:adjustRightInd w:val="0"/>
              <w:snapToGrid w:val="0"/>
              <w:spacing w:line="360" w:lineRule="auto"/>
              <w:ind w:firstLine="480" w:firstLineChars="200"/>
              <w:rPr>
                <w:b w:val="0"/>
                <w:bCs w:val="0"/>
                <w:color w:val="auto"/>
                <w:sz w:val="24"/>
                <w:szCs w:val="24"/>
                <w:highlight w:val="none"/>
              </w:rPr>
            </w:pPr>
            <w:r>
              <w:rPr>
                <w:rFonts w:hint="eastAsia"/>
                <w:b w:val="0"/>
                <w:bCs w:val="0"/>
                <w:color w:val="auto"/>
                <w:sz w:val="24"/>
                <w:szCs w:val="24"/>
                <w:highlight w:val="none"/>
                <w:lang w:eastAsia="zh-CN"/>
              </w:rPr>
              <w:t>3.</w:t>
            </w:r>
            <w:r>
              <w:rPr>
                <w:b w:val="0"/>
                <w:bCs w:val="0"/>
                <w:color w:val="auto"/>
                <w:sz w:val="24"/>
                <w:szCs w:val="24"/>
                <w:highlight w:val="none"/>
              </w:rPr>
              <w:t>噪声排放标准</w:t>
            </w:r>
          </w:p>
          <w:p w14:paraId="70FEE04B">
            <w:pPr>
              <w:spacing w:line="360" w:lineRule="auto"/>
              <w:ind w:firstLine="480" w:firstLineChars="200"/>
              <w:rPr>
                <w:b w:val="0"/>
                <w:bCs w:val="0"/>
                <w:color w:val="auto"/>
                <w:sz w:val="24"/>
                <w:szCs w:val="24"/>
                <w:highlight w:val="none"/>
              </w:rPr>
            </w:pPr>
            <w:r>
              <w:rPr>
                <w:rFonts w:hint="eastAsia"/>
                <w:color w:val="auto"/>
                <w:sz w:val="24"/>
                <w:highlight w:val="none"/>
                <w:lang w:val="en-US" w:eastAsia="zh-CN"/>
              </w:rPr>
              <w:t>根据</w:t>
            </w:r>
            <w:r>
              <w:rPr>
                <w:rFonts w:hint="eastAsia"/>
                <w:b w:val="0"/>
                <w:bCs/>
                <w:color w:val="auto"/>
                <w:sz w:val="24"/>
                <w:szCs w:val="24"/>
                <w:highlight w:val="none"/>
                <w:lang w:eastAsia="zh-CN"/>
              </w:rPr>
              <w:t>《</w:t>
            </w:r>
            <w:r>
              <w:rPr>
                <w:rFonts w:hint="eastAsia"/>
                <w:b w:val="0"/>
                <w:bCs/>
                <w:color w:val="auto"/>
                <w:sz w:val="24"/>
                <w:szCs w:val="24"/>
                <w:highlight w:val="none"/>
                <w:lang w:val="en-US" w:eastAsia="zh-CN"/>
              </w:rPr>
              <w:t>太白县声环境功能区划方案</w:t>
            </w:r>
            <w:r>
              <w:rPr>
                <w:rFonts w:hint="eastAsia"/>
                <w:b w:val="0"/>
                <w:bCs/>
                <w:color w:val="auto"/>
                <w:sz w:val="24"/>
                <w:szCs w:val="24"/>
                <w:highlight w:val="none"/>
                <w:lang w:eastAsia="zh-CN"/>
              </w:rPr>
              <w:t>》，</w:t>
            </w:r>
            <w:r>
              <w:rPr>
                <w:rFonts w:hint="eastAsia"/>
                <w:b w:val="0"/>
                <w:bCs/>
                <w:color w:val="auto"/>
                <w:sz w:val="24"/>
                <w:szCs w:val="24"/>
                <w:highlight w:val="none"/>
                <w:lang w:val="en-US" w:eastAsia="zh-CN"/>
              </w:rPr>
              <w:t>项目位于2类区</w:t>
            </w:r>
            <w:r>
              <w:rPr>
                <w:rFonts w:hint="eastAsia"/>
                <w:color w:val="auto"/>
                <w:sz w:val="24"/>
                <w:highlight w:val="none"/>
                <w:lang w:val="en-US" w:eastAsia="zh-CN"/>
              </w:rPr>
              <w:t>，</w:t>
            </w:r>
            <w:r>
              <w:rPr>
                <w:rFonts w:hint="eastAsia"/>
                <w:b w:val="0"/>
                <w:bCs/>
                <w:color w:val="auto"/>
                <w:sz w:val="24"/>
                <w:szCs w:val="24"/>
                <w:highlight w:val="none"/>
                <w:lang w:eastAsia="zh-CN"/>
              </w:rPr>
              <w:t>运营期</w:t>
            </w:r>
            <w:r>
              <w:rPr>
                <w:rFonts w:hint="eastAsia"/>
                <w:b w:val="0"/>
                <w:bCs/>
                <w:color w:val="auto"/>
                <w:sz w:val="24"/>
                <w:szCs w:val="24"/>
                <w:highlight w:val="none"/>
                <w:lang w:val="en-US" w:eastAsia="zh-CN"/>
              </w:rPr>
              <w:t>项目供热站厂界</w:t>
            </w:r>
            <w:r>
              <w:rPr>
                <w:rFonts w:hint="eastAsia"/>
                <w:b w:val="0"/>
                <w:bCs/>
                <w:color w:val="auto"/>
                <w:sz w:val="24"/>
                <w:szCs w:val="24"/>
                <w:highlight w:val="none"/>
                <w:lang w:eastAsia="zh-CN"/>
              </w:rPr>
              <w:t>执行《工业企业厂界环境噪声排放标准》（GB12348-2008）2类，</w:t>
            </w:r>
            <w:r>
              <w:rPr>
                <w:b w:val="0"/>
                <w:bCs w:val="0"/>
                <w:color w:val="auto"/>
                <w:sz w:val="24"/>
                <w:szCs w:val="24"/>
                <w:highlight w:val="none"/>
              </w:rPr>
              <w:t>见表3-</w:t>
            </w:r>
            <w:r>
              <w:rPr>
                <w:rFonts w:hint="eastAsia"/>
                <w:b w:val="0"/>
                <w:bCs w:val="0"/>
                <w:color w:val="auto"/>
                <w:sz w:val="24"/>
                <w:szCs w:val="24"/>
                <w:highlight w:val="none"/>
                <w:lang w:val="en-US" w:eastAsia="zh-CN"/>
              </w:rPr>
              <w:t>10和表3-11</w:t>
            </w:r>
            <w:r>
              <w:rPr>
                <w:b w:val="0"/>
                <w:bCs w:val="0"/>
                <w:color w:val="auto"/>
                <w:sz w:val="24"/>
                <w:szCs w:val="24"/>
                <w:highlight w:val="none"/>
              </w:rPr>
              <w:t>。</w:t>
            </w:r>
          </w:p>
          <w:p w14:paraId="464421DF">
            <w:pPr>
              <w:pStyle w:val="173"/>
              <w:rPr>
                <w:b/>
                <w:bCs/>
                <w:color w:val="auto"/>
                <w:sz w:val="24"/>
                <w:szCs w:val="24"/>
                <w:highlight w:val="none"/>
              </w:rPr>
            </w:pPr>
            <w:r>
              <w:rPr>
                <w:b/>
                <w:bCs/>
                <w:color w:val="auto"/>
                <w:sz w:val="24"/>
                <w:szCs w:val="24"/>
                <w:highlight w:val="none"/>
              </w:rPr>
              <w:t>表3-</w:t>
            </w:r>
            <w:r>
              <w:rPr>
                <w:rFonts w:hint="eastAsia"/>
                <w:b/>
                <w:bCs/>
                <w:color w:val="auto"/>
                <w:sz w:val="24"/>
                <w:szCs w:val="24"/>
                <w:highlight w:val="none"/>
                <w:lang w:val="en-US" w:eastAsia="zh-CN"/>
              </w:rPr>
              <w:t xml:space="preserve">11 </w:t>
            </w:r>
            <w:r>
              <w:rPr>
                <w:b/>
                <w:bCs/>
                <w:color w:val="auto"/>
                <w:sz w:val="24"/>
                <w:szCs w:val="24"/>
                <w:highlight w:val="none"/>
              </w:rPr>
              <w:t xml:space="preserve">  工业企业厂界环境噪声排放限值  单位：dB(A)</w:t>
            </w:r>
          </w:p>
          <w:tbl>
            <w:tblPr>
              <w:tblStyle w:val="37"/>
              <w:tblW w:w="5009" w:type="pct"/>
              <w:tblInd w:w="9"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3608"/>
              <w:gridCol w:w="2255"/>
              <w:gridCol w:w="2749"/>
            </w:tblGrid>
            <w:tr w14:paraId="046EB5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094" w:type="pct"/>
                  <w:tcBorders>
                    <w:tl2br w:val="nil"/>
                    <w:tr2bl w:val="nil"/>
                  </w:tcBorders>
                  <w:noWrap w:val="0"/>
                  <w:vAlign w:val="center"/>
                </w:tcPr>
                <w:p w14:paraId="06E30A17">
                  <w:pPr>
                    <w:widowControl/>
                    <w:spacing w:line="0" w:lineRule="atLeast"/>
                    <w:jc w:val="right"/>
                    <w:outlineLvl w:val="0"/>
                    <w:rPr>
                      <w:b/>
                      <w:bCs/>
                      <w:color w:val="auto"/>
                      <w:sz w:val="21"/>
                      <w:szCs w:val="21"/>
                      <w:highlight w:val="none"/>
                    </w:rPr>
                  </w:pPr>
                  <w:bookmarkStart w:id="18" w:name="_Toc18342"/>
                  <w:r>
                    <w:rPr>
                      <w:b/>
                      <w:bCs/>
                      <w:color w:val="auto"/>
                      <w:sz w:val="21"/>
                      <w:szCs w:val="21"/>
                      <w:highlight w:val="none"/>
                    </w:rPr>
                    <w:t>时段</w:t>
                  </w:r>
                  <w:bookmarkEnd w:id="18"/>
                </w:p>
                <w:p w14:paraId="0BDA59FC">
                  <w:pPr>
                    <w:widowControl/>
                    <w:spacing w:line="0" w:lineRule="atLeast"/>
                    <w:jc w:val="left"/>
                    <w:outlineLvl w:val="0"/>
                    <w:rPr>
                      <w:b/>
                      <w:bCs/>
                      <w:color w:val="auto"/>
                      <w:sz w:val="21"/>
                      <w:szCs w:val="21"/>
                      <w:highlight w:val="none"/>
                    </w:rPr>
                  </w:pPr>
                  <w:bookmarkStart w:id="19" w:name="_Toc13644"/>
                  <w:r>
                    <w:rPr>
                      <w:b/>
                      <w:bCs/>
                      <w:color w:val="auto"/>
                      <w:sz w:val="21"/>
                      <w:szCs w:val="21"/>
                      <w:highlight w:val="none"/>
                    </w:rPr>
                    <w:t>声环境功能区类别</w:t>
                  </w:r>
                  <w:bookmarkEnd w:id="19"/>
                </w:p>
              </w:tc>
              <w:tc>
                <w:tcPr>
                  <w:tcW w:w="1309" w:type="pct"/>
                  <w:tcBorders>
                    <w:tl2br w:val="nil"/>
                    <w:tr2bl w:val="nil"/>
                  </w:tcBorders>
                  <w:noWrap w:val="0"/>
                  <w:vAlign w:val="center"/>
                </w:tcPr>
                <w:p w14:paraId="3A6403CB">
                  <w:pPr>
                    <w:keepNext/>
                    <w:widowControl/>
                    <w:spacing w:line="0" w:lineRule="atLeast"/>
                    <w:jc w:val="center"/>
                    <w:rPr>
                      <w:b/>
                      <w:bCs/>
                      <w:color w:val="auto"/>
                      <w:sz w:val="21"/>
                      <w:szCs w:val="21"/>
                      <w:highlight w:val="none"/>
                    </w:rPr>
                  </w:pPr>
                  <w:r>
                    <w:rPr>
                      <w:b/>
                      <w:bCs/>
                      <w:color w:val="auto"/>
                      <w:sz w:val="21"/>
                      <w:szCs w:val="21"/>
                      <w:highlight w:val="none"/>
                    </w:rPr>
                    <w:t>昼间</w:t>
                  </w:r>
                </w:p>
              </w:tc>
              <w:tc>
                <w:tcPr>
                  <w:tcW w:w="1596" w:type="pct"/>
                  <w:tcBorders>
                    <w:tl2br w:val="nil"/>
                    <w:tr2bl w:val="nil"/>
                  </w:tcBorders>
                  <w:noWrap w:val="0"/>
                  <w:vAlign w:val="center"/>
                </w:tcPr>
                <w:p w14:paraId="6CBA20A9">
                  <w:pPr>
                    <w:keepNext/>
                    <w:widowControl/>
                    <w:spacing w:line="0" w:lineRule="atLeast"/>
                    <w:jc w:val="center"/>
                    <w:rPr>
                      <w:b/>
                      <w:bCs/>
                      <w:color w:val="auto"/>
                      <w:sz w:val="21"/>
                      <w:szCs w:val="21"/>
                      <w:highlight w:val="none"/>
                    </w:rPr>
                  </w:pPr>
                  <w:r>
                    <w:rPr>
                      <w:b/>
                      <w:bCs/>
                      <w:color w:val="auto"/>
                      <w:sz w:val="21"/>
                      <w:szCs w:val="21"/>
                      <w:highlight w:val="none"/>
                    </w:rPr>
                    <w:t>夜间</w:t>
                  </w:r>
                </w:p>
              </w:tc>
            </w:tr>
            <w:tr w14:paraId="1B8041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094" w:type="pct"/>
                  <w:tcBorders>
                    <w:tl2br w:val="nil"/>
                    <w:tr2bl w:val="nil"/>
                  </w:tcBorders>
                  <w:noWrap w:val="0"/>
                  <w:vAlign w:val="center"/>
                </w:tcPr>
                <w:p w14:paraId="3A6103DE">
                  <w:pPr>
                    <w:spacing w:line="0" w:lineRule="atLeast"/>
                    <w:jc w:val="center"/>
                    <w:outlineLvl w:val="0"/>
                    <w:rPr>
                      <w:b w:val="0"/>
                      <w:bCs w:val="0"/>
                      <w:color w:val="auto"/>
                      <w:sz w:val="21"/>
                      <w:szCs w:val="21"/>
                      <w:highlight w:val="none"/>
                    </w:rPr>
                  </w:pPr>
                  <w:bookmarkStart w:id="20" w:name="_Toc13628"/>
                  <w:r>
                    <w:rPr>
                      <w:b w:val="0"/>
                      <w:bCs w:val="0"/>
                      <w:color w:val="auto"/>
                      <w:sz w:val="21"/>
                      <w:szCs w:val="21"/>
                      <w:highlight w:val="none"/>
                    </w:rPr>
                    <w:t>2类</w:t>
                  </w:r>
                  <w:bookmarkEnd w:id="20"/>
                </w:p>
              </w:tc>
              <w:tc>
                <w:tcPr>
                  <w:tcW w:w="1309" w:type="pct"/>
                  <w:tcBorders>
                    <w:tl2br w:val="nil"/>
                    <w:tr2bl w:val="nil"/>
                  </w:tcBorders>
                  <w:noWrap w:val="0"/>
                  <w:vAlign w:val="center"/>
                </w:tcPr>
                <w:p w14:paraId="63A2C5A0">
                  <w:pPr>
                    <w:keepNext/>
                    <w:spacing w:line="0" w:lineRule="atLeast"/>
                    <w:jc w:val="center"/>
                    <w:rPr>
                      <w:b w:val="0"/>
                      <w:bCs w:val="0"/>
                      <w:color w:val="auto"/>
                      <w:sz w:val="21"/>
                      <w:szCs w:val="21"/>
                      <w:highlight w:val="none"/>
                    </w:rPr>
                  </w:pPr>
                  <w:r>
                    <w:rPr>
                      <w:b w:val="0"/>
                      <w:bCs w:val="0"/>
                      <w:color w:val="auto"/>
                      <w:sz w:val="21"/>
                      <w:szCs w:val="21"/>
                      <w:highlight w:val="none"/>
                    </w:rPr>
                    <w:t>60</w:t>
                  </w:r>
                </w:p>
              </w:tc>
              <w:tc>
                <w:tcPr>
                  <w:tcW w:w="1596" w:type="pct"/>
                  <w:tcBorders>
                    <w:tl2br w:val="nil"/>
                    <w:tr2bl w:val="nil"/>
                  </w:tcBorders>
                  <w:noWrap w:val="0"/>
                  <w:vAlign w:val="center"/>
                </w:tcPr>
                <w:p w14:paraId="63B9B4DB">
                  <w:pPr>
                    <w:keepNext/>
                    <w:spacing w:line="0" w:lineRule="atLeast"/>
                    <w:jc w:val="center"/>
                    <w:rPr>
                      <w:b w:val="0"/>
                      <w:bCs w:val="0"/>
                      <w:color w:val="auto"/>
                      <w:sz w:val="21"/>
                      <w:szCs w:val="21"/>
                      <w:highlight w:val="none"/>
                    </w:rPr>
                  </w:pPr>
                  <w:r>
                    <w:rPr>
                      <w:b w:val="0"/>
                      <w:bCs w:val="0"/>
                      <w:color w:val="auto"/>
                      <w:sz w:val="21"/>
                      <w:szCs w:val="21"/>
                      <w:highlight w:val="none"/>
                    </w:rPr>
                    <w:t>50</w:t>
                  </w:r>
                </w:p>
              </w:tc>
            </w:tr>
          </w:tbl>
          <w:p w14:paraId="44C0EFF9">
            <w:pPr>
              <w:autoSpaceDE w:val="0"/>
              <w:autoSpaceDN w:val="0"/>
              <w:spacing w:before="120" w:beforeLines="50" w:line="360" w:lineRule="auto"/>
              <w:ind w:left="482"/>
              <w:rPr>
                <w:b w:val="0"/>
                <w:bCs w:val="0"/>
                <w:color w:val="auto"/>
                <w:kern w:val="0"/>
                <w:sz w:val="24"/>
                <w:szCs w:val="24"/>
                <w:highlight w:val="none"/>
              </w:rPr>
            </w:pPr>
            <w:r>
              <w:rPr>
                <w:rFonts w:hint="eastAsia"/>
                <w:b w:val="0"/>
                <w:bCs w:val="0"/>
                <w:color w:val="auto"/>
                <w:kern w:val="0"/>
                <w:sz w:val="24"/>
                <w:szCs w:val="24"/>
                <w:highlight w:val="none"/>
                <w:lang w:eastAsia="zh-CN"/>
              </w:rPr>
              <w:t>4.</w:t>
            </w:r>
            <w:r>
              <w:rPr>
                <w:b w:val="0"/>
                <w:bCs w:val="0"/>
                <w:color w:val="auto"/>
                <w:sz w:val="24"/>
                <w:szCs w:val="24"/>
                <w:highlight w:val="none"/>
              </w:rPr>
              <w:t>固体废物排放标准</w:t>
            </w:r>
          </w:p>
          <w:p w14:paraId="4C7F7AA2">
            <w:pPr>
              <w:adjustRightInd w:val="0"/>
              <w:snapToGrid w:val="0"/>
              <w:spacing w:line="360" w:lineRule="auto"/>
              <w:ind w:firstLine="480" w:firstLineChars="200"/>
              <w:jc w:val="left"/>
              <w:rPr>
                <w:b w:val="0"/>
                <w:bCs w:val="0"/>
                <w:color w:val="auto"/>
                <w:kern w:val="0"/>
                <w:sz w:val="24"/>
                <w:szCs w:val="24"/>
                <w:highlight w:val="green"/>
              </w:rPr>
            </w:pPr>
            <w:r>
              <w:rPr>
                <w:color w:val="auto"/>
                <w:sz w:val="24"/>
                <w:highlight w:val="none"/>
              </w:rPr>
              <w:t>一般工业固体废物贮存过程应满足相应防渗漏、防雨淋、防扬尘等环境保护要求</w:t>
            </w:r>
            <w:r>
              <w:rPr>
                <w:rFonts w:hint="eastAsia"/>
                <w:color w:val="auto"/>
                <w:sz w:val="24"/>
                <w:highlight w:val="none"/>
                <w:lang w:eastAsia="zh-CN"/>
              </w:rPr>
              <w:t>，</w:t>
            </w:r>
            <w:r>
              <w:rPr>
                <w:rFonts w:hint="eastAsia"/>
                <w:color w:val="auto"/>
                <w:sz w:val="24"/>
                <w:highlight w:val="none"/>
                <w:lang w:val="en-US" w:eastAsia="zh-CN"/>
              </w:rPr>
              <w:t>危险废物执行</w:t>
            </w:r>
            <w:r>
              <w:rPr>
                <w:rFonts w:hint="eastAsia" w:ascii="Times New Roman" w:hAnsi="Times New Roman" w:cs="宋体"/>
                <w:color w:val="auto"/>
                <w:kern w:val="0"/>
                <w:sz w:val="24"/>
                <w:szCs w:val="21"/>
                <w:highlight w:val="none"/>
              </w:rPr>
              <w:t>《危险废物贮存污染控制标准》（GB18597-2023）相关规定。</w:t>
            </w:r>
          </w:p>
        </w:tc>
      </w:tr>
      <w:tr w14:paraId="26D718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4" w:hRule="atLeast"/>
        </w:trPr>
        <w:tc>
          <w:tcPr>
            <w:tcW w:w="828" w:type="dxa"/>
            <w:noWrap w:val="0"/>
            <w:vAlign w:val="center"/>
          </w:tcPr>
          <w:p w14:paraId="62A085DF">
            <w:pPr>
              <w:adjustRightInd w:val="0"/>
              <w:snapToGrid w:val="0"/>
              <w:jc w:val="center"/>
              <w:rPr>
                <w:b w:val="0"/>
                <w:bCs w:val="0"/>
                <w:color w:val="auto"/>
                <w:kern w:val="0"/>
                <w:sz w:val="24"/>
                <w:szCs w:val="24"/>
                <w:highlight w:val="none"/>
              </w:rPr>
            </w:pPr>
            <w:r>
              <w:rPr>
                <w:rFonts w:hAnsi="宋体"/>
                <w:b w:val="0"/>
                <w:bCs w:val="0"/>
                <w:color w:val="auto"/>
                <w:kern w:val="0"/>
                <w:sz w:val="24"/>
                <w:szCs w:val="24"/>
                <w:highlight w:val="none"/>
              </w:rPr>
              <w:t>总量</w:t>
            </w:r>
          </w:p>
          <w:p w14:paraId="24B96567">
            <w:pPr>
              <w:adjustRightInd w:val="0"/>
              <w:snapToGrid w:val="0"/>
              <w:jc w:val="center"/>
              <w:rPr>
                <w:b w:val="0"/>
                <w:bCs w:val="0"/>
                <w:color w:val="auto"/>
                <w:kern w:val="0"/>
                <w:sz w:val="24"/>
                <w:szCs w:val="24"/>
                <w:highlight w:val="none"/>
              </w:rPr>
            </w:pPr>
            <w:r>
              <w:rPr>
                <w:rFonts w:hAnsi="宋体"/>
                <w:b w:val="0"/>
                <w:bCs w:val="0"/>
                <w:color w:val="auto"/>
                <w:kern w:val="0"/>
                <w:sz w:val="24"/>
                <w:szCs w:val="24"/>
                <w:highlight w:val="none"/>
              </w:rPr>
              <w:t>控制</w:t>
            </w:r>
          </w:p>
          <w:p w14:paraId="0327B618">
            <w:pPr>
              <w:adjustRightInd w:val="0"/>
              <w:snapToGrid w:val="0"/>
              <w:jc w:val="center"/>
              <w:rPr>
                <w:b w:val="0"/>
                <w:bCs w:val="0"/>
                <w:color w:val="auto"/>
                <w:kern w:val="0"/>
                <w:sz w:val="24"/>
                <w:szCs w:val="24"/>
                <w:highlight w:val="green"/>
              </w:rPr>
            </w:pPr>
            <w:r>
              <w:rPr>
                <w:rFonts w:hAnsi="宋体"/>
                <w:b w:val="0"/>
                <w:bCs w:val="0"/>
                <w:color w:val="auto"/>
                <w:kern w:val="0"/>
                <w:sz w:val="24"/>
                <w:szCs w:val="24"/>
                <w:highlight w:val="none"/>
              </w:rPr>
              <w:t>指标</w:t>
            </w:r>
          </w:p>
        </w:tc>
        <w:tc>
          <w:tcPr>
            <w:tcW w:w="8814" w:type="dxa"/>
            <w:noWrap w:val="0"/>
            <w:vAlign w:val="center"/>
          </w:tcPr>
          <w:p w14:paraId="0279D106">
            <w:pPr>
              <w:widowControl/>
              <w:spacing w:line="360" w:lineRule="auto"/>
              <w:ind w:firstLine="480" w:firstLineChars="200"/>
              <w:jc w:val="left"/>
              <w:rPr>
                <w:rFonts w:hint="eastAsia"/>
                <w:color w:val="auto"/>
                <w:sz w:val="24"/>
                <w:szCs w:val="24"/>
                <w:highlight w:val="green"/>
              </w:rPr>
            </w:pPr>
          </w:p>
          <w:p w14:paraId="5E17932F">
            <w:pPr>
              <w:pStyle w:val="30"/>
              <w:rPr>
                <w:rFonts w:hint="eastAsia"/>
                <w:color w:val="auto"/>
                <w:sz w:val="24"/>
                <w:szCs w:val="24"/>
                <w:highlight w:val="green"/>
              </w:rPr>
            </w:pPr>
          </w:p>
          <w:p w14:paraId="4AA6175F">
            <w:pPr>
              <w:pStyle w:val="30"/>
              <w:rPr>
                <w:rFonts w:hint="eastAsia"/>
                <w:color w:val="auto"/>
                <w:sz w:val="24"/>
                <w:szCs w:val="24"/>
                <w:highlight w:val="green"/>
              </w:rPr>
            </w:pPr>
          </w:p>
          <w:p w14:paraId="0863CBCF">
            <w:pPr>
              <w:rPr>
                <w:rFonts w:hint="eastAsia"/>
                <w:color w:val="auto"/>
                <w:sz w:val="24"/>
                <w:szCs w:val="24"/>
                <w:highlight w:val="green"/>
              </w:rPr>
            </w:pPr>
          </w:p>
          <w:p w14:paraId="2FBC50F7">
            <w:pPr>
              <w:adjustRightInd w:val="0"/>
              <w:snapToGrid w:val="0"/>
              <w:spacing w:line="360" w:lineRule="auto"/>
              <w:ind w:firstLine="480" w:firstLineChars="200"/>
              <w:rPr>
                <w:rFonts w:hint="eastAsia"/>
                <w:color w:val="auto"/>
                <w:sz w:val="24"/>
                <w:highlight w:val="none"/>
              </w:rPr>
            </w:pPr>
            <w:r>
              <w:rPr>
                <w:rFonts w:hint="eastAsia"/>
                <w:color w:val="auto"/>
                <w:sz w:val="24"/>
                <w:highlight w:val="none"/>
              </w:rPr>
              <w:t>根据《“十四五”主要污染物总量控制规划编制技术指南》，国家“十四五”期间主要污染物总量控制因子为COD、氨氮、NOx、VOCs。</w:t>
            </w:r>
            <w:r>
              <w:rPr>
                <w:rFonts w:hint="eastAsia"/>
                <w:color w:val="auto"/>
                <w:sz w:val="24"/>
                <w:highlight w:val="none"/>
                <w:lang w:val="en-US" w:eastAsia="zh-CN"/>
              </w:rPr>
              <w:t>项目废水排入市政污水管网，进入太白县污水处理厂处理，</w:t>
            </w:r>
            <w:r>
              <w:rPr>
                <w:rFonts w:hint="eastAsia"/>
                <w:color w:val="auto"/>
                <w:sz w:val="24"/>
                <w:highlight w:val="none"/>
              </w:rPr>
              <w:t>COD、氨氮</w:t>
            </w:r>
            <w:r>
              <w:rPr>
                <w:rFonts w:hint="eastAsia"/>
                <w:color w:val="auto"/>
                <w:sz w:val="24"/>
                <w:highlight w:val="none"/>
                <w:lang w:val="en-US" w:eastAsia="zh-CN"/>
              </w:rPr>
              <w:t>指标已纳入太白县污水处理厂总量控制，</w:t>
            </w:r>
            <w:r>
              <w:rPr>
                <w:rFonts w:hint="eastAsia"/>
                <w:color w:val="auto"/>
                <w:sz w:val="24"/>
                <w:highlight w:val="none"/>
              </w:rPr>
              <w:t>结合本项目实际情况，确定总量控制指标为：NOx。</w:t>
            </w:r>
          </w:p>
          <w:p w14:paraId="2AF94122">
            <w:pPr>
              <w:adjustRightInd w:val="0"/>
              <w:snapToGrid w:val="0"/>
              <w:spacing w:line="360" w:lineRule="auto"/>
              <w:ind w:firstLine="480" w:firstLineChars="200"/>
              <w:rPr>
                <w:color w:val="auto"/>
                <w:sz w:val="24"/>
                <w:highlight w:val="none"/>
              </w:rPr>
            </w:pPr>
            <w:r>
              <w:rPr>
                <w:color w:val="auto"/>
                <w:sz w:val="24"/>
                <w:highlight w:val="none"/>
              </w:rPr>
              <w:t>本项目</w:t>
            </w:r>
            <w:r>
              <w:rPr>
                <w:rFonts w:hint="eastAsia"/>
                <w:color w:val="auto"/>
                <w:sz w:val="24"/>
                <w:highlight w:val="none"/>
              </w:rPr>
              <w:t>NOx</w:t>
            </w:r>
            <w:r>
              <w:rPr>
                <w:color w:val="auto"/>
                <w:sz w:val="24"/>
                <w:highlight w:val="none"/>
              </w:rPr>
              <w:t>排放量为</w:t>
            </w:r>
            <w:r>
              <w:rPr>
                <w:rFonts w:hint="eastAsia"/>
                <w:color w:val="auto"/>
                <w:sz w:val="24"/>
                <w:highlight w:val="none"/>
                <w:lang w:val="en-US" w:eastAsia="zh-CN"/>
              </w:rPr>
              <w:t>0.221</w:t>
            </w:r>
            <w:r>
              <w:rPr>
                <w:color w:val="auto"/>
                <w:sz w:val="24"/>
                <w:highlight w:val="none"/>
              </w:rPr>
              <w:t>t/a</w:t>
            </w:r>
            <w:r>
              <w:rPr>
                <w:rFonts w:hint="eastAsia"/>
                <w:color w:val="auto"/>
                <w:sz w:val="24"/>
                <w:highlight w:val="none"/>
                <w:lang w:eastAsia="zh-CN"/>
              </w:rPr>
              <w:t>，</w:t>
            </w:r>
            <w:r>
              <w:rPr>
                <w:rFonts w:hint="eastAsia"/>
                <w:color w:val="auto"/>
                <w:sz w:val="24"/>
                <w:highlight w:val="none"/>
                <w:lang w:val="en-US" w:eastAsia="zh-CN"/>
              </w:rPr>
              <w:t>项目总量来源为购买获得</w:t>
            </w:r>
            <w:r>
              <w:rPr>
                <w:color w:val="auto"/>
                <w:sz w:val="24"/>
                <w:highlight w:val="none"/>
              </w:rPr>
              <w:t>。</w:t>
            </w:r>
          </w:p>
          <w:p w14:paraId="63D41C41">
            <w:pPr>
              <w:rPr>
                <w:color w:val="auto"/>
                <w:sz w:val="24"/>
                <w:szCs w:val="24"/>
                <w:highlight w:val="green"/>
              </w:rPr>
            </w:pPr>
          </w:p>
          <w:p w14:paraId="527B8248">
            <w:pPr>
              <w:pStyle w:val="30"/>
              <w:rPr>
                <w:color w:val="auto"/>
                <w:sz w:val="24"/>
                <w:szCs w:val="24"/>
                <w:highlight w:val="green"/>
              </w:rPr>
            </w:pPr>
          </w:p>
          <w:p w14:paraId="44020FD5">
            <w:pPr>
              <w:pStyle w:val="30"/>
              <w:rPr>
                <w:color w:val="auto"/>
                <w:sz w:val="24"/>
                <w:szCs w:val="24"/>
                <w:highlight w:val="green"/>
              </w:rPr>
            </w:pPr>
          </w:p>
          <w:p w14:paraId="5E951CCC">
            <w:pPr>
              <w:rPr>
                <w:color w:val="auto"/>
                <w:sz w:val="24"/>
                <w:szCs w:val="24"/>
                <w:highlight w:val="green"/>
              </w:rPr>
            </w:pPr>
          </w:p>
          <w:p w14:paraId="69B02202">
            <w:pPr>
              <w:pStyle w:val="30"/>
              <w:rPr>
                <w:color w:val="auto"/>
                <w:sz w:val="24"/>
                <w:szCs w:val="24"/>
                <w:highlight w:val="green"/>
              </w:rPr>
            </w:pPr>
          </w:p>
          <w:p w14:paraId="4AE6CC1E">
            <w:pPr>
              <w:rPr>
                <w:color w:val="auto"/>
                <w:sz w:val="24"/>
                <w:szCs w:val="24"/>
                <w:highlight w:val="green"/>
              </w:rPr>
            </w:pPr>
          </w:p>
          <w:p w14:paraId="117379DB">
            <w:pPr>
              <w:pStyle w:val="30"/>
              <w:rPr>
                <w:color w:val="auto"/>
                <w:sz w:val="24"/>
                <w:szCs w:val="24"/>
                <w:highlight w:val="green"/>
              </w:rPr>
            </w:pPr>
          </w:p>
          <w:p w14:paraId="5AA737DB">
            <w:pPr>
              <w:rPr>
                <w:color w:val="auto"/>
                <w:sz w:val="24"/>
                <w:szCs w:val="24"/>
                <w:highlight w:val="green"/>
              </w:rPr>
            </w:pPr>
          </w:p>
          <w:p w14:paraId="1355E7F7">
            <w:pPr>
              <w:pStyle w:val="30"/>
              <w:ind w:left="0" w:leftChars="0" w:firstLine="0" w:firstLineChars="0"/>
              <w:rPr>
                <w:color w:val="auto"/>
                <w:sz w:val="24"/>
                <w:szCs w:val="24"/>
                <w:highlight w:val="green"/>
              </w:rPr>
            </w:pPr>
          </w:p>
          <w:p w14:paraId="798E6D8E">
            <w:pPr>
              <w:rPr>
                <w:color w:val="auto"/>
                <w:sz w:val="24"/>
                <w:szCs w:val="24"/>
                <w:highlight w:val="green"/>
              </w:rPr>
            </w:pPr>
          </w:p>
          <w:p w14:paraId="1AF2F8B6">
            <w:pPr>
              <w:rPr>
                <w:color w:val="auto"/>
                <w:sz w:val="24"/>
                <w:szCs w:val="24"/>
                <w:highlight w:val="green"/>
              </w:rPr>
            </w:pPr>
          </w:p>
          <w:p w14:paraId="6EC10027">
            <w:pPr>
              <w:rPr>
                <w:color w:val="auto"/>
                <w:sz w:val="24"/>
                <w:szCs w:val="24"/>
                <w:highlight w:val="green"/>
              </w:rPr>
            </w:pPr>
          </w:p>
          <w:p w14:paraId="0D156A23">
            <w:pPr>
              <w:rPr>
                <w:color w:val="auto"/>
                <w:sz w:val="24"/>
                <w:szCs w:val="24"/>
                <w:highlight w:val="green"/>
              </w:rPr>
            </w:pPr>
          </w:p>
          <w:p w14:paraId="1014464E">
            <w:pPr>
              <w:rPr>
                <w:color w:val="auto"/>
                <w:sz w:val="24"/>
                <w:szCs w:val="24"/>
                <w:highlight w:val="green"/>
              </w:rPr>
            </w:pPr>
          </w:p>
          <w:p w14:paraId="609EE12A">
            <w:pPr>
              <w:rPr>
                <w:color w:val="auto"/>
                <w:sz w:val="24"/>
                <w:szCs w:val="24"/>
                <w:highlight w:val="green"/>
              </w:rPr>
            </w:pPr>
          </w:p>
          <w:p w14:paraId="762D7A37">
            <w:pPr>
              <w:rPr>
                <w:color w:val="auto"/>
                <w:sz w:val="24"/>
                <w:szCs w:val="24"/>
                <w:highlight w:val="green"/>
              </w:rPr>
            </w:pPr>
          </w:p>
          <w:p w14:paraId="664F8650">
            <w:pPr>
              <w:rPr>
                <w:color w:val="auto"/>
                <w:sz w:val="24"/>
                <w:szCs w:val="24"/>
                <w:highlight w:val="green"/>
              </w:rPr>
            </w:pPr>
          </w:p>
          <w:p w14:paraId="10975B9B">
            <w:pPr>
              <w:rPr>
                <w:color w:val="auto"/>
                <w:sz w:val="24"/>
                <w:szCs w:val="24"/>
                <w:highlight w:val="green"/>
              </w:rPr>
            </w:pPr>
          </w:p>
          <w:p w14:paraId="13EE722E">
            <w:pPr>
              <w:rPr>
                <w:color w:val="auto"/>
                <w:sz w:val="24"/>
                <w:szCs w:val="24"/>
                <w:highlight w:val="green"/>
              </w:rPr>
            </w:pPr>
          </w:p>
          <w:p w14:paraId="7B9C4E38">
            <w:pPr>
              <w:rPr>
                <w:color w:val="auto"/>
                <w:sz w:val="24"/>
                <w:szCs w:val="24"/>
                <w:highlight w:val="green"/>
              </w:rPr>
            </w:pPr>
          </w:p>
          <w:p w14:paraId="4113B475">
            <w:pPr>
              <w:rPr>
                <w:color w:val="auto"/>
                <w:sz w:val="24"/>
                <w:szCs w:val="24"/>
                <w:highlight w:val="green"/>
              </w:rPr>
            </w:pPr>
          </w:p>
          <w:p w14:paraId="63B72F75">
            <w:pPr>
              <w:rPr>
                <w:color w:val="auto"/>
                <w:sz w:val="24"/>
                <w:szCs w:val="24"/>
                <w:highlight w:val="green"/>
              </w:rPr>
            </w:pPr>
          </w:p>
          <w:p w14:paraId="650C1065">
            <w:pPr>
              <w:rPr>
                <w:color w:val="auto"/>
                <w:sz w:val="24"/>
                <w:szCs w:val="24"/>
                <w:highlight w:val="green"/>
              </w:rPr>
            </w:pPr>
          </w:p>
          <w:p w14:paraId="7C89402E">
            <w:pPr>
              <w:rPr>
                <w:color w:val="auto"/>
                <w:sz w:val="24"/>
                <w:szCs w:val="24"/>
                <w:highlight w:val="green"/>
              </w:rPr>
            </w:pPr>
          </w:p>
          <w:p w14:paraId="0FBC0F86">
            <w:pPr>
              <w:rPr>
                <w:color w:val="auto"/>
                <w:sz w:val="24"/>
                <w:szCs w:val="24"/>
                <w:highlight w:val="green"/>
              </w:rPr>
            </w:pPr>
          </w:p>
          <w:p w14:paraId="3120A243">
            <w:pPr>
              <w:rPr>
                <w:color w:val="auto"/>
                <w:sz w:val="24"/>
                <w:szCs w:val="24"/>
                <w:highlight w:val="green"/>
              </w:rPr>
            </w:pPr>
          </w:p>
          <w:p w14:paraId="5A73E5AA">
            <w:pPr>
              <w:rPr>
                <w:color w:val="auto"/>
                <w:sz w:val="24"/>
                <w:szCs w:val="24"/>
                <w:highlight w:val="green"/>
              </w:rPr>
            </w:pPr>
          </w:p>
          <w:p w14:paraId="6EC2AEC5">
            <w:pPr>
              <w:rPr>
                <w:color w:val="auto"/>
                <w:sz w:val="24"/>
                <w:szCs w:val="24"/>
                <w:highlight w:val="green"/>
              </w:rPr>
            </w:pPr>
          </w:p>
          <w:p w14:paraId="65281F81">
            <w:pPr>
              <w:rPr>
                <w:color w:val="auto"/>
                <w:sz w:val="24"/>
                <w:szCs w:val="24"/>
                <w:highlight w:val="green"/>
              </w:rPr>
            </w:pPr>
          </w:p>
          <w:p w14:paraId="0B9A601D">
            <w:pPr>
              <w:rPr>
                <w:color w:val="auto"/>
                <w:sz w:val="24"/>
                <w:szCs w:val="24"/>
                <w:highlight w:val="green"/>
              </w:rPr>
            </w:pPr>
          </w:p>
          <w:p w14:paraId="300FE9DE">
            <w:pPr>
              <w:rPr>
                <w:color w:val="auto"/>
                <w:sz w:val="24"/>
                <w:szCs w:val="24"/>
                <w:highlight w:val="green"/>
              </w:rPr>
            </w:pPr>
          </w:p>
          <w:p w14:paraId="79BFE5BA">
            <w:pPr>
              <w:rPr>
                <w:color w:val="auto"/>
                <w:sz w:val="24"/>
                <w:szCs w:val="24"/>
                <w:highlight w:val="green"/>
              </w:rPr>
            </w:pPr>
          </w:p>
          <w:p w14:paraId="4F8835D3">
            <w:pPr>
              <w:rPr>
                <w:color w:val="auto"/>
                <w:sz w:val="24"/>
                <w:szCs w:val="24"/>
                <w:highlight w:val="green"/>
              </w:rPr>
            </w:pPr>
          </w:p>
          <w:p w14:paraId="1EAE03CF">
            <w:pPr>
              <w:pStyle w:val="30"/>
              <w:rPr>
                <w:color w:val="auto"/>
                <w:sz w:val="24"/>
                <w:szCs w:val="24"/>
                <w:highlight w:val="green"/>
              </w:rPr>
            </w:pPr>
          </w:p>
          <w:p w14:paraId="66A2CA67">
            <w:pPr>
              <w:rPr>
                <w:color w:val="auto"/>
                <w:sz w:val="24"/>
                <w:szCs w:val="24"/>
                <w:highlight w:val="green"/>
              </w:rPr>
            </w:pPr>
          </w:p>
          <w:p w14:paraId="2739962D">
            <w:pPr>
              <w:rPr>
                <w:color w:val="auto"/>
                <w:sz w:val="24"/>
                <w:szCs w:val="24"/>
                <w:highlight w:val="green"/>
              </w:rPr>
            </w:pPr>
          </w:p>
        </w:tc>
      </w:tr>
    </w:tbl>
    <w:p w14:paraId="193E3A6F">
      <w:pPr>
        <w:pStyle w:val="33"/>
        <w:spacing w:before="0" w:beforeAutospacing="0" w:after="0" w:afterAutospacing="0"/>
        <w:jc w:val="center"/>
        <w:outlineLvl w:val="0"/>
        <w:rPr>
          <w:rFonts w:ascii="Times New Roman" w:hAnsi="Times New Roman"/>
          <w:snapToGrid w:val="0"/>
          <w:color w:val="auto"/>
          <w:sz w:val="30"/>
          <w:szCs w:val="30"/>
          <w:highlight w:val="none"/>
        </w:rPr>
      </w:pPr>
      <w:r>
        <w:rPr>
          <w:rFonts w:ascii="Times New Roman" w:hAnsi="Times New Roman"/>
          <w:snapToGrid w:val="0"/>
          <w:color w:val="auto"/>
          <w:sz w:val="36"/>
          <w:szCs w:val="36"/>
          <w:highlight w:val="green"/>
        </w:rPr>
        <w:br w:type="page"/>
      </w:r>
      <w:bookmarkStart w:id="21" w:name="_Toc17061"/>
      <w:r>
        <w:rPr>
          <w:rFonts w:ascii="黑体" w:hAnsi="黑体" w:eastAsia="黑体"/>
          <w:snapToGrid w:val="0"/>
          <w:color w:val="auto"/>
          <w:sz w:val="30"/>
          <w:szCs w:val="30"/>
          <w:highlight w:val="none"/>
        </w:rPr>
        <w:t>四、主要环境影响和保护措施</w:t>
      </w:r>
      <w:bookmarkEnd w:id="21"/>
    </w:p>
    <w:tbl>
      <w:tblPr>
        <w:tblStyle w:val="3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11"/>
        <w:gridCol w:w="8871"/>
      </w:tblGrid>
      <w:tr w14:paraId="3456E8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1" w:type="dxa"/>
            <w:noWrap w:val="0"/>
            <w:tcMar>
              <w:left w:w="28" w:type="dxa"/>
              <w:right w:w="28" w:type="dxa"/>
            </w:tcMar>
            <w:vAlign w:val="center"/>
          </w:tcPr>
          <w:p w14:paraId="3208CDCE">
            <w:pPr>
              <w:adjustRightInd w:val="0"/>
              <w:snapToGrid w:val="0"/>
              <w:jc w:val="center"/>
              <w:rPr>
                <w:rFonts w:hAnsi="宋体"/>
                <w:b w:val="0"/>
                <w:bCs/>
                <w:color w:val="auto"/>
                <w:sz w:val="24"/>
                <w:szCs w:val="24"/>
                <w:highlight w:val="green"/>
              </w:rPr>
            </w:pPr>
            <w:r>
              <w:rPr>
                <w:rFonts w:hint="eastAsia" w:hAnsi="宋体"/>
                <w:b w:val="0"/>
                <w:bCs/>
                <w:color w:val="auto"/>
                <w:sz w:val="24"/>
                <w:szCs w:val="24"/>
                <w:highlight w:val="none"/>
              </w:rPr>
              <w:t>施工期环境保护措施</w:t>
            </w:r>
          </w:p>
        </w:tc>
        <w:tc>
          <w:tcPr>
            <w:tcW w:w="8871" w:type="dxa"/>
            <w:noWrap w:val="0"/>
            <w:vAlign w:val="center"/>
          </w:tcPr>
          <w:p w14:paraId="33CEAB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eastAsia" w:ascii="Times New Roman" w:hAnsi="Times New Roman" w:cs="Times New Roman"/>
                <w:color w:val="auto"/>
                <w:sz w:val="24"/>
                <w:highlight w:val="none"/>
                <w:lang w:val="en-US" w:eastAsia="zh-CN"/>
              </w:rPr>
              <w:t>项目供热站在楼顶建设，不涉及土方开挖，</w:t>
            </w:r>
            <w:r>
              <w:rPr>
                <w:rFonts w:hint="eastAsia" w:ascii="Times New Roman" w:hAnsi="Times New Roman" w:eastAsia="宋体" w:cs="Times New Roman"/>
                <w:color w:val="auto"/>
                <w:sz w:val="24"/>
                <w:highlight w:val="none"/>
                <w:lang w:eastAsia="zh-CN"/>
              </w:rPr>
              <w:t>因此施工期污染主要为施工噪声、施工人员生活污水，固体废物等。</w:t>
            </w:r>
          </w:p>
          <w:p w14:paraId="5D0FD8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lang w:val="en-US" w:eastAsia="zh-CN"/>
              </w:rPr>
              <w:t>1.</w:t>
            </w:r>
            <w:r>
              <w:rPr>
                <w:rFonts w:hint="default" w:ascii="Times New Roman" w:hAnsi="Times New Roman" w:eastAsia="宋体" w:cs="Times New Roman"/>
                <w:b/>
                <w:bCs/>
                <w:color w:val="auto"/>
                <w:sz w:val="24"/>
                <w:highlight w:val="none"/>
              </w:rPr>
              <w:t>施工期废水环境影响分析</w:t>
            </w:r>
          </w:p>
          <w:p w14:paraId="2889DC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施工期产生的废水主要包括施工人员的生活污水。</w:t>
            </w:r>
          </w:p>
          <w:p w14:paraId="273C89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w:t>
            </w:r>
            <w:r>
              <w:rPr>
                <w:rFonts w:hint="eastAsia" w:ascii="Times New Roman" w:hAnsi="Times New Roman" w:eastAsia="宋体" w:cs="Times New Roman"/>
                <w:color w:val="auto"/>
                <w:sz w:val="24"/>
                <w:highlight w:val="none"/>
                <w:lang w:eastAsia="zh-CN"/>
              </w:rPr>
              <w:t>期施工人员来自当地，不在现场食宿，</w:t>
            </w:r>
            <w:r>
              <w:rPr>
                <w:rFonts w:hint="default" w:ascii="Times New Roman" w:hAnsi="Times New Roman" w:eastAsia="宋体" w:cs="Times New Roman"/>
                <w:color w:val="auto"/>
                <w:sz w:val="24"/>
                <w:highlight w:val="none"/>
              </w:rPr>
              <w:t>施工现场</w:t>
            </w:r>
            <w:r>
              <w:rPr>
                <w:rFonts w:hint="eastAsia" w:ascii="Times New Roman" w:hAnsi="Times New Roman" w:eastAsia="宋体" w:cs="Times New Roman"/>
                <w:color w:val="auto"/>
                <w:sz w:val="24"/>
                <w:highlight w:val="none"/>
                <w:lang w:eastAsia="zh-CN"/>
              </w:rPr>
              <w:t>利用</w:t>
            </w:r>
            <w:r>
              <w:rPr>
                <w:rFonts w:hint="eastAsia" w:ascii="Times New Roman" w:hAnsi="Times New Roman" w:cs="Times New Roman"/>
                <w:color w:val="auto"/>
                <w:sz w:val="24"/>
                <w:highlight w:val="none"/>
                <w:lang w:val="en-US" w:eastAsia="zh-CN"/>
              </w:rPr>
              <w:t>当地</w:t>
            </w:r>
            <w:r>
              <w:rPr>
                <w:rFonts w:hint="eastAsia" w:ascii="Times New Roman" w:hAnsi="Times New Roman" w:eastAsia="宋体" w:cs="Times New Roman"/>
                <w:color w:val="auto"/>
                <w:sz w:val="24"/>
                <w:szCs w:val="24"/>
                <w:highlight w:val="none"/>
                <w:lang w:val="en-US" w:eastAsia="zh-CN"/>
              </w:rPr>
              <w:t>公厕</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en-US" w:eastAsia="zh-CN"/>
              </w:rPr>
              <w:t>生活污水经</w:t>
            </w:r>
            <w:r>
              <w:rPr>
                <w:rFonts w:hint="eastAsia" w:ascii="Times New Roman" w:hAnsi="Times New Roman" w:cs="Times New Roman"/>
                <w:color w:val="auto"/>
                <w:sz w:val="24"/>
                <w:highlight w:val="none"/>
                <w:lang w:val="en-US" w:eastAsia="zh-CN"/>
              </w:rPr>
              <w:t>公厕</w:t>
            </w:r>
            <w:r>
              <w:rPr>
                <w:rFonts w:hint="eastAsia" w:ascii="Times New Roman" w:hAnsi="Times New Roman" w:eastAsia="宋体" w:cs="Times New Roman"/>
                <w:color w:val="auto"/>
                <w:sz w:val="24"/>
                <w:highlight w:val="none"/>
                <w:lang w:val="en-US" w:eastAsia="zh-CN"/>
              </w:rPr>
              <w:t>化粪池预处理后</w:t>
            </w:r>
            <w:r>
              <w:rPr>
                <w:rFonts w:hint="eastAsia" w:ascii="Times New Roman" w:hAnsi="Times New Roman" w:cs="Times New Roman"/>
                <w:color w:val="auto"/>
                <w:sz w:val="24"/>
                <w:highlight w:val="none"/>
                <w:lang w:val="en-US" w:eastAsia="zh-CN"/>
              </w:rPr>
              <w:t>排入市政污水管网，最终进入太白县污水处理厂处理达标后排放</w:t>
            </w:r>
            <w:r>
              <w:rPr>
                <w:rFonts w:hint="default" w:ascii="Times New Roman" w:hAnsi="Times New Roman" w:eastAsia="宋体" w:cs="Times New Roman"/>
                <w:color w:val="auto"/>
                <w:sz w:val="24"/>
                <w:highlight w:val="none"/>
              </w:rPr>
              <w:t>。</w:t>
            </w:r>
          </w:p>
          <w:p w14:paraId="09EC0A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施工期噪声影响分析</w:t>
            </w:r>
          </w:p>
          <w:p w14:paraId="635A9B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项目施工噪声主要来自</w:t>
            </w:r>
            <w:r>
              <w:rPr>
                <w:rFonts w:hint="eastAsia" w:ascii="Times New Roman" w:hAnsi="Times New Roman" w:eastAsia="宋体" w:cs="Times New Roman"/>
                <w:color w:val="auto"/>
                <w:sz w:val="24"/>
                <w:highlight w:val="none"/>
                <w:lang w:eastAsia="zh-CN"/>
              </w:rPr>
              <w:t>设备运输、吊装产生的噪声</w:t>
            </w:r>
            <w:r>
              <w:rPr>
                <w:rFonts w:hint="default" w:ascii="Times New Roman" w:hAnsi="Times New Roman" w:eastAsia="宋体" w:cs="Times New Roman"/>
                <w:color w:val="auto"/>
                <w:sz w:val="24"/>
                <w:highlight w:val="none"/>
              </w:rPr>
              <w:t>。</w:t>
            </w:r>
          </w:p>
          <w:p w14:paraId="4558F9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项目施工期产生的</w:t>
            </w:r>
            <w:r>
              <w:rPr>
                <w:rFonts w:hint="eastAsia" w:ascii="Times New Roman" w:hAnsi="Times New Roman" w:eastAsia="宋体" w:cs="Times New Roman"/>
                <w:color w:val="auto"/>
                <w:sz w:val="24"/>
                <w:highlight w:val="none"/>
                <w:lang w:eastAsia="zh-CN"/>
              </w:rPr>
              <w:t>噪声</w:t>
            </w:r>
            <w:r>
              <w:rPr>
                <w:rFonts w:hint="default" w:ascii="Times New Roman" w:hAnsi="Times New Roman" w:eastAsia="宋体" w:cs="Times New Roman"/>
                <w:color w:val="auto"/>
                <w:sz w:val="24"/>
                <w:highlight w:val="none"/>
              </w:rPr>
              <w:t>较强，为减轻施工期噪声对周围环境的影响，要求建设单位在施工期采取以下相应措施：</w:t>
            </w:r>
          </w:p>
          <w:p w14:paraId="5BD2E8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（1）优先选择性能良好的高效低噪施工设备。日常应注意对施工设备的维修保养，使各种施工机械保持良好</w:t>
            </w:r>
            <w:r>
              <w:rPr>
                <w:rFonts w:hint="eastAsia" w:ascii="Times New Roman" w:hAnsi="Times New Roman" w:eastAsia="宋体" w:cs="Times New Roman"/>
                <w:color w:val="auto"/>
                <w:sz w:val="24"/>
                <w:highlight w:val="none"/>
                <w:lang w:eastAsia="zh-CN"/>
              </w:rPr>
              <w:t>的</w:t>
            </w:r>
            <w:r>
              <w:rPr>
                <w:rFonts w:hint="default" w:ascii="Times New Roman" w:hAnsi="Times New Roman" w:eastAsia="宋体" w:cs="Times New Roman"/>
                <w:color w:val="auto"/>
                <w:sz w:val="24"/>
                <w:highlight w:val="none"/>
              </w:rPr>
              <w:t>运行状态，以减少噪声的产生；</w:t>
            </w:r>
          </w:p>
          <w:p w14:paraId="288FD2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（2）施工车辆的运行线路应尽量避开噪声敏感区，减少施工期噪声对周围环境的影响。</w:t>
            </w:r>
          </w:p>
          <w:p w14:paraId="5C5E91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在采取以上噪声控制措施后，施工期噪声能够满足相关标准的要求，项目施工期较短，在合理安排施工时间的情况下，对周边声环境影响不大。</w:t>
            </w:r>
          </w:p>
          <w:p w14:paraId="366E09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lang w:val="en-US" w:eastAsia="zh-CN"/>
              </w:rPr>
              <w:t>3.</w:t>
            </w:r>
            <w:r>
              <w:rPr>
                <w:rFonts w:hint="default" w:ascii="Times New Roman" w:hAnsi="Times New Roman" w:eastAsia="宋体" w:cs="Times New Roman"/>
                <w:b/>
                <w:bCs/>
                <w:color w:val="auto"/>
                <w:sz w:val="24"/>
                <w:highlight w:val="none"/>
              </w:rPr>
              <w:t>固体废物环境影响分析</w:t>
            </w:r>
          </w:p>
          <w:p w14:paraId="2D6CDA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施工期固体废物主要为建筑垃圾及施工人员生活垃圾。针对施工期固废，环评要求采取如下污染防治措施：</w:t>
            </w:r>
          </w:p>
          <w:p w14:paraId="266F1A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（1）施工场地中施工人员的生活垃圾，要求分别设置生活垃圾箱（桶）， 固定地点堆放，分类收集，定期交环卫部门处理；</w:t>
            </w:r>
          </w:p>
          <w:p w14:paraId="2E11CA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（2）建筑垃圾与生活垃圾应分类堆放、分别处置，禁止乱堆乱倒；</w:t>
            </w:r>
          </w:p>
          <w:p w14:paraId="2E35FC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采取以上措施后，施工期固废对周围环境的影响较小。</w:t>
            </w:r>
          </w:p>
          <w:p w14:paraId="1AE6FE69">
            <w:pPr>
              <w:adjustRightInd w:val="0"/>
              <w:snapToGrid w:val="0"/>
              <w:spacing w:line="360" w:lineRule="auto"/>
              <w:ind w:firstLine="480" w:firstLineChars="200"/>
              <w:jc w:val="left"/>
              <w:rPr>
                <w:rFonts w:hint="eastAsia"/>
                <w:color w:val="auto"/>
                <w:sz w:val="24"/>
                <w:szCs w:val="24"/>
                <w:highlight w:val="green"/>
                <w:lang w:eastAsia="zh-CN"/>
              </w:rPr>
            </w:pPr>
          </w:p>
          <w:p w14:paraId="275394A4">
            <w:pPr>
              <w:pStyle w:val="30"/>
              <w:rPr>
                <w:rFonts w:hint="eastAsia"/>
                <w:color w:val="auto"/>
                <w:sz w:val="24"/>
                <w:szCs w:val="24"/>
                <w:highlight w:val="green"/>
                <w:lang w:eastAsia="zh-CN"/>
              </w:rPr>
            </w:pPr>
          </w:p>
          <w:p w14:paraId="4ECC047A">
            <w:pPr>
              <w:rPr>
                <w:rFonts w:hint="eastAsia"/>
                <w:color w:val="auto"/>
                <w:sz w:val="24"/>
                <w:szCs w:val="24"/>
                <w:highlight w:val="green"/>
                <w:lang w:eastAsia="zh-CN"/>
              </w:rPr>
            </w:pPr>
          </w:p>
          <w:p w14:paraId="3FDB08EF">
            <w:pPr>
              <w:pStyle w:val="30"/>
              <w:rPr>
                <w:rFonts w:hint="eastAsia"/>
                <w:color w:val="auto"/>
                <w:sz w:val="24"/>
                <w:szCs w:val="24"/>
                <w:highlight w:val="green"/>
                <w:lang w:eastAsia="zh-CN"/>
              </w:rPr>
            </w:pPr>
          </w:p>
          <w:p w14:paraId="11391337">
            <w:pPr>
              <w:rPr>
                <w:rFonts w:hint="eastAsia"/>
                <w:color w:val="auto"/>
                <w:sz w:val="24"/>
                <w:szCs w:val="24"/>
                <w:highlight w:val="green"/>
                <w:lang w:eastAsia="zh-CN"/>
              </w:rPr>
            </w:pPr>
          </w:p>
          <w:p w14:paraId="393EE141">
            <w:pPr>
              <w:pStyle w:val="30"/>
              <w:rPr>
                <w:rFonts w:hint="eastAsia"/>
                <w:color w:val="auto"/>
                <w:sz w:val="24"/>
                <w:szCs w:val="24"/>
                <w:highlight w:val="green"/>
                <w:lang w:eastAsia="zh-CN"/>
              </w:rPr>
            </w:pPr>
          </w:p>
          <w:p w14:paraId="0E88ADEA">
            <w:pPr>
              <w:rPr>
                <w:rFonts w:hint="eastAsia"/>
                <w:color w:val="auto"/>
                <w:sz w:val="24"/>
                <w:szCs w:val="24"/>
                <w:highlight w:val="green"/>
                <w:lang w:eastAsia="zh-CN"/>
              </w:rPr>
            </w:pPr>
          </w:p>
          <w:p w14:paraId="082F081F">
            <w:pPr>
              <w:rPr>
                <w:rFonts w:hint="eastAsia"/>
                <w:color w:val="auto"/>
                <w:sz w:val="24"/>
                <w:szCs w:val="24"/>
                <w:highlight w:val="green"/>
                <w:lang w:eastAsia="zh-CN"/>
              </w:rPr>
            </w:pPr>
          </w:p>
          <w:p w14:paraId="42DF463F">
            <w:pPr>
              <w:pStyle w:val="30"/>
              <w:rPr>
                <w:rFonts w:hint="eastAsia"/>
                <w:color w:val="auto"/>
                <w:highlight w:val="green"/>
                <w:lang w:eastAsia="zh-CN"/>
              </w:rPr>
            </w:pPr>
          </w:p>
        </w:tc>
      </w:tr>
      <w:tr w14:paraId="63D009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69" w:hRule="atLeast"/>
          <w:jc w:val="center"/>
        </w:trPr>
        <w:tc>
          <w:tcPr>
            <w:tcW w:w="511" w:type="dxa"/>
            <w:noWrap w:val="0"/>
            <w:tcMar>
              <w:left w:w="28" w:type="dxa"/>
              <w:right w:w="28" w:type="dxa"/>
            </w:tcMar>
            <w:vAlign w:val="center"/>
          </w:tcPr>
          <w:p w14:paraId="5659C0E1">
            <w:pPr>
              <w:adjustRightInd w:val="0"/>
              <w:snapToGrid w:val="0"/>
              <w:jc w:val="center"/>
              <w:rPr>
                <w:b w:val="0"/>
                <w:bCs/>
                <w:color w:val="auto"/>
                <w:sz w:val="24"/>
                <w:szCs w:val="24"/>
                <w:highlight w:val="none"/>
              </w:rPr>
            </w:pPr>
            <w:r>
              <w:rPr>
                <w:rFonts w:hAnsi="宋体"/>
                <w:b w:val="0"/>
                <w:bCs/>
                <w:color w:val="auto"/>
                <w:sz w:val="24"/>
                <w:szCs w:val="24"/>
                <w:highlight w:val="none"/>
              </w:rPr>
              <w:t>运营</w:t>
            </w:r>
          </w:p>
          <w:p w14:paraId="21FF6A8C">
            <w:pPr>
              <w:adjustRightInd w:val="0"/>
              <w:snapToGrid w:val="0"/>
              <w:jc w:val="center"/>
              <w:rPr>
                <w:b w:val="0"/>
                <w:bCs/>
                <w:color w:val="auto"/>
                <w:sz w:val="24"/>
                <w:szCs w:val="24"/>
                <w:highlight w:val="none"/>
              </w:rPr>
            </w:pPr>
            <w:r>
              <w:rPr>
                <w:rFonts w:hAnsi="宋体"/>
                <w:b w:val="0"/>
                <w:bCs/>
                <w:color w:val="auto"/>
                <w:sz w:val="24"/>
                <w:szCs w:val="24"/>
                <w:highlight w:val="none"/>
              </w:rPr>
              <w:t>期环</w:t>
            </w:r>
          </w:p>
          <w:p w14:paraId="64CF7343">
            <w:pPr>
              <w:adjustRightInd w:val="0"/>
              <w:snapToGrid w:val="0"/>
              <w:jc w:val="center"/>
              <w:rPr>
                <w:b w:val="0"/>
                <w:bCs/>
                <w:color w:val="auto"/>
                <w:sz w:val="24"/>
                <w:szCs w:val="24"/>
                <w:highlight w:val="none"/>
              </w:rPr>
            </w:pPr>
            <w:r>
              <w:rPr>
                <w:rFonts w:hAnsi="宋体"/>
                <w:b w:val="0"/>
                <w:bCs/>
                <w:color w:val="auto"/>
                <w:sz w:val="24"/>
                <w:szCs w:val="24"/>
                <w:highlight w:val="none"/>
              </w:rPr>
              <w:t>境影</w:t>
            </w:r>
          </w:p>
          <w:p w14:paraId="0EAA453E">
            <w:pPr>
              <w:adjustRightInd w:val="0"/>
              <w:snapToGrid w:val="0"/>
              <w:jc w:val="center"/>
              <w:rPr>
                <w:b w:val="0"/>
                <w:bCs/>
                <w:color w:val="auto"/>
                <w:sz w:val="24"/>
                <w:szCs w:val="24"/>
                <w:highlight w:val="none"/>
              </w:rPr>
            </w:pPr>
            <w:r>
              <w:rPr>
                <w:rFonts w:hAnsi="宋体"/>
                <w:b w:val="0"/>
                <w:bCs/>
                <w:color w:val="auto"/>
                <w:sz w:val="24"/>
                <w:szCs w:val="24"/>
                <w:highlight w:val="none"/>
              </w:rPr>
              <w:t>响和</w:t>
            </w:r>
          </w:p>
          <w:p w14:paraId="287D9616">
            <w:pPr>
              <w:adjustRightInd w:val="0"/>
              <w:snapToGrid w:val="0"/>
              <w:jc w:val="center"/>
              <w:rPr>
                <w:b w:val="0"/>
                <w:bCs/>
                <w:color w:val="auto"/>
                <w:sz w:val="24"/>
                <w:szCs w:val="24"/>
                <w:highlight w:val="none"/>
              </w:rPr>
            </w:pPr>
            <w:r>
              <w:rPr>
                <w:rFonts w:hAnsi="宋体"/>
                <w:b w:val="0"/>
                <w:bCs/>
                <w:color w:val="auto"/>
                <w:sz w:val="24"/>
                <w:szCs w:val="24"/>
                <w:highlight w:val="none"/>
              </w:rPr>
              <w:t>保护</w:t>
            </w:r>
          </w:p>
          <w:p w14:paraId="751417B0">
            <w:pPr>
              <w:adjustRightInd w:val="0"/>
              <w:snapToGrid w:val="0"/>
              <w:jc w:val="center"/>
              <w:rPr>
                <w:b w:val="0"/>
                <w:bCs/>
                <w:color w:val="auto"/>
                <w:sz w:val="24"/>
                <w:szCs w:val="24"/>
                <w:highlight w:val="green"/>
              </w:rPr>
            </w:pPr>
            <w:r>
              <w:rPr>
                <w:rFonts w:hAnsi="宋体"/>
                <w:b w:val="0"/>
                <w:bCs/>
                <w:color w:val="auto"/>
                <w:sz w:val="24"/>
                <w:szCs w:val="24"/>
                <w:highlight w:val="none"/>
              </w:rPr>
              <w:t>措施</w:t>
            </w:r>
          </w:p>
        </w:tc>
        <w:tc>
          <w:tcPr>
            <w:tcW w:w="8871" w:type="dxa"/>
            <w:noWrap w:val="0"/>
            <w:vAlign w:val="center"/>
          </w:tcPr>
          <w:p w14:paraId="79A2204F">
            <w:pPr>
              <w:autoSpaceDE w:val="0"/>
              <w:autoSpaceDN w:val="0"/>
              <w:spacing w:line="360" w:lineRule="auto"/>
              <w:ind w:firstLine="482" w:firstLineChars="200"/>
              <w:rPr>
                <w:rFonts w:hint="eastAsia" w:ascii="Times New Roman" w:hAnsi="Times New Roman" w:eastAsia="宋体" w:cs="Times New Roman"/>
                <w:b/>
                <w:bCs/>
                <w:color w:val="auto"/>
                <w:sz w:val="24"/>
                <w:szCs w:val="24"/>
                <w:highlight w:val="none"/>
                <w:lang w:eastAsia="zh-CN"/>
              </w:rPr>
            </w:pPr>
            <w:r>
              <w:rPr>
                <w:rFonts w:hint="eastAsia" w:cs="Times New Roman"/>
                <w:b/>
                <w:bCs/>
                <w:color w:val="auto"/>
                <w:sz w:val="24"/>
                <w:szCs w:val="24"/>
                <w:highlight w:val="none"/>
                <w:lang w:val="en-US" w:eastAsia="zh-CN"/>
              </w:rPr>
              <w:t>1.</w:t>
            </w:r>
            <w:r>
              <w:rPr>
                <w:rFonts w:hint="eastAsia" w:ascii="Times New Roman" w:hAnsi="Times New Roman" w:eastAsia="宋体" w:cs="Times New Roman"/>
                <w:b/>
                <w:bCs/>
                <w:color w:val="auto"/>
                <w:sz w:val="24"/>
                <w:szCs w:val="24"/>
                <w:highlight w:val="none"/>
                <w:lang w:eastAsia="zh-CN"/>
              </w:rPr>
              <w:t>大气环境影响及保护措施</w:t>
            </w:r>
          </w:p>
          <w:p w14:paraId="630D301A">
            <w:pPr>
              <w:autoSpaceDE w:val="0"/>
              <w:autoSpaceDN w:val="0"/>
              <w:spacing w:line="360" w:lineRule="auto"/>
              <w:ind w:firstLine="482" w:firstLineChars="200"/>
              <w:rPr>
                <w:rFonts w:hint="eastAsia" w:ascii="Times New Roman" w:hAnsi="Times New Roman" w:eastAsia="宋体" w:cs="Times New Roman"/>
                <w:b/>
                <w:bCs/>
                <w:color w:val="auto"/>
                <w:sz w:val="24"/>
                <w:szCs w:val="24"/>
                <w:highlight w:val="none"/>
                <w:lang w:eastAsia="zh-CN"/>
              </w:rPr>
            </w:pPr>
            <w:r>
              <w:rPr>
                <w:rFonts w:hint="eastAsia" w:ascii="Times New Roman" w:hAnsi="Times New Roman" w:eastAsia="宋体" w:cs="Times New Roman"/>
                <w:b/>
                <w:bCs/>
                <w:color w:val="auto"/>
                <w:sz w:val="24"/>
                <w:szCs w:val="24"/>
                <w:highlight w:val="none"/>
              </w:rPr>
              <w:t>1.1废气</w:t>
            </w:r>
            <w:r>
              <w:rPr>
                <w:rFonts w:hint="eastAsia" w:ascii="Times New Roman" w:hAnsi="Times New Roman" w:eastAsia="宋体" w:cs="Times New Roman"/>
                <w:b/>
                <w:bCs/>
                <w:color w:val="auto"/>
                <w:sz w:val="24"/>
                <w:szCs w:val="24"/>
                <w:highlight w:val="none"/>
                <w:lang w:eastAsia="zh-CN"/>
              </w:rPr>
              <w:t>污染物排放源</w:t>
            </w:r>
          </w:p>
          <w:p w14:paraId="7EDE61BB">
            <w:pPr>
              <w:pStyle w:val="3"/>
              <w:keepNext w:val="0"/>
              <w:keepLines w:val="0"/>
              <w:numPr>
                <w:ilvl w:val="1"/>
                <w:numId w:val="0"/>
              </w:numPr>
              <w:suppressLineNumbers w:val="0"/>
              <w:adjustRightInd w:val="0"/>
              <w:snapToGrid w:val="0"/>
              <w:spacing w:before="0" w:beforeAutospacing="0" w:after="0" w:afterAutospacing="0" w:line="360" w:lineRule="auto"/>
              <w:ind w:right="0" w:firstLine="480" w:firstLineChars="200"/>
              <w:jc w:val="left"/>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本项目</w:t>
            </w:r>
            <w:r>
              <w:rPr>
                <w:rFonts w:hint="eastAsia" w:ascii="Times New Roman" w:hAnsi="Times New Roman" w:eastAsia="宋体" w:cs="Times New Roman"/>
                <w:b w:val="0"/>
                <w:bCs w:val="0"/>
                <w:color w:val="auto"/>
                <w:kern w:val="2"/>
                <w:sz w:val="24"/>
                <w:szCs w:val="24"/>
                <w:highlight w:val="none"/>
                <w:lang w:val="en-US" w:eastAsia="zh-CN" w:bidi="ar-SA"/>
              </w:rPr>
              <w:t>运营期废气主</w:t>
            </w:r>
            <w:r>
              <w:rPr>
                <w:rFonts w:hint="eastAsia" w:ascii="Times New Roman" w:hAnsi="Times New Roman" w:cs="Times New Roman"/>
                <w:b w:val="0"/>
                <w:bCs w:val="0"/>
                <w:color w:val="auto"/>
                <w:kern w:val="2"/>
                <w:sz w:val="24"/>
                <w:szCs w:val="24"/>
                <w:highlight w:val="none"/>
                <w:lang w:val="en-US" w:eastAsia="zh-CN" w:bidi="ar-SA"/>
              </w:rPr>
              <w:t>要为热源站</w:t>
            </w:r>
            <w:r>
              <w:rPr>
                <w:rFonts w:hint="eastAsia" w:ascii="Times New Roman" w:hAnsi="Times New Roman" w:eastAsia="宋体" w:cs="Times New Roman"/>
                <w:b w:val="0"/>
                <w:bCs w:val="0"/>
                <w:color w:val="auto"/>
                <w:kern w:val="2"/>
                <w:sz w:val="24"/>
                <w:szCs w:val="24"/>
                <w:highlight w:val="none"/>
                <w:lang w:val="en-US" w:eastAsia="zh-CN" w:bidi="ar-SA"/>
              </w:rPr>
              <w:t>燃气锅炉燃烧废气，</w:t>
            </w:r>
            <w:r>
              <w:rPr>
                <w:rFonts w:hint="default" w:ascii="Times New Roman" w:hAnsi="Times New Roman" w:eastAsia="宋体" w:cs="Times New Roman"/>
                <w:b w:val="0"/>
                <w:bCs w:val="0"/>
                <w:color w:val="auto"/>
                <w:kern w:val="2"/>
                <w:sz w:val="24"/>
                <w:szCs w:val="24"/>
                <w:highlight w:val="none"/>
                <w:lang w:val="en-US" w:eastAsia="zh-CN" w:bidi="ar-SA"/>
              </w:rPr>
              <w:t>废气产生源强详见下表</w:t>
            </w:r>
          </w:p>
          <w:p w14:paraId="42207A39">
            <w:pPr>
              <w:adjustRightInd w:val="0"/>
              <w:snapToGrid w:val="0"/>
              <w:jc w:val="center"/>
              <w:rPr>
                <w:rFonts w:hint="eastAsia"/>
                <w:b/>
                <w:bCs/>
                <w:color w:val="auto"/>
                <w:sz w:val="24"/>
                <w:szCs w:val="24"/>
                <w:highlight w:val="none"/>
              </w:rPr>
            </w:pPr>
            <w:r>
              <w:rPr>
                <w:rFonts w:hint="default" w:ascii="Times New Roman" w:hAnsi="Times New Roman" w:eastAsia="宋体" w:cs="Times New Roman"/>
                <w:b/>
                <w:bCs/>
                <w:color w:val="auto"/>
                <w:kern w:val="2"/>
                <w:sz w:val="24"/>
                <w:szCs w:val="24"/>
                <w:highlight w:val="none"/>
                <w:lang w:val="en-US" w:eastAsia="zh-CN" w:bidi="ar-SA"/>
              </w:rPr>
              <w:t>表4-</w:t>
            </w:r>
            <w:r>
              <w:rPr>
                <w:rFonts w:hint="eastAsia" w:ascii="Times New Roman" w:hAnsi="Times New Roman" w:eastAsia="宋体" w:cs="Times New Roman"/>
                <w:b/>
                <w:bCs/>
                <w:color w:val="auto"/>
                <w:kern w:val="2"/>
                <w:sz w:val="24"/>
                <w:szCs w:val="24"/>
                <w:highlight w:val="none"/>
                <w:lang w:val="en-US" w:eastAsia="zh-CN" w:bidi="ar-SA"/>
              </w:rPr>
              <w:t>1   锅炉</w:t>
            </w:r>
            <w:r>
              <w:rPr>
                <w:rFonts w:hint="default" w:ascii="Times New Roman" w:hAnsi="Times New Roman" w:eastAsia="宋体" w:cs="Times New Roman"/>
                <w:b/>
                <w:bCs/>
                <w:color w:val="auto"/>
                <w:kern w:val="2"/>
                <w:sz w:val="24"/>
                <w:szCs w:val="24"/>
                <w:highlight w:val="none"/>
                <w:lang w:val="en-US" w:eastAsia="zh-CN" w:bidi="ar-SA"/>
              </w:rPr>
              <w:t>废气污染物产生情况一览表</w:t>
            </w:r>
          </w:p>
          <w:tbl>
            <w:tblPr>
              <w:tblStyle w:val="37"/>
              <w:tblW w:w="8676" w:type="dxa"/>
              <w:tblInd w:w="6"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45"/>
              <w:gridCol w:w="988"/>
              <w:gridCol w:w="1693"/>
              <w:gridCol w:w="1338"/>
              <w:gridCol w:w="1975"/>
              <w:gridCol w:w="1937"/>
            </w:tblGrid>
            <w:tr w14:paraId="78BD4B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426" w:type="dxa"/>
                  <w:gridSpan w:val="3"/>
                  <w:tcBorders>
                    <w:tl2br w:val="nil"/>
                    <w:tr2bl w:val="nil"/>
                  </w:tcBorders>
                  <w:noWrap w:val="0"/>
                  <w:vAlign w:val="center"/>
                </w:tcPr>
                <w:p w14:paraId="35205668">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产污环节</w:t>
                  </w:r>
                </w:p>
              </w:tc>
              <w:tc>
                <w:tcPr>
                  <w:tcW w:w="5250" w:type="dxa"/>
                  <w:gridSpan w:val="3"/>
                  <w:tcBorders>
                    <w:tl2br w:val="nil"/>
                    <w:tr2bl w:val="nil"/>
                  </w:tcBorders>
                  <w:noWrap w:val="0"/>
                  <w:vAlign w:val="center"/>
                </w:tcPr>
                <w:p w14:paraId="0A8404EB">
                  <w:pPr>
                    <w:widowControl/>
                    <w:jc w:val="center"/>
                    <w:rPr>
                      <w:rFonts w:hint="default" w:ascii="Times New Roman" w:hAnsi="Times New Roman" w:eastAsia="宋体" w:cs="Times New Roman"/>
                      <w:color w:val="auto"/>
                      <w:kern w:val="0"/>
                      <w:sz w:val="21"/>
                      <w:szCs w:val="21"/>
                      <w:highlight w:val="none"/>
                      <w:lang w:val="en-US"/>
                    </w:rPr>
                  </w:pPr>
                  <w:r>
                    <w:rPr>
                      <w:rFonts w:hint="eastAsia" w:ascii="Times New Roman" w:hAnsi="Times New Roman" w:eastAsia="宋体" w:cs="Times New Roman"/>
                      <w:color w:val="auto"/>
                      <w:kern w:val="0"/>
                      <w:sz w:val="21"/>
                      <w:szCs w:val="21"/>
                      <w:highlight w:val="none"/>
                      <w:lang w:val="en-US" w:eastAsia="zh-CN"/>
                    </w:rPr>
                    <w:t>燃气锅炉烟气</w:t>
                  </w:r>
                </w:p>
              </w:tc>
            </w:tr>
            <w:tr w14:paraId="0A7974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426" w:type="dxa"/>
                  <w:gridSpan w:val="3"/>
                  <w:tcBorders>
                    <w:tl2br w:val="nil"/>
                    <w:tr2bl w:val="nil"/>
                  </w:tcBorders>
                  <w:noWrap w:val="0"/>
                  <w:vAlign w:val="center"/>
                </w:tcPr>
                <w:p w14:paraId="723CC1B5">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污染物种类</w:t>
                  </w:r>
                </w:p>
              </w:tc>
              <w:tc>
                <w:tcPr>
                  <w:tcW w:w="1338" w:type="dxa"/>
                  <w:tcBorders>
                    <w:tl2br w:val="nil"/>
                    <w:tr2bl w:val="nil"/>
                  </w:tcBorders>
                  <w:noWrap w:val="0"/>
                  <w:vAlign w:val="center"/>
                </w:tcPr>
                <w:p w14:paraId="556357F0">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颗粒物</w:t>
                  </w:r>
                </w:p>
              </w:tc>
              <w:tc>
                <w:tcPr>
                  <w:tcW w:w="1975" w:type="dxa"/>
                  <w:tcBorders>
                    <w:tl2br w:val="nil"/>
                    <w:tr2bl w:val="nil"/>
                  </w:tcBorders>
                  <w:noWrap w:val="0"/>
                  <w:vAlign w:val="center"/>
                </w:tcPr>
                <w:p w14:paraId="23E8FC7F">
                  <w:pPr>
                    <w:widowControl/>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lang w:eastAsia="zh-CN"/>
                    </w:rPr>
                    <w:t>二氧化硫</w:t>
                  </w:r>
                </w:p>
              </w:tc>
              <w:tc>
                <w:tcPr>
                  <w:tcW w:w="1937" w:type="dxa"/>
                  <w:tcBorders>
                    <w:tl2br w:val="nil"/>
                    <w:tr2bl w:val="nil"/>
                  </w:tcBorders>
                  <w:noWrap w:val="0"/>
                  <w:vAlign w:val="center"/>
                </w:tcPr>
                <w:p w14:paraId="6216514B">
                  <w:pPr>
                    <w:widowControl/>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lang w:eastAsia="zh-CN"/>
                    </w:rPr>
                    <w:t>氮氧化物</w:t>
                  </w:r>
                </w:p>
              </w:tc>
            </w:tr>
            <w:tr w14:paraId="681FC8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426" w:type="dxa"/>
                  <w:gridSpan w:val="3"/>
                  <w:tcBorders>
                    <w:tl2br w:val="nil"/>
                    <w:tr2bl w:val="nil"/>
                  </w:tcBorders>
                  <w:noWrap w:val="0"/>
                  <w:vAlign w:val="center"/>
                </w:tcPr>
                <w:p w14:paraId="669492D4">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污染物产生量t/a</w:t>
                  </w:r>
                </w:p>
              </w:tc>
              <w:tc>
                <w:tcPr>
                  <w:tcW w:w="1338" w:type="dxa"/>
                  <w:tcBorders>
                    <w:tl2br w:val="nil"/>
                    <w:tr2bl w:val="nil"/>
                  </w:tcBorders>
                  <w:noWrap w:val="0"/>
                  <w:vAlign w:val="center"/>
                </w:tcPr>
                <w:p w14:paraId="036BF517">
                  <w:pPr>
                    <w:widowControl/>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0.070</w:t>
                  </w:r>
                </w:p>
              </w:tc>
              <w:tc>
                <w:tcPr>
                  <w:tcW w:w="1975" w:type="dxa"/>
                  <w:tcBorders>
                    <w:tl2br w:val="nil"/>
                    <w:tr2bl w:val="nil"/>
                  </w:tcBorders>
                  <w:noWrap w:val="0"/>
                  <w:vAlign w:val="center"/>
                </w:tcPr>
                <w:p w14:paraId="5BF2E5F7">
                  <w:pPr>
                    <w:widowControl/>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0.024</w:t>
                  </w:r>
                </w:p>
              </w:tc>
              <w:tc>
                <w:tcPr>
                  <w:tcW w:w="1937" w:type="dxa"/>
                  <w:tcBorders>
                    <w:tl2br w:val="nil"/>
                    <w:tr2bl w:val="nil"/>
                  </w:tcBorders>
                  <w:noWrap w:val="0"/>
                  <w:vAlign w:val="center"/>
                </w:tcPr>
                <w:p w14:paraId="00BB704D">
                  <w:pPr>
                    <w:widowControl/>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0.221</w:t>
                  </w:r>
                </w:p>
              </w:tc>
            </w:tr>
            <w:tr w14:paraId="308F6E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426" w:type="dxa"/>
                  <w:gridSpan w:val="3"/>
                  <w:tcBorders>
                    <w:tl2br w:val="nil"/>
                    <w:tr2bl w:val="nil"/>
                  </w:tcBorders>
                  <w:noWrap w:val="0"/>
                  <w:vAlign w:val="center"/>
                </w:tcPr>
                <w:p w14:paraId="5C783B0B">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污染物产生浓度mg/m</w:t>
                  </w:r>
                  <w:r>
                    <w:rPr>
                      <w:rFonts w:hint="default" w:ascii="Times New Roman" w:hAnsi="Times New Roman" w:eastAsia="宋体" w:cs="Times New Roman"/>
                      <w:color w:val="auto"/>
                      <w:kern w:val="0"/>
                      <w:sz w:val="21"/>
                      <w:szCs w:val="21"/>
                      <w:highlight w:val="none"/>
                      <w:vertAlign w:val="superscript"/>
                    </w:rPr>
                    <w:t>3</w:t>
                  </w:r>
                </w:p>
              </w:tc>
              <w:tc>
                <w:tcPr>
                  <w:tcW w:w="1338" w:type="dxa"/>
                  <w:tcBorders>
                    <w:tl2br w:val="nil"/>
                    <w:tr2bl w:val="nil"/>
                  </w:tcBorders>
                  <w:noWrap w:val="0"/>
                  <w:vAlign w:val="center"/>
                </w:tcPr>
                <w:p w14:paraId="6EA7EFB4">
                  <w:pPr>
                    <w:widowControl/>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b w:val="0"/>
                      <w:bCs/>
                      <w:color w:val="auto"/>
                      <w:sz w:val="21"/>
                      <w:szCs w:val="21"/>
                      <w:highlight w:val="none"/>
                      <w:lang w:val="en-US" w:eastAsia="zh-CN"/>
                    </w:rPr>
                    <w:t>8.9</w:t>
                  </w:r>
                </w:p>
              </w:tc>
              <w:tc>
                <w:tcPr>
                  <w:tcW w:w="1975" w:type="dxa"/>
                  <w:tcBorders>
                    <w:tl2br w:val="nil"/>
                    <w:tr2bl w:val="nil"/>
                  </w:tcBorders>
                  <w:noWrap w:val="0"/>
                  <w:vAlign w:val="center"/>
                </w:tcPr>
                <w:p w14:paraId="2D21D574">
                  <w:pPr>
                    <w:widowControl/>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3.0</w:t>
                  </w:r>
                </w:p>
              </w:tc>
              <w:tc>
                <w:tcPr>
                  <w:tcW w:w="1937" w:type="dxa"/>
                  <w:tcBorders>
                    <w:tl2br w:val="nil"/>
                    <w:tr2bl w:val="nil"/>
                  </w:tcBorders>
                  <w:noWrap w:val="0"/>
                  <w:vAlign w:val="center"/>
                </w:tcPr>
                <w:p w14:paraId="5C15EBA1">
                  <w:pPr>
                    <w:widowControl/>
                    <w:jc w:val="center"/>
                    <w:rPr>
                      <w:rFonts w:hint="default" w:ascii="Times New Roman" w:hAnsi="Times New Roman" w:eastAsia="宋体" w:cs="Times New Roman"/>
                      <w:color w:val="auto"/>
                      <w:kern w:val="0"/>
                      <w:sz w:val="21"/>
                      <w:szCs w:val="21"/>
                      <w:highlight w:val="none"/>
                      <w:lang w:val="en-US" w:eastAsia="zh-CN"/>
                    </w:rPr>
                  </w:pPr>
                  <w:r>
                    <w:rPr>
                      <w:rFonts w:hint="eastAsia"/>
                      <w:b w:val="0"/>
                      <w:bCs/>
                      <w:color w:val="auto"/>
                      <w:sz w:val="21"/>
                      <w:szCs w:val="21"/>
                      <w:highlight w:val="none"/>
                      <w:lang w:val="en-US" w:eastAsia="zh-CN"/>
                    </w:rPr>
                    <w:t>28.2</w:t>
                  </w:r>
                </w:p>
              </w:tc>
            </w:tr>
            <w:tr w14:paraId="23B454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426" w:type="dxa"/>
                  <w:gridSpan w:val="3"/>
                  <w:tcBorders>
                    <w:tl2br w:val="nil"/>
                    <w:tr2bl w:val="nil"/>
                  </w:tcBorders>
                  <w:noWrap w:val="0"/>
                  <w:vAlign w:val="center"/>
                </w:tcPr>
                <w:p w14:paraId="1A819253">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排放形式</w:t>
                  </w:r>
                </w:p>
              </w:tc>
              <w:tc>
                <w:tcPr>
                  <w:tcW w:w="5250" w:type="dxa"/>
                  <w:gridSpan w:val="3"/>
                  <w:tcBorders>
                    <w:tl2br w:val="nil"/>
                    <w:tr2bl w:val="nil"/>
                  </w:tcBorders>
                  <w:noWrap w:val="0"/>
                  <w:vAlign w:val="center"/>
                </w:tcPr>
                <w:p w14:paraId="1E5B9A59">
                  <w:pPr>
                    <w:widowControl/>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lang w:eastAsia="zh-CN"/>
                    </w:rPr>
                    <w:t>有组织</w:t>
                  </w:r>
                </w:p>
              </w:tc>
            </w:tr>
            <w:tr w14:paraId="06A0D2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restart"/>
                  <w:tcBorders>
                    <w:tl2br w:val="nil"/>
                    <w:tr2bl w:val="nil"/>
                  </w:tcBorders>
                  <w:noWrap w:val="0"/>
                  <w:vAlign w:val="center"/>
                </w:tcPr>
                <w:p w14:paraId="25BD9C75">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治理设施</w:t>
                  </w:r>
                </w:p>
              </w:tc>
              <w:tc>
                <w:tcPr>
                  <w:tcW w:w="2681" w:type="dxa"/>
                  <w:gridSpan w:val="2"/>
                  <w:tcBorders>
                    <w:tl2br w:val="nil"/>
                    <w:tr2bl w:val="nil"/>
                  </w:tcBorders>
                  <w:noWrap w:val="0"/>
                  <w:vAlign w:val="center"/>
                </w:tcPr>
                <w:p w14:paraId="6B642CC3">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名称</w:t>
                  </w:r>
                </w:p>
              </w:tc>
              <w:tc>
                <w:tcPr>
                  <w:tcW w:w="5250" w:type="dxa"/>
                  <w:gridSpan w:val="3"/>
                  <w:tcBorders>
                    <w:tl2br w:val="nil"/>
                    <w:tr2bl w:val="nil"/>
                  </w:tcBorders>
                  <w:noWrap w:val="0"/>
                  <w:vAlign w:val="center"/>
                </w:tcPr>
                <w:p w14:paraId="0AB938E5">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eastAsia="zh-CN"/>
                    </w:rPr>
                    <w:t>低氮燃烧系统</w:t>
                  </w:r>
                </w:p>
              </w:tc>
            </w:tr>
            <w:tr w14:paraId="66771A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continue"/>
                  <w:tcBorders>
                    <w:tl2br w:val="nil"/>
                    <w:tr2bl w:val="nil"/>
                  </w:tcBorders>
                  <w:noWrap w:val="0"/>
                  <w:vAlign w:val="center"/>
                </w:tcPr>
                <w:p w14:paraId="38BEB272">
                  <w:pPr>
                    <w:widowControl/>
                    <w:jc w:val="left"/>
                    <w:rPr>
                      <w:rFonts w:hint="default" w:ascii="Times New Roman" w:hAnsi="Times New Roman" w:eastAsia="宋体" w:cs="Times New Roman"/>
                      <w:color w:val="auto"/>
                      <w:kern w:val="0"/>
                      <w:sz w:val="21"/>
                      <w:szCs w:val="21"/>
                      <w:highlight w:val="none"/>
                    </w:rPr>
                  </w:pPr>
                </w:p>
              </w:tc>
              <w:tc>
                <w:tcPr>
                  <w:tcW w:w="2681" w:type="dxa"/>
                  <w:gridSpan w:val="2"/>
                  <w:tcBorders>
                    <w:tl2br w:val="nil"/>
                    <w:tr2bl w:val="nil"/>
                  </w:tcBorders>
                  <w:noWrap w:val="0"/>
                  <w:vAlign w:val="center"/>
                </w:tcPr>
                <w:p w14:paraId="2D6A2FE7">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处理能力</w:t>
                  </w:r>
                </w:p>
              </w:tc>
              <w:tc>
                <w:tcPr>
                  <w:tcW w:w="5250" w:type="dxa"/>
                  <w:gridSpan w:val="3"/>
                  <w:tcBorders>
                    <w:tl2br w:val="nil"/>
                    <w:tr2bl w:val="nil"/>
                  </w:tcBorders>
                  <w:noWrap w:val="0"/>
                  <w:vAlign w:val="center"/>
                </w:tcPr>
                <w:p w14:paraId="7D5011FE">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w:t>
                  </w:r>
                </w:p>
              </w:tc>
            </w:tr>
            <w:tr w14:paraId="6F3B6A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continue"/>
                  <w:tcBorders>
                    <w:tl2br w:val="nil"/>
                    <w:tr2bl w:val="nil"/>
                  </w:tcBorders>
                  <w:noWrap w:val="0"/>
                  <w:vAlign w:val="center"/>
                </w:tcPr>
                <w:p w14:paraId="0747A594">
                  <w:pPr>
                    <w:widowControl/>
                    <w:jc w:val="left"/>
                    <w:rPr>
                      <w:rFonts w:hint="default" w:ascii="Times New Roman" w:hAnsi="Times New Roman" w:eastAsia="宋体" w:cs="Times New Roman"/>
                      <w:color w:val="auto"/>
                      <w:kern w:val="0"/>
                      <w:sz w:val="21"/>
                      <w:szCs w:val="21"/>
                      <w:highlight w:val="none"/>
                    </w:rPr>
                  </w:pPr>
                </w:p>
              </w:tc>
              <w:tc>
                <w:tcPr>
                  <w:tcW w:w="2681" w:type="dxa"/>
                  <w:gridSpan w:val="2"/>
                  <w:tcBorders>
                    <w:tl2br w:val="nil"/>
                    <w:tr2bl w:val="nil"/>
                  </w:tcBorders>
                  <w:noWrap w:val="0"/>
                  <w:vAlign w:val="center"/>
                </w:tcPr>
                <w:p w14:paraId="37C5F9DE">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收集效率</w:t>
                  </w:r>
                </w:p>
              </w:tc>
              <w:tc>
                <w:tcPr>
                  <w:tcW w:w="5250" w:type="dxa"/>
                  <w:gridSpan w:val="3"/>
                  <w:tcBorders>
                    <w:tl2br w:val="nil"/>
                    <w:tr2bl w:val="nil"/>
                  </w:tcBorders>
                  <w:noWrap w:val="0"/>
                  <w:vAlign w:val="center"/>
                </w:tcPr>
                <w:p w14:paraId="0897EA2D">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100%</w:t>
                  </w:r>
                </w:p>
              </w:tc>
            </w:tr>
            <w:tr w14:paraId="5DD326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continue"/>
                  <w:tcBorders>
                    <w:tl2br w:val="nil"/>
                    <w:tr2bl w:val="nil"/>
                  </w:tcBorders>
                  <w:noWrap w:val="0"/>
                  <w:vAlign w:val="center"/>
                </w:tcPr>
                <w:p w14:paraId="46C96795">
                  <w:pPr>
                    <w:widowControl/>
                    <w:jc w:val="left"/>
                    <w:rPr>
                      <w:rFonts w:hint="default" w:ascii="Times New Roman" w:hAnsi="Times New Roman" w:eastAsia="宋体" w:cs="Times New Roman"/>
                      <w:color w:val="auto"/>
                      <w:kern w:val="0"/>
                      <w:sz w:val="21"/>
                      <w:szCs w:val="21"/>
                      <w:highlight w:val="none"/>
                    </w:rPr>
                  </w:pPr>
                </w:p>
              </w:tc>
              <w:tc>
                <w:tcPr>
                  <w:tcW w:w="2681" w:type="dxa"/>
                  <w:gridSpan w:val="2"/>
                  <w:tcBorders>
                    <w:tl2br w:val="nil"/>
                    <w:tr2bl w:val="nil"/>
                  </w:tcBorders>
                  <w:noWrap w:val="0"/>
                  <w:vAlign w:val="center"/>
                </w:tcPr>
                <w:p w14:paraId="41ACC0D1">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是否可行</w:t>
                  </w:r>
                </w:p>
              </w:tc>
              <w:tc>
                <w:tcPr>
                  <w:tcW w:w="5250" w:type="dxa"/>
                  <w:gridSpan w:val="3"/>
                  <w:tcBorders>
                    <w:tl2br w:val="nil"/>
                    <w:tr2bl w:val="nil"/>
                  </w:tcBorders>
                  <w:noWrap w:val="0"/>
                  <w:vAlign w:val="center"/>
                </w:tcPr>
                <w:p w14:paraId="4C199E6A">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rPr>
                    <w:t>是</w:t>
                  </w:r>
                </w:p>
              </w:tc>
            </w:tr>
            <w:tr w14:paraId="2C14F4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426" w:type="dxa"/>
                  <w:gridSpan w:val="3"/>
                  <w:tcBorders>
                    <w:tl2br w:val="nil"/>
                    <w:tr2bl w:val="nil"/>
                  </w:tcBorders>
                  <w:noWrap w:val="0"/>
                  <w:vAlign w:val="center"/>
                </w:tcPr>
                <w:p w14:paraId="6FA8DE50">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排放浓度（mg/m³）</w:t>
                  </w:r>
                </w:p>
              </w:tc>
              <w:tc>
                <w:tcPr>
                  <w:tcW w:w="1338" w:type="dxa"/>
                  <w:tcBorders>
                    <w:tl2br w:val="nil"/>
                    <w:tr2bl w:val="nil"/>
                  </w:tcBorders>
                  <w:noWrap w:val="0"/>
                  <w:vAlign w:val="center"/>
                </w:tcPr>
                <w:p w14:paraId="79DA9D28">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b w:val="0"/>
                      <w:bCs/>
                      <w:color w:val="auto"/>
                      <w:sz w:val="21"/>
                      <w:szCs w:val="21"/>
                      <w:highlight w:val="none"/>
                      <w:lang w:val="en-US" w:eastAsia="zh-CN"/>
                    </w:rPr>
                    <w:t>8.9</w:t>
                  </w:r>
                </w:p>
              </w:tc>
              <w:tc>
                <w:tcPr>
                  <w:tcW w:w="1975" w:type="dxa"/>
                  <w:tcBorders>
                    <w:tl2br w:val="nil"/>
                    <w:tr2bl w:val="nil"/>
                  </w:tcBorders>
                  <w:noWrap w:val="0"/>
                  <w:vAlign w:val="center"/>
                </w:tcPr>
                <w:p w14:paraId="5A70107F">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3.</w:t>
                  </w:r>
                  <w:r>
                    <w:rPr>
                      <w:rFonts w:hint="eastAsia" w:cs="Times New Roman"/>
                      <w:color w:val="auto"/>
                      <w:kern w:val="0"/>
                      <w:sz w:val="21"/>
                      <w:szCs w:val="21"/>
                      <w:highlight w:val="none"/>
                      <w:lang w:val="en-US" w:eastAsia="zh-CN"/>
                    </w:rPr>
                    <w:t>1</w:t>
                  </w:r>
                </w:p>
              </w:tc>
              <w:tc>
                <w:tcPr>
                  <w:tcW w:w="1937" w:type="dxa"/>
                  <w:tcBorders>
                    <w:tl2br w:val="nil"/>
                    <w:tr2bl w:val="nil"/>
                  </w:tcBorders>
                  <w:noWrap w:val="0"/>
                  <w:vAlign w:val="center"/>
                </w:tcPr>
                <w:p w14:paraId="28F61DA4">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b w:val="0"/>
                      <w:bCs/>
                      <w:color w:val="auto"/>
                      <w:sz w:val="21"/>
                      <w:szCs w:val="21"/>
                      <w:highlight w:val="none"/>
                      <w:lang w:val="en-US" w:eastAsia="zh-CN"/>
                    </w:rPr>
                    <w:t>28.2</w:t>
                  </w:r>
                </w:p>
              </w:tc>
            </w:tr>
            <w:tr w14:paraId="7A644B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3426" w:type="dxa"/>
                  <w:gridSpan w:val="3"/>
                  <w:tcBorders>
                    <w:tl2br w:val="nil"/>
                    <w:tr2bl w:val="nil"/>
                  </w:tcBorders>
                  <w:noWrap w:val="0"/>
                  <w:vAlign w:val="center"/>
                </w:tcPr>
                <w:p w14:paraId="57B8A066">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排放量（t/a）</w:t>
                  </w:r>
                </w:p>
              </w:tc>
              <w:tc>
                <w:tcPr>
                  <w:tcW w:w="1338" w:type="dxa"/>
                  <w:tcBorders>
                    <w:tl2br w:val="nil"/>
                    <w:tr2bl w:val="nil"/>
                  </w:tcBorders>
                  <w:noWrap w:val="0"/>
                  <w:vAlign w:val="center"/>
                </w:tcPr>
                <w:p w14:paraId="515F259F">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rPr>
                    <w:t>0.070</w:t>
                  </w:r>
                </w:p>
              </w:tc>
              <w:tc>
                <w:tcPr>
                  <w:tcW w:w="1975" w:type="dxa"/>
                  <w:tcBorders>
                    <w:tl2br w:val="nil"/>
                    <w:tr2bl w:val="nil"/>
                  </w:tcBorders>
                  <w:noWrap w:val="0"/>
                  <w:vAlign w:val="center"/>
                </w:tcPr>
                <w:p w14:paraId="67B9CDFD">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rPr>
                    <w:t>0.024</w:t>
                  </w:r>
                </w:p>
              </w:tc>
              <w:tc>
                <w:tcPr>
                  <w:tcW w:w="1937" w:type="dxa"/>
                  <w:tcBorders>
                    <w:tl2br w:val="nil"/>
                    <w:tr2bl w:val="nil"/>
                  </w:tcBorders>
                  <w:noWrap w:val="0"/>
                  <w:vAlign w:val="center"/>
                </w:tcPr>
                <w:p w14:paraId="3E8052DE">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rPr>
                    <w:t>0.221</w:t>
                  </w:r>
                </w:p>
              </w:tc>
            </w:tr>
            <w:tr w14:paraId="69BF8B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restart"/>
                  <w:tcBorders>
                    <w:tl2br w:val="nil"/>
                    <w:tr2bl w:val="nil"/>
                  </w:tcBorders>
                  <w:noWrap w:val="0"/>
                  <w:vAlign w:val="center"/>
                </w:tcPr>
                <w:p w14:paraId="085E6E7F">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排放口基本情况</w:t>
                  </w:r>
                </w:p>
              </w:tc>
              <w:tc>
                <w:tcPr>
                  <w:tcW w:w="2681" w:type="dxa"/>
                  <w:gridSpan w:val="2"/>
                  <w:tcBorders>
                    <w:tl2br w:val="nil"/>
                    <w:tr2bl w:val="nil"/>
                  </w:tcBorders>
                  <w:noWrap w:val="0"/>
                  <w:vAlign w:val="center"/>
                </w:tcPr>
                <w:p w14:paraId="57FBE933">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高度m</w:t>
                  </w:r>
                </w:p>
              </w:tc>
              <w:tc>
                <w:tcPr>
                  <w:tcW w:w="5250" w:type="dxa"/>
                  <w:gridSpan w:val="3"/>
                  <w:tcBorders>
                    <w:tl2br w:val="nil"/>
                    <w:tr2bl w:val="nil"/>
                  </w:tcBorders>
                  <w:noWrap w:val="0"/>
                  <w:vAlign w:val="center"/>
                </w:tcPr>
                <w:p w14:paraId="49C29F29">
                  <w:pPr>
                    <w:widowControl/>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10</w:t>
                  </w:r>
                </w:p>
              </w:tc>
            </w:tr>
            <w:tr w14:paraId="7E550B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continue"/>
                  <w:tcBorders>
                    <w:tl2br w:val="nil"/>
                    <w:tr2bl w:val="nil"/>
                  </w:tcBorders>
                  <w:noWrap w:val="0"/>
                  <w:vAlign w:val="center"/>
                </w:tcPr>
                <w:p w14:paraId="5573BA2F">
                  <w:pPr>
                    <w:widowControl/>
                    <w:jc w:val="left"/>
                    <w:rPr>
                      <w:rFonts w:hint="default" w:ascii="Times New Roman" w:hAnsi="Times New Roman" w:eastAsia="宋体" w:cs="Times New Roman"/>
                      <w:color w:val="auto"/>
                      <w:kern w:val="0"/>
                      <w:sz w:val="21"/>
                      <w:szCs w:val="21"/>
                      <w:highlight w:val="none"/>
                    </w:rPr>
                  </w:pPr>
                </w:p>
              </w:tc>
              <w:tc>
                <w:tcPr>
                  <w:tcW w:w="2681" w:type="dxa"/>
                  <w:gridSpan w:val="2"/>
                  <w:tcBorders>
                    <w:tl2br w:val="nil"/>
                    <w:tr2bl w:val="nil"/>
                  </w:tcBorders>
                  <w:noWrap w:val="0"/>
                  <w:vAlign w:val="center"/>
                </w:tcPr>
                <w:p w14:paraId="7D9E9AE4">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排气筒内径m</w:t>
                  </w:r>
                </w:p>
              </w:tc>
              <w:tc>
                <w:tcPr>
                  <w:tcW w:w="5250" w:type="dxa"/>
                  <w:gridSpan w:val="3"/>
                  <w:tcBorders>
                    <w:tl2br w:val="nil"/>
                    <w:tr2bl w:val="nil"/>
                  </w:tcBorders>
                  <w:noWrap w:val="0"/>
                  <w:vAlign w:val="center"/>
                </w:tcPr>
                <w:p w14:paraId="0BEDDC9E">
                  <w:pPr>
                    <w:widowControl/>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0.25</w:t>
                  </w:r>
                </w:p>
              </w:tc>
            </w:tr>
            <w:tr w14:paraId="23A36E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continue"/>
                  <w:tcBorders>
                    <w:tl2br w:val="nil"/>
                    <w:tr2bl w:val="nil"/>
                  </w:tcBorders>
                  <w:noWrap w:val="0"/>
                  <w:vAlign w:val="center"/>
                </w:tcPr>
                <w:p w14:paraId="5B42456C">
                  <w:pPr>
                    <w:widowControl/>
                    <w:jc w:val="left"/>
                    <w:rPr>
                      <w:rFonts w:hint="default" w:ascii="Times New Roman" w:hAnsi="Times New Roman" w:eastAsia="宋体" w:cs="Times New Roman"/>
                      <w:color w:val="auto"/>
                      <w:kern w:val="0"/>
                      <w:sz w:val="21"/>
                      <w:szCs w:val="21"/>
                      <w:highlight w:val="none"/>
                    </w:rPr>
                  </w:pPr>
                </w:p>
              </w:tc>
              <w:tc>
                <w:tcPr>
                  <w:tcW w:w="2681" w:type="dxa"/>
                  <w:gridSpan w:val="2"/>
                  <w:tcBorders>
                    <w:tl2br w:val="nil"/>
                    <w:tr2bl w:val="nil"/>
                  </w:tcBorders>
                  <w:noWrap w:val="0"/>
                  <w:vAlign w:val="center"/>
                </w:tcPr>
                <w:p w14:paraId="56859EAD">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温度</w:t>
                  </w:r>
                </w:p>
              </w:tc>
              <w:tc>
                <w:tcPr>
                  <w:tcW w:w="5250" w:type="dxa"/>
                  <w:gridSpan w:val="3"/>
                  <w:tcBorders>
                    <w:tl2br w:val="nil"/>
                    <w:tr2bl w:val="nil"/>
                  </w:tcBorders>
                  <w:noWrap w:val="0"/>
                  <w:vAlign w:val="center"/>
                </w:tcPr>
                <w:p w14:paraId="4B9FBEB8">
                  <w:pPr>
                    <w:widowControl/>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47</w:t>
                  </w:r>
                </w:p>
              </w:tc>
            </w:tr>
            <w:tr w14:paraId="231BC7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continue"/>
                  <w:tcBorders>
                    <w:tl2br w:val="nil"/>
                    <w:tr2bl w:val="nil"/>
                  </w:tcBorders>
                  <w:noWrap w:val="0"/>
                  <w:vAlign w:val="center"/>
                </w:tcPr>
                <w:p w14:paraId="79F1208E">
                  <w:pPr>
                    <w:widowControl/>
                    <w:jc w:val="left"/>
                    <w:rPr>
                      <w:rFonts w:hint="default" w:ascii="Times New Roman" w:hAnsi="Times New Roman" w:eastAsia="宋体" w:cs="Times New Roman"/>
                      <w:color w:val="auto"/>
                      <w:kern w:val="0"/>
                      <w:sz w:val="21"/>
                      <w:szCs w:val="21"/>
                      <w:highlight w:val="none"/>
                    </w:rPr>
                  </w:pPr>
                </w:p>
              </w:tc>
              <w:tc>
                <w:tcPr>
                  <w:tcW w:w="2681" w:type="dxa"/>
                  <w:gridSpan w:val="2"/>
                  <w:tcBorders>
                    <w:tl2br w:val="nil"/>
                    <w:tr2bl w:val="nil"/>
                  </w:tcBorders>
                  <w:noWrap w:val="0"/>
                  <w:vAlign w:val="center"/>
                </w:tcPr>
                <w:p w14:paraId="32AA724B">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编号</w:t>
                  </w:r>
                </w:p>
              </w:tc>
              <w:tc>
                <w:tcPr>
                  <w:tcW w:w="5250" w:type="dxa"/>
                  <w:gridSpan w:val="3"/>
                  <w:tcBorders>
                    <w:tl2br w:val="nil"/>
                    <w:tr2bl w:val="nil"/>
                  </w:tcBorders>
                  <w:noWrap w:val="0"/>
                  <w:vAlign w:val="center"/>
                </w:tcPr>
                <w:p w14:paraId="3B2D64C6">
                  <w:pPr>
                    <w:widowControl/>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rPr>
                    <w:t>DA0</w:t>
                  </w:r>
                  <w:r>
                    <w:rPr>
                      <w:rFonts w:hint="eastAsia" w:ascii="Times New Roman" w:hAnsi="Times New Roman" w:eastAsia="宋体" w:cs="Times New Roman"/>
                      <w:color w:val="auto"/>
                      <w:kern w:val="0"/>
                      <w:sz w:val="21"/>
                      <w:szCs w:val="21"/>
                      <w:highlight w:val="none"/>
                      <w:lang w:val="en-US" w:eastAsia="zh-CN"/>
                    </w:rPr>
                    <w:t>01</w:t>
                  </w:r>
                </w:p>
              </w:tc>
            </w:tr>
            <w:tr w14:paraId="490F12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continue"/>
                  <w:tcBorders>
                    <w:tl2br w:val="nil"/>
                    <w:tr2bl w:val="nil"/>
                  </w:tcBorders>
                  <w:noWrap w:val="0"/>
                  <w:vAlign w:val="center"/>
                </w:tcPr>
                <w:p w14:paraId="737FD191">
                  <w:pPr>
                    <w:widowControl/>
                    <w:jc w:val="left"/>
                    <w:rPr>
                      <w:rFonts w:hint="default" w:ascii="Times New Roman" w:hAnsi="Times New Roman" w:eastAsia="宋体" w:cs="Times New Roman"/>
                      <w:color w:val="auto"/>
                      <w:kern w:val="0"/>
                      <w:sz w:val="21"/>
                      <w:szCs w:val="21"/>
                      <w:highlight w:val="none"/>
                    </w:rPr>
                  </w:pPr>
                </w:p>
              </w:tc>
              <w:tc>
                <w:tcPr>
                  <w:tcW w:w="2681" w:type="dxa"/>
                  <w:gridSpan w:val="2"/>
                  <w:tcBorders>
                    <w:tl2br w:val="nil"/>
                    <w:tr2bl w:val="nil"/>
                  </w:tcBorders>
                  <w:noWrap w:val="0"/>
                  <w:vAlign w:val="center"/>
                </w:tcPr>
                <w:p w14:paraId="08C30C31">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名称</w:t>
                  </w:r>
                </w:p>
              </w:tc>
              <w:tc>
                <w:tcPr>
                  <w:tcW w:w="5250" w:type="dxa"/>
                  <w:gridSpan w:val="3"/>
                  <w:tcBorders>
                    <w:tl2br w:val="nil"/>
                    <w:tr2bl w:val="nil"/>
                  </w:tcBorders>
                  <w:noWrap w:val="0"/>
                  <w:vAlign w:val="center"/>
                </w:tcPr>
                <w:p w14:paraId="72D824E4">
                  <w:pPr>
                    <w:widowControl/>
                    <w:jc w:val="center"/>
                    <w:rPr>
                      <w:rFonts w:hint="default" w:ascii="Times New Roman" w:hAnsi="Times New Roman" w:eastAsia="宋体" w:cs="Times New Roman"/>
                      <w:color w:val="auto"/>
                      <w:kern w:val="0"/>
                      <w:sz w:val="21"/>
                      <w:szCs w:val="21"/>
                      <w:highlight w:val="none"/>
                    </w:rPr>
                  </w:pPr>
                  <w:r>
                    <w:rPr>
                      <w:rFonts w:hint="eastAsia" w:cs="Times New Roman"/>
                      <w:color w:val="auto"/>
                      <w:kern w:val="0"/>
                      <w:sz w:val="21"/>
                      <w:szCs w:val="21"/>
                      <w:highlight w:val="none"/>
                      <w:lang w:val="en-US" w:eastAsia="zh-CN"/>
                    </w:rPr>
                    <w:t>燃气</w:t>
                  </w:r>
                  <w:r>
                    <w:rPr>
                      <w:rFonts w:hint="eastAsia" w:ascii="Times New Roman" w:hAnsi="Times New Roman" w:eastAsia="宋体" w:cs="Times New Roman"/>
                      <w:color w:val="auto"/>
                      <w:kern w:val="0"/>
                      <w:sz w:val="21"/>
                      <w:szCs w:val="21"/>
                      <w:highlight w:val="none"/>
                      <w:lang w:val="en-US" w:eastAsia="zh-CN"/>
                    </w:rPr>
                    <w:t>锅炉</w:t>
                  </w:r>
                  <w:r>
                    <w:rPr>
                      <w:rFonts w:hint="default" w:ascii="Times New Roman" w:hAnsi="Times New Roman" w:eastAsia="宋体" w:cs="Times New Roman"/>
                      <w:color w:val="auto"/>
                      <w:kern w:val="0"/>
                      <w:sz w:val="21"/>
                      <w:szCs w:val="21"/>
                      <w:highlight w:val="none"/>
                    </w:rPr>
                    <w:t>排放口</w:t>
                  </w:r>
                </w:p>
              </w:tc>
            </w:tr>
            <w:tr w14:paraId="58B022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continue"/>
                  <w:tcBorders>
                    <w:tl2br w:val="nil"/>
                    <w:tr2bl w:val="nil"/>
                  </w:tcBorders>
                  <w:noWrap w:val="0"/>
                  <w:vAlign w:val="center"/>
                </w:tcPr>
                <w:p w14:paraId="0F8FF95E">
                  <w:pPr>
                    <w:widowControl/>
                    <w:jc w:val="left"/>
                    <w:rPr>
                      <w:rFonts w:hint="default" w:ascii="Times New Roman" w:hAnsi="Times New Roman" w:eastAsia="宋体" w:cs="Times New Roman"/>
                      <w:color w:val="auto"/>
                      <w:kern w:val="0"/>
                      <w:sz w:val="21"/>
                      <w:szCs w:val="21"/>
                      <w:highlight w:val="none"/>
                    </w:rPr>
                  </w:pPr>
                </w:p>
              </w:tc>
              <w:tc>
                <w:tcPr>
                  <w:tcW w:w="2681" w:type="dxa"/>
                  <w:gridSpan w:val="2"/>
                  <w:tcBorders>
                    <w:tl2br w:val="nil"/>
                    <w:tr2bl w:val="nil"/>
                  </w:tcBorders>
                  <w:noWrap w:val="0"/>
                  <w:vAlign w:val="center"/>
                </w:tcPr>
                <w:p w14:paraId="10D508DE">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类型</w:t>
                  </w:r>
                </w:p>
              </w:tc>
              <w:tc>
                <w:tcPr>
                  <w:tcW w:w="5250" w:type="dxa"/>
                  <w:gridSpan w:val="3"/>
                  <w:tcBorders>
                    <w:tl2br w:val="nil"/>
                    <w:tr2bl w:val="nil"/>
                  </w:tcBorders>
                  <w:noWrap w:val="0"/>
                  <w:vAlign w:val="center"/>
                </w:tcPr>
                <w:p w14:paraId="02A0D9A7">
                  <w:pPr>
                    <w:widowControl/>
                    <w:jc w:val="center"/>
                    <w:rPr>
                      <w:rFonts w:hint="default"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lang w:val="en-US" w:eastAsia="zh-CN"/>
                    </w:rPr>
                    <w:t>一般</w:t>
                  </w:r>
                  <w:r>
                    <w:rPr>
                      <w:rFonts w:hint="default" w:ascii="Times New Roman" w:hAnsi="Times New Roman" w:eastAsia="宋体" w:cs="Times New Roman"/>
                      <w:color w:val="auto"/>
                      <w:kern w:val="0"/>
                      <w:sz w:val="21"/>
                      <w:szCs w:val="21"/>
                      <w:highlight w:val="none"/>
                    </w:rPr>
                    <w:t>排放口</w:t>
                  </w:r>
                </w:p>
              </w:tc>
            </w:tr>
            <w:tr w14:paraId="7809DA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continue"/>
                  <w:tcBorders>
                    <w:tl2br w:val="nil"/>
                    <w:tr2bl w:val="nil"/>
                  </w:tcBorders>
                  <w:noWrap w:val="0"/>
                  <w:vAlign w:val="center"/>
                </w:tcPr>
                <w:p w14:paraId="180901C1">
                  <w:pPr>
                    <w:widowControl/>
                    <w:jc w:val="left"/>
                    <w:rPr>
                      <w:rFonts w:hint="default" w:ascii="Times New Roman" w:hAnsi="Times New Roman" w:eastAsia="宋体" w:cs="Times New Roman"/>
                      <w:color w:val="auto"/>
                      <w:kern w:val="0"/>
                      <w:sz w:val="21"/>
                      <w:szCs w:val="21"/>
                      <w:highlight w:val="none"/>
                    </w:rPr>
                  </w:pPr>
                </w:p>
              </w:tc>
              <w:tc>
                <w:tcPr>
                  <w:tcW w:w="988" w:type="dxa"/>
                  <w:vMerge w:val="restart"/>
                  <w:tcBorders>
                    <w:tl2br w:val="nil"/>
                    <w:tr2bl w:val="nil"/>
                  </w:tcBorders>
                  <w:noWrap w:val="0"/>
                  <w:vAlign w:val="center"/>
                </w:tcPr>
                <w:p w14:paraId="6CA3E7FB">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地理坐标</w:t>
                  </w:r>
                </w:p>
              </w:tc>
              <w:tc>
                <w:tcPr>
                  <w:tcW w:w="1693" w:type="dxa"/>
                  <w:tcBorders>
                    <w:tl2br w:val="nil"/>
                    <w:tr2bl w:val="nil"/>
                  </w:tcBorders>
                  <w:noWrap w:val="0"/>
                  <w:vAlign w:val="center"/>
                </w:tcPr>
                <w:p w14:paraId="5ADF4753">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经度</w:t>
                  </w:r>
                </w:p>
              </w:tc>
              <w:tc>
                <w:tcPr>
                  <w:tcW w:w="5250" w:type="dxa"/>
                  <w:gridSpan w:val="3"/>
                  <w:tcBorders>
                    <w:tl2br w:val="nil"/>
                    <w:tr2bl w:val="nil"/>
                  </w:tcBorders>
                  <w:noWrap w:val="0"/>
                  <w:vAlign w:val="center"/>
                </w:tcPr>
                <w:p w14:paraId="10529E92">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107度</w:t>
                  </w:r>
                  <w:r>
                    <w:rPr>
                      <w:rFonts w:hint="eastAsia" w:ascii="Times New Roman" w:hAnsi="Times New Roman" w:eastAsia="宋体" w:cs="Times New Roman"/>
                      <w:b w:val="0"/>
                      <w:bCs/>
                      <w:color w:val="auto"/>
                      <w:sz w:val="21"/>
                      <w:szCs w:val="21"/>
                      <w:highlight w:val="none"/>
                      <w:lang w:val="en-US" w:eastAsia="zh-CN"/>
                    </w:rPr>
                    <w:t>18</w:t>
                  </w:r>
                  <w:r>
                    <w:rPr>
                      <w:rFonts w:hint="default" w:ascii="Times New Roman" w:hAnsi="Times New Roman" w:eastAsia="宋体" w:cs="Times New Roman"/>
                      <w:b w:val="0"/>
                      <w:bCs/>
                      <w:color w:val="auto"/>
                      <w:sz w:val="21"/>
                      <w:szCs w:val="21"/>
                      <w:highlight w:val="none"/>
                    </w:rPr>
                    <w:t>分21.094秒</w:t>
                  </w:r>
                </w:p>
              </w:tc>
            </w:tr>
            <w:tr w14:paraId="79ED62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continue"/>
                  <w:tcBorders>
                    <w:tl2br w:val="nil"/>
                    <w:tr2bl w:val="nil"/>
                  </w:tcBorders>
                  <w:noWrap w:val="0"/>
                  <w:vAlign w:val="center"/>
                </w:tcPr>
                <w:p w14:paraId="19934AF7">
                  <w:pPr>
                    <w:widowControl/>
                    <w:jc w:val="left"/>
                    <w:rPr>
                      <w:rFonts w:hint="default" w:ascii="Times New Roman" w:hAnsi="Times New Roman" w:eastAsia="宋体" w:cs="Times New Roman"/>
                      <w:color w:val="auto"/>
                      <w:kern w:val="0"/>
                      <w:sz w:val="21"/>
                      <w:szCs w:val="21"/>
                      <w:highlight w:val="none"/>
                    </w:rPr>
                  </w:pPr>
                </w:p>
              </w:tc>
              <w:tc>
                <w:tcPr>
                  <w:tcW w:w="988" w:type="dxa"/>
                  <w:vMerge w:val="continue"/>
                  <w:tcBorders>
                    <w:tl2br w:val="nil"/>
                    <w:tr2bl w:val="nil"/>
                  </w:tcBorders>
                  <w:noWrap w:val="0"/>
                  <w:vAlign w:val="center"/>
                </w:tcPr>
                <w:p w14:paraId="623F9027">
                  <w:pPr>
                    <w:widowControl/>
                    <w:jc w:val="left"/>
                    <w:rPr>
                      <w:rFonts w:hint="default" w:ascii="Times New Roman" w:hAnsi="Times New Roman" w:eastAsia="宋体" w:cs="Times New Roman"/>
                      <w:color w:val="auto"/>
                      <w:kern w:val="0"/>
                      <w:sz w:val="21"/>
                      <w:szCs w:val="21"/>
                      <w:highlight w:val="none"/>
                    </w:rPr>
                  </w:pPr>
                </w:p>
              </w:tc>
              <w:tc>
                <w:tcPr>
                  <w:tcW w:w="1693" w:type="dxa"/>
                  <w:tcBorders>
                    <w:tl2br w:val="nil"/>
                    <w:tr2bl w:val="nil"/>
                  </w:tcBorders>
                  <w:noWrap w:val="0"/>
                  <w:vAlign w:val="center"/>
                </w:tcPr>
                <w:p w14:paraId="183C742F">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纬度</w:t>
                  </w:r>
                </w:p>
              </w:tc>
              <w:tc>
                <w:tcPr>
                  <w:tcW w:w="5250" w:type="dxa"/>
                  <w:gridSpan w:val="3"/>
                  <w:tcBorders>
                    <w:tl2br w:val="nil"/>
                    <w:tr2bl w:val="nil"/>
                  </w:tcBorders>
                  <w:noWrap w:val="0"/>
                  <w:vAlign w:val="center"/>
                </w:tcPr>
                <w:p w14:paraId="55033005">
                  <w:pPr>
                    <w:widowControl/>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34度</w:t>
                  </w:r>
                  <w:r>
                    <w:rPr>
                      <w:rFonts w:hint="eastAsia" w:ascii="Times New Roman" w:hAnsi="Times New Roman" w:eastAsia="宋体" w:cs="Times New Roman"/>
                      <w:b w:val="0"/>
                      <w:bCs/>
                      <w:color w:val="auto"/>
                      <w:sz w:val="21"/>
                      <w:szCs w:val="21"/>
                      <w:highlight w:val="none"/>
                      <w:lang w:val="en-US" w:eastAsia="zh-CN"/>
                    </w:rPr>
                    <w:t>3</w:t>
                  </w:r>
                  <w:r>
                    <w:rPr>
                      <w:rFonts w:hint="default" w:ascii="Times New Roman" w:hAnsi="Times New Roman" w:eastAsia="宋体" w:cs="Times New Roman"/>
                      <w:b w:val="0"/>
                      <w:bCs/>
                      <w:color w:val="auto"/>
                      <w:sz w:val="21"/>
                      <w:szCs w:val="21"/>
                      <w:highlight w:val="none"/>
                    </w:rPr>
                    <w:t>分</w:t>
                  </w:r>
                  <w:r>
                    <w:rPr>
                      <w:rFonts w:hint="eastAsia" w:ascii="Times New Roman" w:hAnsi="Times New Roman" w:eastAsia="宋体" w:cs="Times New Roman"/>
                      <w:b w:val="0"/>
                      <w:bCs/>
                      <w:color w:val="auto"/>
                      <w:sz w:val="21"/>
                      <w:szCs w:val="21"/>
                      <w:highlight w:val="none"/>
                      <w:lang w:val="en-US" w:eastAsia="zh-CN"/>
                    </w:rPr>
                    <w:t>27.366</w:t>
                  </w:r>
                  <w:r>
                    <w:rPr>
                      <w:rFonts w:hint="default" w:ascii="Times New Roman" w:hAnsi="Times New Roman" w:eastAsia="宋体" w:cs="Times New Roman"/>
                      <w:b w:val="0"/>
                      <w:bCs/>
                      <w:color w:val="auto"/>
                      <w:sz w:val="21"/>
                      <w:szCs w:val="21"/>
                      <w:highlight w:val="none"/>
                    </w:rPr>
                    <w:t>秒</w:t>
                  </w:r>
                </w:p>
              </w:tc>
            </w:tr>
            <w:tr w14:paraId="299D8D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restart"/>
                  <w:tcBorders>
                    <w:tl2br w:val="nil"/>
                    <w:tr2bl w:val="nil"/>
                  </w:tcBorders>
                  <w:noWrap w:val="0"/>
                  <w:vAlign w:val="center"/>
                </w:tcPr>
                <w:p w14:paraId="1FFEB41A">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排放标准</w:t>
                  </w:r>
                </w:p>
              </w:tc>
              <w:tc>
                <w:tcPr>
                  <w:tcW w:w="2681" w:type="dxa"/>
                  <w:gridSpan w:val="2"/>
                  <w:tcBorders>
                    <w:tl2br w:val="nil"/>
                    <w:tr2bl w:val="nil"/>
                  </w:tcBorders>
                  <w:noWrap w:val="0"/>
                  <w:vAlign w:val="center"/>
                </w:tcPr>
                <w:p w14:paraId="3BD939F9">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标准名称</w:t>
                  </w:r>
                </w:p>
              </w:tc>
              <w:tc>
                <w:tcPr>
                  <w:tcW w:w="5250" w:type="dxa"/>
                  <w:gridSpan w:val="3"/>
                  <w:tcBorders>
                    <w:tl2br w:val="nil"/>
                    <w:tr2bl w:val="nil"/>
                  </w:tcBorders>
                  <w:noWrap w:val="0"/>
                  <w:vAlign w:val="center"/>
                </w:tcPr>
                <w:p w14:paraId="59465175">
                  <w:pPr>
                    <w:widowControl/>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《锅炉大气污染物排放标准》DB61/1226-2018</w:t>
                  </w:r>
                </w:p>
              </w:tc>
            </w:tr>
            <w:tr w14:paraId="274DF3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vMerge w:val="continue"/>
                  <w:tcBorders>
                    <w:tl2br w:val="nil"/>
                    <w:tr2bl w:val="nil"/>
                  </w:tcBorders>
                  <w:noWrap w:val="0"/>
                  <w:vAlign w:val="center"/>
                </w:tcPr>
                <w:p w14:paraId="40F38C05">
                  <w:pPr>
                    <w:widowControl/>
                    <w:jc w:val="left"/>
                    <w:rPr>
                      <w:rFonts w:hint="default" w:ascii="Times New Roman" w:hAnsi="Times New Roman" w:eastAsia="宋体" w:cs="Times New Roman"/>
                      <w:color w:val="auto"/>
                      <w:kern w:val="0"/>
                      <w:sz w:val="21"/>
                      <w:szCs w:val="21"/>
                      <w:highlight w:val="none"/>
                    </w:rPr>
                  </w:pPr>
                </w:p>
              </w:tc>
              <w:tc>
                <w:tcPr>
                  <w:tcW w:w="2681" w:type="dxa"/>
                  <w:gridSpan w:val="2"/>
                  <w:tcBorders>
                    <w:tl2br w:val="nil"/>
                    <w:tr2bl w:val="nil"/>
                  </w:tcBorders>
                  <w:noWrap w:val="0"/>
                  <w:vAlign w:val="center"/>
                </w:tcPr>
                <w:p w14:paraId="63CD74CF">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浓度限值（mg/m³）</w:t>
                  </w:r>
                </w:p>
              </w:tc>
              <w:tc>
                <w:tcPr>
                  <w:tcW w:w="1338" w:type="dxa"/>
                  <w:tcBorders>
                    <w:tl2br w:val="nil"/>
                    <w:tr2bl w:val="nil"/>
                  </w:tcBorders>
                  <w:noWrap w:val="0"/>
                  <w:vAlign w:val="center"/>
                </w:tcPr>
                <w:p w14:paraId="030E99A9">
                  <w:pPr>
                    <w:widowControl/>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rPr>
                    <w:t>1</w:t>
                  </w:r>
                  <w:r>
                    <w:rPr>
                      <w:rFonts w:hint="default" w:ascii="Times New Roman" w:hAnsi="Times New Roman" w:eastAsia="宋体" w:cs="Times New Roman"/>
                      <w:color w:val="auto"/>
                      <w:kern w:val="0"/>
                      <w:sz w:val="21"/>
                      <w:szCs w:val="21"/>
                      <w:highlight w:val="none"/>
                      <w:lang w:val="en-US" w:eastAsia="zh-CN"/>
                    </w:rPr>
                    <w:t>0</w:t>
                  </w:r>
                </w:p>
              </w:tc>
              <w:tc>
                <w:tcPr>
                  <w:tcW w:w="1975" w:type="dxa"/>
                  <w:tcBorders>
                    <w:right w:val="single" w:color="auto" w:sz="4" w:space="0"/>
                    <w:tl2br w:val="nil"/>
                    <w:tr2bl w:val="nil"/>
                  </w:tcBorders>
                  <w:noWrap w:val="0"/>
                  <w:vAlign w:val="center"/>
                </w:tcPr>
                <w:p w14:paraId="388066A9">
                  <w:pPr>
                    <w:widowControl/>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20</w:t>
                  </w:r>
                </w:p>
              </w:tc>
              <w:tc>
                <w:tcPr>
                  <w:tcW w:w="1937" w:type="dxa"/>
                  <w:tcBorders>
                    <w:left w:val="single" w:color="auto" w:sz="4" w:space="0"/>
                    <w:tl2br w:val="nil"/>
                    <w:tr2bl w:val="nil"/>
                  </w:tcBorders>
                  <w:noWrap w:val="0"/>
                  <w:vAlign w:val="center"/>
                </w:tcPr>
                <w:p w14:paraId="2EA139B4">
                  <w:pPr>
                    <w:widowControl/>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50</w:t>
                  </w:r>
                </w:p>
              </w:tc>
            </w:tr>
            <w:tr w14:paraId="76D674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745" w:type="dxa"/>
                  <w:tcBorders>
                    <w:tl2br w:val="nil"/>
                    <w:tr2bl w:val="nil"/>
                  </w:tcBorders>
                  <w:noWrap w:val="0"/>
                  <w:vAlign w:val="center"/>
                </w:tcPr>
                <w:p w14:paraId="2B421ABE">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是否达标</w:t>
                  </w:r>
                </w:p>
              </w:tc>
              <w:tc>
                <w:tcPr>
                  <w:tcW w:w="2681" w:type="dxa"/>
                  <w:gridSpan w:val="2"/>
                  <w:tcBorders>
                    <w:tl2br w:val="nil"/>
                    <w:tr2bl w:val="nil"/>
                  </w:tcBorders>
                  <w:noWrap w:val="0"/>
                  <w:vAlign w:val="center"/>
                </w:tcPr>
                <w:p w14:paraId="71EEA72B">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是否达标</w:t>
                  </w:r>
                </w:p>
              </w:tc>
              <w:tc>
                <w:tcPr>
                  <w:tcW w:w="5250" w:type="dxa"/>
                  <w:gridSpan w:val="3"/>
                  <w:tcBorders>
                    <w:tl2br w:val="nil"/>
                    <w:tr2bl w:val="nil"/>
                  </w:tcBorders>
                  <w:noWrap w:val="0"/>
                  <w:vAlign w:val="center"/>
                </w:tcPr>
                <w:p w14:paraId="1A831941">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是</w:t>
                  </w:r>
                </w:p>
              </w:tc>
            </w:tr>
          </w:tbl>
          <w:p w14:paraId="70AA4F1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82" w:firstLineChars="200"/>
              <w:textAlignment w:val="auto"/>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1.2</w:t>
            </w:r>
            <w:r>
              <w:rPr>
                <w:rFonts w:hint="default" w:ascii="Times New Roman" w:hAnsi="Times New Roman" w:cs="Times New Roman"/>
                <w:b/>
                <w:bCs/>
                <w:color w:val="auto"/>
                <w:sz w:val="24"/>
                <w:szCs w:val="24"/>
                <w:highlight w:val="none"/>
                <w:lang w:val="en-US" w:eastAsia="zh-CN"/>
              </w:rPr>
              <w:t>废气源强核算过程</w:t>
            </w:r>
          </w:p>
          <w:p w14:paraId="67963FC4">
            <w:pPr>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Ansi="宋体"/>
                <w:b w:val="0"/>
                <w:bCs/>
                <w:color w:val="auto"/>
                <w:sz w:val="24"/>
                <w:szCs w:val="24"/>
                <w:highlight w:val="none"/>
              </w:rPr>
            </w:pPr>
            <w:r>
              <w:rPr>
                <w:rFonts w:hint="eastAsia" w:hAnsi="宋体"/>
                <w:b w:val="0"/>
                <w:bCs/>
                <w:color w:val="auto"/>
                <w:sz w:val="24"/>
                <w:szCs w:val="24"/>
                <w:highlight w:val="none"/>
              </w:rPr>
              <w:t>本</w:t>
            </w:r>
            <w:r>
              <w:rPr>
                <w:rFonts w:hint="eastAsia" w:hAnsi="宋体"/>
                <w:b w:val="0"/>
                <w:bCs/>
                <w:color w:val="auto"/>
                <w:sz w:val="24"/>
                <w:szCs w:val="24"/>
                <w:highlight w:val="none"/>
                <w:lang w:val="en-US" w:eastAsia="zh-CN"/>
              </w:rPr>
              <w:t>项目燃气锅炉年运行130天，每天24小时，锅炉设计</w:t>
            </w:r>
            <w:r>
              <w:rPr>
                <w:rFonts w:hint="eastAsia" w:ascii="Times New Roman" w:hAnsi="Times New Roman" w:cs="Times New Roman"/>
                <w:b w:val="0"/>
                <w:bCs/>
                <w:color w:val="auto"/>
                <w:kern w:val="2"/>
                <w:sz w:val="24"/>
                <w:szCs w:val="24"/>
                <w:highlight w:val="none"/>
                <w:lang w:val="en-US" w:eastAsia="zh-CN"/>
              </w:rPr>
              <w:t>最大耗气量</w:t>
            </w:r>
            <w:r>
              <w:rPr>
                <w:rFonts w:hint="eastAsia" w:cs="Times New Roman"/>
                <w:b w:val="0"/>
                <w:bCs/>
                <w:color w:val="auto"/>
                <w:kern w:val="2"/>
                <w:sz w:val="24"/>
                <w:szCs w:val="24"/>
                <w:highlight w:val="none"/>
                <w:lang w:val="en-US" w:eastAsia="zh-CN"/>
              </w:rPr>
              <w:t>233.8</w:t>
            </w:r>
            <w:r>
              <w:rPr>
                <w:rFonts w:hint="eastAsia" w:ascii="Times New Roman" w:hAnsi="Times New Roman" w:cs="Times New Roman"/>
                <w:b w:val="0"/>
                <w:bCs/>
                <w:color w:val="auto"/>
                <w:kern w:val="2"/>
                <w:sz w:val="24"/>
                <w:szCs w:val="24"/>
                <w:highlight w:val="none"/>
                <w:lang w:val="en-US" w:eastAsia="zh-CN"/>
              </w:rPr>
              <w:t>m</w:t>
            </w:r>
            <w:r>
              <w:rPr>
                <w:rFonts w:hint="eastAsia" w:ascii="Times New Roman" w:hAnsi="Times New Roman" w:cs="Times New Roman"/>
                <w:b w:val="0"/>
                <w:bCs/>
                <w:color w:val="auto"/>
                <w:kern w:val="2"/>
                <w:sz w:val="24"/>
                <w:szCs w:val="24"/>
                <w:highlight w:val="none"/>
                <w:vertAlign w:val="superscript"/>
                <w:lang w:val="en-US" w:eastAsia="zh-CN"/>
              </w:rPr>
              <w:t>3</w:t>
            </w:r>
            <w:r>
              <w:rPr>
                <w:rFonts w:hint="eastAsia" w:ascii="Times New Roman" w:hAnsi="Times New Roman" w:cs="Times New Roman"/>
                <w:b w:val="0"/>
                <w:bCs/>
                <w:color w:val="auto"/>
                <w:kern w:val="2"/>
                <w:sz w:val="24"/>
                <w:szCs w:val="24"/>
                <w:highlight w:val="none"/>
                <w:lang w:val="en-US" w:eastAsia="zh-CN"/>
              </w:rPr>
              <w:t>/h，则</w:t>
            </w:r>
            <w:r>
              <w:rPr>
                <w:rFonts w:hint="eastAsia" w:hAnsi="宋体"/>
                <w:b w:val="0"/>
                <w:bCs/>
                <w:color w:val="auto"/>
                <w:sz w:val="24"/>
                <w:szCs w:val="24"/>
                <w:highlight w:val="none"/>
                <w:lang w:val="en-US" w:eastAsia="zh-CN"/>
              </w:rPr>
              <w:t>天然气消耗量为</w:t>
            </w:r>
            <w:r>
              <w:rPr>
                <w:rFonts w:hint="eastAsia" w:hAnsi="宋体" w:cs="Times New Roman"/>
                <w:b w:val="0"/>
                <w:bCs/>
                <w:color w:val="auto"/>
                <w:sz w:val="24"/>
                <w:szCs w:val="24"/>
                <w:highlight w:val="none"/>
                <w:lang w:val="en-US" w:eastAsia="zh-CN"/>
              </w:rPr>
              <w:t>72.95</w:t>
            </w:r>
            <w:r>
              <w:rPr>
                <w:rFonts w:hint="eastAsia" w:ascii="Times New Roman" w:hAnsi="宋体" w:eastAsia="宋体" w:cs="Times New Roman"/>
                <w:b w:val="0"/>
                <w:bCs/>
                <w:color w:val="auto"/>
                <w:sz w:val="24"/>
                <w:szCs w:val="24"/>
                <w:highlight w:val="none"/>
                <w:lang w:val="en-US" w:eastAsia="zh-CN"/>
              </w:rPr>
              <w:t>万</w:t>
            </w:r>
            <w:r>
              <w:rPr>
                <w:rFonts w:hint="eastAsia" w:hAnsi="宋体"/>
                <w:b w:val="0"/>
                <w:bCs/>
                <w:color w:val="auto"/>
                <w:sz w:val="24"/>
                <w:szCs w:val="24"/>
                <w:highlight w:val="none"/>
              </w:rPr>
              <w:t>N</w:t>
            </w:r>
            <w:r>
              <w:rPr>
                <w:b w:val="0"/>
                <w:bCs/>
                <w:color w:val="auto"/>
                <w:sz w:val="24"/>
                <w:szCs w:val="24"/>
                <w:highlight w:val="none"/>
              </w:rPr>
              <w:t>m</w:t>
            </w:r>
            <w:r>
              <w:rPr>
                <w:b w:val="0"/>
                <w:bCs/>
                <w:color w:val="auto"/>
                <w:sz w:val="24"/>
                <w:szCs w:val="24"/>
                <w:highlight w:val="none"/>
                <w:vertAlign w:val="superscript"/>
              </w:rPr>
              <w:t>3</w:t>
            </w:r>
            <w:r>
              <w:rPr>
                <w:b w:val="0"/>
                <w:bCs/>
                <w:color w:val="auto"/>
                <w:sz w:val="24"/>
                <w:szCs w:val="24"/>
                <w:highlight w:val="none"/>
              </w:rPr>
              <w:t>/a</w:t>
            </w:r>
            <w:r>
              <w:rPr>
                <w:rFonts w:hint="eastAsia"/>
                <w:b w:val="0"/>
                <w:bCs/>
                <w:color w:val="auto"/>
                <w:sz w:val="24"/>
                <w:szCs w:val="24"/>
                <w:highlight w:val="none"/>
                <w:lang w:eastAsia="zh-CN"/>
              </w:rPr>
              <w:t>。</w:t>
            </w:r>
          </w:p>
          <w:p w14:paraId="507EBF61">
            <w:pPr>
              <w:spacing w:line="360" w:lineRule="auto"/>
              <w:ind w:firstLine="480" w:firstLineChars="200"/>
              <w:rPr>
                <w:rFonts w:hint="eastAsia"/>
                <w:color w:val="auto"/>
                <w:sz w:val="24"/>
                <w:szCs w:val="24"/>
                <w:highlight w:val="none"/>
              </w:rPr>
            </w:pPr>
            <w:r>
              <w:rPr>
                <w:rFonts w:hint="eastAsia"/>
                <w:color w:val="auto"/>
                <w:sz w:val="24"/>
                <w:szCs w:val="24"/>
                <w:highlight w:val="none"/>
                <w:lang w:val="en-US" w:eastAsia="zh-CN"/>
              </w:rPr>
              <w:t>根据</w:t>
            </w:r>
            <w:r>
              <w:rPr>
                <w:rFonts w:hint="eastAsia"/>
                <w:color w:val="auto"/>
                <w:sz w:val="24"/>
                <w:szCs w:val="24"/>
                <w:highlight w:val="none"/>
              </w:rPr>
              <w:t>《排放源统计调查产排污核算方法和系数手册》中“4430工业锅炉（热力供应）行业系数手册”可知，燃气工业锅炉天然气燃烧工业废气量产污系数为107753标立方米/万立方米－原料，SO</w:t>
            </w:r>
            <w:r>
              <w:rPr>
                <w:rFonts w:hint="eastAsia"/>
                <w:color w:val="auto"/>
                <w:sz w:val="24"/>
                <w:szCs w:val="24"/>
                <w:highlight w:val="none"/>
                <w:vertAlign w:val="subscript"/>
              </w:rPr>
              <w:t>2</w:t>
            </w:r>
            <w:r>
              <w:rPr>
                <w:rFonts w:hint="eastAsia"/>
                <w:color w:val="auto"/>
                <w:sz w:val="24"/>
                <w:szCs w:val="24"/>
                <w:highlight w:val="none"/>
              </w:rPr>
              <w:t>产污系数0.02Skg/万m</w:t>
            </w:r>
            <w:r>
              <w:rPr>
                <w:rFonts w:hint="eastAsia"/>
                <w:color w:val="auto"/>
                <w:sz w:val="24"/>
                <w:szCs w:val="24"/>
                <w:highlight w:val="none"/>
                <w:vertAlign w:val="superscript"/>
              </w:rPr>
              <w:t>3</w:t>
            </w:r>
            <w:r>
              <w:rPr>
                <w:rFonts w:hint="eastAsia"/>
                <w:color w:val="auto"/>
                <w:sz w:val="24"/>
                <w:szCs w:val="24"/>
                <w:highlight w:val="none"/>
              </w:rPr>
              <w:t>－原料，氮氧化物产污系数3.03kg/万m</w:t>
            </w:r>
            <w:r>
              <w:rPr>
                <w:rFonts w:hint="eastAsia"/>
                <w:color w:val="auto"/>
                <w:sz w:val="24"/>
                <w:szCs w:val="24"/>
                <w:highlight w:val="none"/>
                <w:vertAlign w:val="superscript"/>
              </w:rPr>
              <w:t>3</w:t>
            </w:r>
            <w:r>
              <w:rPr>
                <w:rFonts w:hint="eastAsia"/>
                <w:color w:val="auto"/>
                <w:sz w:val="24"/>
                <w:szCs w:val="24"/>
                <w:highlight w:val="none"/>
              </w:rPr>
              <w:t>－原料（低氮燃烧－国际领先）。</w:t>
            </w:r>
            <w:r>
              <w:rPr>
                <w:rFonts w:hint="eastAsia"/>
                <w:color w:val="auto"/>
                <w:sz w:val="24"/>
                <w:szCs w:val="24"/>
                <w:highlight w:val="none"/>
                <w:lang w:eastAsia="zh-CN"/>
              </w:rPr>
              <w:t>颗粒物</w:t>
            </w:r>
            <w:r>
              <w:rPr>
                <w:rFonts w:hint="eastAsia"/>
                <w:color w:val="auto"/>
                <w:sz w:val="24"/>
                <w:szCs w:val="24"/>
                <w:highlight w:val="none"/>
              </w:rPr>
              <w:t>的产生量</w:t>
            </w:r>
            <w:r>
              <w:rPr>
                <w:rFonts w:hint="eastAsia"/>
                <w:color w:val="auto"/>
                <w:sz w:val="24"/>
                <w:szCs w:val="24"/>
                <w:highlight w:val="none"/>
                <w:lang w:val="en-US" w:eastAsia="zh-CN"/>
              </w:rPr>
              <w:t>类比太白县住建局废气监测报告，太白县住建局天然气锅炉为1.5t/h，</w:t>
            </w:r>
            <w:r>
              <w:rPr>
                <w:rFonts w:hint="eastAsia"/>
                <w:color w:val="auto"/>
                <w:sz w:val="24"/>
                <w:szCs w:val="24"/>
                <w:highlight w:val="none"/>
              </w:rPr>
              <w:t>颗粒物浓度为</w:t>
            </w:r>
            <w:r>
              <w:rPr>
                <w:rFonts w:hint="eastAsia"/>
                <w:color w:val="auto"/>
                <w:sz w:val="24"/>
                <w:szCs w:val="24"/>
                <w:highlight w:val="none"/>
                <w:lang w:val="en-US" w:eastAsia="zh-CN"/>
              </w:rPr>
              <w:t>8.6</w:t>
            </w:r>
            <w:r>
              <w:rPr>
                <w:rFonts w:hint="eastAsia"/>
                <w:color w:val="auto"/>
                <w:sz w:val="24"/>
                <w:szCs w:val="24"/>
                <w:highlight w:val="none"/>
              </w:rPr>
              <w:t>mg/m</w:t>
            </w:r>
            <w:r>
              <w:rPr>
                <w:rFonts w:hint="eastAsia"/>
                <w:color w:val="auto"/>
                <w:sz w:val="24"/>
                <w:szCs w:val="24"/>
                <w:highlight w:val="none"/>
                <w:vertAlign w:val="superscript"/>
              </w:rPr>
              <w:t>3</w:t>
            </w:r>
            <w:r>
              <w:rPr>
                <w:rFonts w:hint="eastAsia"/>
                <w:color w:val="auto"/>
                <w:sz w:val="24"/>
                <w:szCs w:val="24"/>
                <w:highlight w:val="none"/>
              </w:rPr>
              <w:t>~</w:t>
            </w:r>
            <w:r>
              <w:rPr>
                <w:rFonts w:hint="eastAsia"/>
                <w:color w:val="auto"/>
                <w:sz w:val="24"/>
                <w:szCs w:val="24"/>
                <w:highlight w:val="none"/>
                <w:lang w:val="en-US" w:eastAsia="zh-CN"/>
              </w:rPr>
              <w:t>8.9</w:t>
            </w:r>
            <w:r>
              <w:rPr>
                <w:rFonts w:hint="eastAsia"/>
                <w:color w:val="auto"/>
                <w:sz w:val="24"/>
                <w:szCs w:val="24"/>
                <w:highlight w:val="none"/>
              </w:rPr>
              <w:t>mg/m</w:t>
            </w:r>
            <w:r>
              <w:rPr>
                <w:rFonts w:hint="eastAsia"/>
                <w:color w:val="auto"/>
                <w:sz w:val="24"/>
                <w:szCs w:val="24"/>
                <w:highlight w:val="none"/>
                <w:vertAlign w:val="superscript"/>
              </w:rPr>
              <w:t>3</w:t>
            </w:r>
            <w:r>
              <w:rPr>
                <w:rFonts w:hint="eastAsia"/>
                <w:color w:val="auto"/>
                <w:sz w:val="24"/>
                <w:szCs w:val="24"/>
                <w:highlight w:val="none"/>
              </w:rPr>
              <w:t>，本次评价取最大值</w:t>
            </w:r>
            <w:r>
              <w:rPr>
                <w:rFonts w:hint="eastAsia"/>
                <w:color w:val="auto"/>
                <w:sz w:val="24"/>
                <w:szCs w:val="24"/>
                <w:highlight w:val="none"/>
                <w:lang w:val="en-US" w:eastAsia="zh-CN"/>
              </w:rPr>
              <w:t>8.9</w:t>
            </w:r>
            <w:r>
              <w:rPr>
                <w:rFonts w:hint="eastAsia"/>
                <w:color w:val="auto"/>
                <w:sz w:val="24"/>
                <w:szCs w:val="24"/>
                <w:highlight w:val="none"/>
              </w:rPr>
              <w:t>mg/m</w:t>
            </w:r>
            <w:r>
              <w:rPr>
                <w:rFonts w:hint="eastAsia"/>
                <w:color w:val="auto"/>
                <w:sz w:val="24"/>
                <w:szCs w:val="24"/>
                <w:highlight w:val="none"/>
                <w:vertAlign w:val="superscript"/>
              </w:rPr>
              <w:t>3</w:t>
            </w:r>
            <w:r>
              <w:rPr>
                <w:rFonts w:hint="eastAsia"/>
                <w:color w:val="auto"/>
                <w:sz w:val="24"/>
                <w:szCs w:val="24"/>
                <w:highlight w:val="none"/>
              </w:rPr>
              <w:t>。</w:t>
            </w:r>
          </w:p>
          <w:p w14:paraId="389E2D5C">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产污系数详见表4-2。</w:t>
            </w:r>
          </w:p>
          <w:p w14:paraId="04569E68">
            <w:pPr>
              <w:spacing w:after="24" w:afterLines="10"/>
              <w:ind w:firstLine="482" w:firstLineChars="200"/>
              <w:jc w:val="center"/>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rPr>
              <w:t>表4-</w:t>
            </w:r>
            <w:r>
              <w:rPr>
                <w:rFonts w:hint="eastAsia" w:cs="Times New Roman"/>
                <w:b/>
                <w:bCs/>
                <w:color w:val="auto"/>
                <w:sz w:val="24"/>
                <w:szCs w:val="24"/>
                <w:highlight w:val="none"/>
                <w:lang w:val="en-US" w:eastAsia="zh-CN"/>
              </w:rPr>
              <w:t>2</w:t>
            </w:r>
            <w:r>
              <w:rPr>
                <w:rFonts w:hint="default" w:ascii="Times New Roman" w:hAnsi="Times New Roman" w:cs="Times New Roman"/>
                <w:b/>
                <w:bCs/>
                <w:color w:val="auto"/>
                <w:sz w:val="24"/>
                <w:szCs w:val="24"/>
                <w:highlight w:val="none"/>
              </w:rPr>
              <w:t xml:space="preserve">  </w:t>
            </w:r>
            <w:r>
              <w:rPr>
                <w:rFonts w:hint="eastAsia" w:cs="Times New Roman"/>
                <w:b/>
                <w:bCs/>
                <w:color w:val="auto"/>
                <w:sz w:val="24"/>
                <w:szCs w:val="24"/>
                <w:highlight w:val="none"/>
                <w:lang w:val="en-US" w:eastAsia="zh-CN"/>
              </w:rPr>
              <w:t>燃气工业锅炉废气产污系数一览表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2163"/>
              <w:gridCol w:w="2163"/>
              <w:gridCol w:w="2168"/>
            </w:tblGrid>
            <w:tr w14:paraId="265DBA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8" w:type="pct"/>
                  <w:vMerge w:val="restart"/>
                  <w:tcBorders>
                    <w:tl2br w:val="nil"/>
                    <w:tr2bl w:val="nil"/>
                  </w:tcBorders>
                  <w:noWrap/>
                  <w:vAlign w:val="center"/>
                </w:tcPr>
                <w:p w14:paraId="27487E47">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产生工序</w:t>
                  </w:r>
                </w:p>
              </w:tc>
              <w:tc>
                <w:tcPr>
                  <w:tcW w:w="1249" w:type="pct"/>
                  <w:tcBorders>
                    <w:tl2br w:val="nil"/>
                    <w:tr2bl w:val="nil"/>
                  </w:tcBorders>
                  <w:noWrap/>
                  <w:vAlign w:val="center"/>
                </w:tcPr>
                <w:p w14:paraId="28409B45">
                  <w:pPr>
                    <w:adjustRightInd w:val="0"/>
                    <w:snapToGrid w:val="0"/>
                    <w:jc w:val="center"/>
                    <w:rPr>
                      <w:rFonts w:hint="eastAsia" w:ascii="Times New Roman" w:hAnsi="Times New Roman" w:eastAsia="宋体" w:cs="Times New Roman"/>
                      <w:b/>
                      <w:color w:val="auto"/>
                      <w:sz w:val="21"/>
                      <w:szCs w:val="21"/>
                      <w:highlight w:val="none"/>
                      <w:lang w:val="en-US" w:eastAsia="zh-CN"/>
                    </w:rPr>
                  </w:pPr>
                  <w:r>
                    <w:rPr>
                      <w:rFonts w:hint="default" w:ascii="Times New Roman" w:hAnsi="Times New Roman" w:cs="Times New Roman"/>
                      <w:b/>
                      <w:color w:val="auto"/>
                      <w:sz w:val="21"/>
                      <w:szCs w:val="21"/>
                      <w:highlight w:val="none"/>
                    </w:rPr>
                    <w:t>污染物</w:t>
                  </w:r>
                  <w:r>
                    <w:rPr>
                      <w:rFonts w:hint="eastAsia" w:cs="Times New Roman"/>
                      <w:b/>
                      <w:color w:val="auto"/>
                      <w:sz w:val="21"/>
                      <w:szCs w:val="21"/>
                      <w:highlight w:val="none"/>
                      <w:lang w:val="en-US" w:eastAsia="zh-CN"/>
                    </w:rPr>
                    <w:t>指标</w:t>
                  </w:r>
                </w:p>
              </w:tc>
              <w:tc>
                <w:tcPr>
                  <w:tcW w:w="1249" w:type="pct"/>
                  <w:tcBorders>
                    <w:tl2br w:val="nil"/>
                    <w:tr2bl w:val="nil"/>
                  </w:tcBorders>
                  <w:noWrap/>
                  <w:vAlign w:val="center"/>
                </w:tcPr>
                <w:p w14:paraId="6D622BFB">
                  <w:pPr>
                    <w:adjustRightInd w:val="0"/>
                    <w:snapToGrid w:val="0"/>
                    <w:jc w:val="center"/>
                    <w:rPr>
                      <w:rFonts w:hint="eastAsia" w:ascii="Times New Roman" w:hAnsi="Times New Roman" w:eastAsia="宋体" w:cs="Times New Roman"/>
                      <w:b/>
                      <w:color w:val="auto"/>
                      <w:sz w:val="21"/>
                      <w:szCs w:val="21"/>
                      <w:highlight w:val="none"/>
                      <w:lang w:val="en-US" w:eastAsia="zh-CN"/>
                    </w:rPr>
                  </w:pPr>
                  <w:r>
                    <w:rPr>
                      <w:rFonts w:hint="eastAsia" w:cs="Times New Roman"/>
                      <w:b/>
                      <w:color w:val="auto"/>
                      <w:sz w:val="21"/>
                      <w:szCs w:val="21"/>
                      <w:highlight w:val="none"/>
                      <w:lang w:val="en-US" w:eastAsia="zh-CN"/>
                    </w:rPr>
                    <w:t>单位</w:t>
                  </w:r>
                </w:p>
              </w:tc>
              <w:tc>
                <w:tcPr>
                  <w:tcW w:w="1252" w:type="pct"/>
                  <w:tcBorders>
                    <w:tl2br w:val="nil"/>
                    <w:tr2bl w:val="nil"/>
                  </w:tcBorders>
                  <w:noWrap/>
                  <w:vAlign w:val="center"/>
                </w:tcPr>
                <w:p w14:paraId="75D15C48">
                  <w:pPr>
                    <w:adjustRightInd w:val="0"/>
                    <w:snapToGrid w:val="0"/>
                    <w:jc w:val="center"/>
                    <w:rPr>
                      <w:rFonts w:hint="default" w:ascii="Times New Roman" w:hAnsi="Times New Roman" w:eastAsia="宋体" w:cs="Times New Roman"/>
                      <w:b/>
                      <w:color w:val="auto"/>
                      <w:sz w:val="21"/>
                      <w:szCs w:val="21"/>
                      <w:highlight w:val="none"/>
                      <w:lang w:val="en-US" w:eastAsia="zh-CN"/>
                    </w:rPr>
                  </w:pPr>
                  <w:r>
                    <w:rPr>
                      <w:rFonts w:hint="eastAsia" w:cs="Times New Roman"/>
                      <w:b/>
                      <w:color w:val="auto"/>
                      <w:sz w:val="21"/>
                      <w:szCs w:val="21"/>
                      <w:highlight w:val="none"/>
                      <w:lang w:val="en-US" w:eastAsia="zh-CN"/>
                    </w:rPr>
                    <w:t>产污系数</w:t>
                  </w:r>
                </w:p>
              </w:tc>
            </w:tr>
            <w:tr w14:paraId="2AF897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8" w:type="pct"/>
                  <w:vMerge w:val="restart"/>
                  <w:tcBorders>
                    <w:tl2br w:val="nil"/>
                    <w:tr2bl w:val="nil"/>
                  </w:tcBorders>
                  <w:noWrap/>
                  <w:vAlign w:val="center"/>
                </w:tcPr>
                <w:p w14:paraId="5B0D7154">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天然气锅炉</w:t>
                  </w:r>
                </w:p>
              </w:tc>
              <w:tc>
                <w:tcPr>
                  <w:tcW w:w="1249" w:type="pct"/>
                  <w:tcBorders>
                    <w:tl2br w:val="nil"/>
                    <w:tr2bl w:val="nil"/>
                  </w:tcBorders>
                  <w:noWrap/>
                  <w:vAlign w:val="center"/>
                </w:tcPr>
                <w:p w14:paraId="618630D5">
                  <w:pPr>
                    <w:adjustRightInd w:val="0"/>
                    <w:snapToGri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工业废气量</w:t>
                  </w:r>
                </w:p>
              </w:tc>
              <w:tc>
                <w:tcPr>
                  <w:tcW w:w="1249" w:type="pct"/>
                  <w:tcBorders>
                    <w:tl2br w:val="nil"/>
                    <w:tr2bl w:val="nil"/>
                  </w:tcBorders>
                  <w:noWrap/>
                  <w:vAlign w:val="center"/>
                </w:tcPr>
                <w:p w14:paraId="61FB19FE">
                  <w:pPr>
                    <w:adjustRightInd w:val="0"/>
                    <w:snapToGrid w:val="0"/>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Nm</w:t>
                  </w:r>
                  <w:r>
                    <w:rPr>
                      <w:rFonts w:hint="eastAsia" w:cs="Times New Roman"/>
                      <w:bCs/>
                      <w:color w:val="auto"/>
                      <w:sz w:val="21"/>
                      <w:szCs w:val="21"/>
                      <w:highlight w:val="none"/>
                      <w:vertAlign w:val="superscript"/>
                      <w:lang w:val="en-US" w:eastAsia="zh-CN"/>
                    </w:rPr>
                    <w:t>3</w:t>
                  </w:r>
                  <w:r>
                    <w:rPr>
                      <w:rFonts w:hint="eastAsia" w:cs="Times New Roman"/>
                      <w:bCs/>
                      <w:color w:val="auto"/>
                      <w:sz w:val="21"/>
                      <w:szCs w:val="21"/>
                      <w:highlight w:val="none"/>
                      <w:lang w:val="en-US" w:eastAsia="zh-CN"/>
                    </w:rPr>
                    <w:t>/万m</w:t>
                  </w:r>
                  <w:r>
                    <w:rPr>
                      <w:rFonts w:hint="eastAsia" w:cs="Times New Roman"/>
                      <w:bCs/>
                      <w:color w:val="auto"/>
                      <w:sz w:val="21"/>
                      <w:szCs w:val="21"/>
                      <w:highlight w:val="none"/>
                      <w:vertAlign w:val="superscript"/>
                      <w:lang w:val="en-US" w:eastAsia="zh-CN"/>
                    </w:rPr>
                    <w:t>3</w:t>
                  </w:r>
                  <w:r>
                    <w:rPr>
                      <w:rFonts w:hint="eastAsia" w:cs="Times New Roman"/>
                      <w:bCs/>
                      <w:color w:val="auto"/>
                      <w:sz w:val="21"/>
                      <w:szCs w:val="21"/>
                      <w:highlight w:val="none"/>
                      <w:lang w:val="en-US" w:eastAsia="zh-CN"/>
                    </w:rPr>
                    <w:t>-燃料</w:t>
                  </w:r>
                </w:p>
              </w:tc>
              <w:tc>
                <w:tcPr>
                  <w:tcW w:w="1252" w:type="pct"/>
                  <w:tcBorders>
                    <w:tl2br w:val="nil"/>
                    <w:tr2bl w:val="nil"/>
                  </w:tcBorders>
                  <w:noWrap/>
                  <w:vAlign w:val="center"/>
                </w:tcPr>
                <w:p w14:paraId="2DC5E77A">
                  <w:pPr>
                    <w:adjustRightInd w:val="0"/>
                    <w:snapToGrid w:val="0"/>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107753</w:t>
                  </w:r>
                </w:p>
              </w:tc>
            </w:tr>
            <w:tr w14:paraId="1C1116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8" w:type="pct"/>
                  <w:vMerge w:val="continue"/>
                  <w:tcBorders>
                    <w:tl2br w:val="nil"/>
                    <w:tr2bl w:val="nil"/>
                  </w:tcBorders>
                  <w:noWrap/>
                  <w:vAlign w:val="center"/>
                </w:tcPr>
                <w:p w14:paraId="47A69C45">
                  <w:pPr>
                    <w:adjustRightInd w:val="0"/>
                    <w:snapToGrid w:val="0"/>
                    <w:jc w:val="center"/>
                    <w:rPr>
                      <w:rFonts w:hint="default" w:ascii="Times New Roman" w:hAnsi="Times New Roman" w:cs="Times New Roman"/>
                      <w:color w:val="auto"/>
                      <w:sz w:val="21"/>
                      <w:szCs w:val="21"/>
                      <w:highlight w:val="none"/>
                    </w:rPr>
                  </w:pPr>
                </w:p>
              </w:tc>
              <w:tc>
                <w:tcPr>
                  <w:tcW w:w="1249" w:type="pct"/>
                  <w:tcBorders>
                    <w:tl2br w:val="nil"/>
                    <w:tr2bl w:val="nil"/>
                  </w:tcBorders>
                  <w:noWrap/>
                  <w:vAlign w:val="center"/>
                </w:tcPr>
                <w:p w14:paraId="535CCE15">
                  <w:pPr>
                    <w:adjustRightInd w:val="0"/>
                    <w:snapToGri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SO</w:t>
                  </w:r>
                  <w:r>
                    <w:rPr>
                      <w:rFonts w:hint="default" w:ascii="Times New Roman" w:hAnsi="Times New Roman" w:cs="Times New Roman"/>
                      <w:bCs/>
                      <w:color w:val="auto"/>
                      <w:sz w:val="21"/>
                      <w:szCs w:val="21"/>
                      <w:highlight w:val="none"/>
                      <w:vertAlign w:val="subscript"/>
                    </w:rPr>
                    <w:t>2</w:t>
                  </w:r>
                </w:p>
              </w:tc>
              <w:tc>
                <w:tcPr>
                  <w:tcW w:w="1249" w:type="pct"/>
                  <w:tcBorders>
                    <w:tl2br w:val="nil"/>
                    <w:tr2bl w:val="nil"/>
                  </w:tcBorders>
                  <w:noWrap/>
                  <w:vAlign w:val="center"/>
                </w:tcPr>
                <w:p w14:paraId="0A585ED2">
                  <w:pPr>
                    <w:adjustRightInd w:val="0"/>
                    <w:snapToGrid w:val="0"/>
                    <w:jc w:val="center"/>
                    <w:rPr>
                      <w:rFonts w:hint="default" w:ascii="Times New Roman" w:hAnsi="Times New Roman" w:cs="Times New Roman"/>
                      <w:bCs/>
                      <w:color w:val="auto"/>
                      <w:sz w:val="21"/>
                      <w:szCs w:val="21"/>
                      <w:highlight w:val="none"/>
                    </w:rPr>
                  </w:pPr>
                  <w:r>
                    <w:rPr>
                      <w:rFonts w:hint="eastAsia" w:cs="Times New Roman"/>
                      <w:bCs/>
                      <w:color w:val="auto"/>
                      <w:sz w:val="21"/>
                      <w:szCs w:val="21"/>
                      <w:highlight w:val="none"/>
                      <w:lang w:val="en-US" w:eastAsia="zh-CN"/>
                    </w:rPr>
                    <w:t>kg/万m</w:t>
                  </w:r>
                  <w:r>
                    <w:rPr>
                      <w:rFonts w:hint="eastAsia" w:cs="Times New Roman"/>
                      <w:bCs/>
                      <w:color w:val="auto"/>
                      <w:sz w:val="21"/>
                      <w:szCs w:val="21"/>
                      <w:highlight w:val="none"/>
                      <w:vertAlign w:val="superscript"/>
                      <w:lang w:val="en-US" w:eastAsia="zh-CN"/>
                    </w:rPr>
                    <w:t>3－</w:t>
                  </w:r>
                  <w:r>
                    <w:rPr>
                      <w:rFonts w:hint="eastAsia" w:cs="Times New Roman"/>
                      <w:bCs/>
                      <w:color w:val="auto"/>
                      <w:sz w:val="21"/>
                      <w:szCs w:val="21"/>
                      <w:highlight w:val="none"/>
                      <w:lang w:val="en-US" w:eastAsia="zh-CN"/>
                    </w:rPr>
                    <w:t>燃料</w:t>
                  </w:r>
                </w:p>
              </w:tc>
              <w:tc>
                <w:tcPr>
                  <w:tcW w:w="1252" w:type="pct"/>
                  <w:tcBorders>
                    <w:tl2br w:val="nil"/>
                    <w:tr2bl w:val="nil"/>
                  </w:tcBorders>
                  <w:noWrap/>
                  <w:vAlign w:val="center"/>
                </w:tcPr>
                <w:p w14:paraId="5AEA3509">
                  <w:pPr>
                    <w:adjustRightInd w:val="0"/>
                    <w:snapToGrid w:val="0"/>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0.02S</w:t>
                  </w:r>
                </w:p>
              </w:tc>
            </w:tr>
            <w:tr w14:paraId="0B69AB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454" w:hRule="atLeast"/>
                <w:jc w:val="center"/>
              </w:trPr>
              <w:tc>
                <w:tcPr>
                  <w:tcW w:w="1248" w:type="pct"/>
                  <w:vMerge w:val="continue"/>
                  <w:tcBorders>
                    <w:tl2br w:val="nil"/>
                    <w:tr2bl w:val="nil"/>
                  </w:tcBorders>
                  <w:noWrap/>
                  <w:vAlign w:val="center"/>
                </w:tcPr>
                <w:p w14:paraId="76D11B3E">
                  <w:pPr>
                    <w:adjustRightInd w:val="0"/>
                    <w:snapToGrid w:val="0"/>
                    <w:jc w:val="center"/>
                    <w:rPr>
                      <w:rFonts w:hint="default" w:ascii="Times New Roman" w:hAnsi="Times New Roman" w:cs="Times New Roman"/>
                      <w:color w:val="auto"/>
                      <w:sz w:val="21"/>
                      <w:szCs w:val="21"/>
                      <w:highlight w:val="none"/>
                    </w:rPr>
                  </w:pPr>
                </w:p>
              </w:tc>
              <w:tc>
                <w:tcPr>
                  <w:tcW w:w="1249" w:type="pct"/>
                  <w:tcBorders>
                    <w:tl2br w:val="nil"/>
                    <w:tr2bl w:val="nil"/>
                  </w:tcBorders>
                  <w:noWrap/>
                  <w:vAlign w:val="center"/>
                </w:tcPr>
                <w:p w14:paraId="0CB8674A">
                  <w:pPr>
                    <w:adjustRightInd w:val="0"/>
                    <w:snapToGri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NOx</w:t>
                  </w:r>
                </w:p>
              </w:tc>
              <w:tc>
                <w:tcPr>
                  <w:tcW w:w="1249" w:type="pct"/>
                  <w:tcBorders>
                    <w:tl2br w:val="nil"/>
                    <w:tr2bl w:val="nil"/>
                  </w:tcBorders>
                  <w:noWrap/>
                  <w:vAlign w:val="center"/>
                </w:tcPr>
                <w:p w14:paraId="33BEF584">
                  <w:pPr>
                    <w:adjustRightInd w:val="0"/>
                    <w:snapToGrid w:val="0"/>
                    <w:jc w:val="center"/>
                    <w:rPr>
                      <w:rFonts w:hint="default" w:ascii="Times New Roman" w:hAnsi="Times New Roman" w:cs="Times New Roman"/>
                      <w:bCs/>
                      <w:color w:val="auto"/>
                      <w:sz w:val="21"/>
                      <w:szCs w:val="21"/>
                      <w:highlight w:val="none"/>
                    </w:rPr>
                  </w:pPr>
                  <w:r>
                    <w:rPr>
                      <w:rFonts w:hint="eastAsia" w:cs="Times New Roman"/>
                      <w:bCs/>
                      <w:color w:val="auto"/>
                      <w:sz w:val="21"/>
                      <w:szCs w:val="21"/>
                      <w:highlight w:val="none"/>
                      <w:lang w:val="en-US" w:eastAsia="zh-CN"/>
                    </w:rPr>
                    <w:t>kg/万m</w:t>
                  </w:r>
                  <w:r>
                    <w:rPr>
                      <w:rFonts w:hint="eastAsia" w:cs="Times New Roman"/>
                      <w:bCs/>
                      <w:color w:val="auto"/>
                      <w:sz w:val="21"/>
                      <w:szCs w:val="21"/>
                      <w:highlight w:val="none"/>
                      <w:vertAlign w:val="superscript"/>
                      <w:lang w:val="en-US" w:eastAsia="zh-CN"/>
                    </w:rPr>
                    <w:t>3－</w:t>
                  </w:r>
                  <w:r>
                    <w:rPr>
                      <w:rFonts w:hint="eastAsia" w:cs="Times New Roman"/>
                      <w:bCs/>
                      <w:color w:val="auto"/>
                      <w:sz w:val="21"/>
                      <w:szCs w:val="21"/>
                      <w:highlight w:val="none"/>
                      <w:lang w:val="en-US" w:eastAsia="zh-CN"/>
                    </w:rPr>
                    <w:t>燃料</w:t>
                  </w:r>
                </w:p>
              </w:tc>
              <w:tc>
                <w:tcPr>
                  <w:tcW w:w="1252" w:type="pct"/>
                  <w:tcBorders>
                    <w:tl2br w:val="nil"/>
                    <w:tr2bl w:val="nil"/>
                  </w:tcBorders>
                  <w:noWrap/>
                  <w:vAlign w:val="center"/>
                </w:tcPr>
                <w:p w14:paraId="7DDE5169">
                  <w:pPr>
                    <w:adjustRightInd w:val="0"/>
                    <w:snapToGrid w:val="0"/>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3.03</w:t>
                  </w:r>
                </w:p>
              </w:tc>
            </w:tr>
            <w:tr w14:paraId="4AAEE7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48" w:type="pct"/>
                  <w:vMerge w:val="continue"/>
                  <w:tcBorders>
                    <w:tl2br w:val="nil"/>
                    <w:tr2bl w:val="nil"/>
                  </w:tcBorders>
                  <w:noWrap/>
                  <w:vAlign w:val="center"/>
                </w:tcPr>
                <w:p w14:paraId="0B5FED22">
                  <w:pPr>
                    <w:adjustRightInd w:val="0"/>
                    <w:snapToGrid w:val="0"/>
                    <w:jc w:val="center"/>
                    <w:rPr>
                      <w:rFonts w:hint="default" w:ascii="Times New Roman" w:hAnsi="Times New Roman" w:cs="Times New Roman"/>
                      <w:color w:val="auto"/>
                      <w:sz w:val="21"/>
                      <w:szCs w:val="21"/>
                      <w:highlight w:val="none"/>
                    </w:rPr>
                  </w:pPr>
                </w:p>
              </w:tc>
              <w:tc>
                <w:tcPr>
                  <w:tcW w:w="1249" w:type="pct"/>
                  <w:tcBorders>
                    <w:tl2br w:val="nil"/>
                    <w:tr2bl w:val="nil"/>
                  </w:tcBorders>
                  <w:noWrap/>
                  <w:vAlign w:val="center"/>
                </w:tcPr>
                <w:p w14:paraId="2D216750">
                  <w:pPr>
                    <w:adjustRightInd w:val="0"/>
                    <w:snapToGrid w:val="0"/>
                    <w:jc w:val="center"/>
                    <w:rPr>
                      <w:rFonts w:hint="eastAsia" w:ascii="Times New Roman" w:hAnsi="Times New Roman" w:eastAsia="宋体" w:cs="Times New Roman"/>
                      <w:bCs/>
                      <w:color w:val="auto"/>
                      <w:sz w:val="21"/>
                      <w:szCs w:val="21"/>
                      <w:highlight w:val="none"/>
                      <w:lang w:eastAsia="zh-CN"/>
                    </w:rPr>
                  </w:pPr>
                  <w:r>
                    <w:rPr>
                      <w:rFonts w:hint="eastAsia" w:cs="Times New Roman"/>
                      <w:bCs/>
                      <w:color w:val="auto"/>
                      <w:sz w:val="21"/>
                      <w:szCs w:val="21"/>
                      <w:highlight w:val="none"/>
                      <w:lang w:eastAsia="zh-CN"/>
                    </w:rPr>
                    <w:t>颗粒物</w:t>
                  </w:r>
                </w:p>
              </w:tc>
              <w:tc>
                <w:tcPr>
                  <w:tcW w:w="1249" w:type="pct"/>
                  <w:tcBorders>
                    <w:tl2br w:val="nil"/>
                    <w:tr2bl w:val="nil"/>
                  </w:tcBorders>
                  <w:noWrap/>
                  <w:vAlign w:val="center"/>
                </w:tcPr>
                <w:p w14:paraId="0A33FFEF">
                  <w:pPr>
                    <w:adjustRightInd w:val="0"/>
                    <w:snapToGrid w:val="0"/>
                    <w:jc w:val="center"/>
                    <w:rPr>
                      <w:rFonts w:hint="default" w:ascii="Times New Roman" w:hAnsi="Times New Roman" w:cs="Times New Roman"/>
                      <w:bCs/>
                      <w:color w:val="auto"/>
                      <w:sz w:val="21"/>
                      <w:szCs w:val="21"/>
                      <w:highlight w:val="none"/>
                    </w:rPr>
                  </w:pPr>
                  <w:r>
                    <w:rPr>
                      <w:rFonts w:hint="eastAsia" w:cs="Times New Roman"/>
                      <w:bCs/>
                      <w:color w:val="auto"/>
                      <w:sz w:val="21"/>
                      <w:szCs w:val="21"/>
                      <w:highlight w:val="none"/>
                      <w:lang w:val="en-US" w:eastAsia="zh-CN"/>
                    </w:rPr>
                    <w:t>kg/万m</w:t>
                  </w:r>
                  <w:r>
                    <w:rPr>
                      <w:rFonts w:hint="eastAsia" w:cs="Times New Roman"/>
                      <w:bCs/>
                      <w:color w:val="auto"/>
                      <w:sz w:val="21"/>
                      <w:szCs w:val="21"/>
                      <w:highlight w:val="none"/>
                      <w:vertAlign w:val="superscript"/>
                      <w:lang w:val="en-US" w:eastAsia="zh-CN"/>
                    </w:rPr>
                    <w:t>3－</w:t>
                  </w:r>
                  <w:r>
                    <w:rPr>
                      <w:rFonts w:hint="eastAsia" w:cs="Times New Roman"/>
                      <w:bCs/>
                      <w:color w:val="auto"/>
                      <w:sz w:val="21"/>
                      <w:szCs w:val="21"/>
                      <w:highlight w:val="none"/>
                      <w:lang w:val="en-US" w:eastAsia="zh-CN"/>
                    </w:rPr>
                    <w:t>燃料</w:t>
                  </w:r>
                </w:p>
              </w:tc>
              <w:tc>
                <w:tcPr>
                  <w:tcW w:w="1252" w:type="pct"/>
                  <w:tcBorders>
                    <w:tl2br w:val="nil"/>
                    <w:tr2bl w:val="nil"/>
                  </w:tcBorders>
                  <w:noWrap/>
                  <w:vAlign w:val="center"/>
                </w:tcPr>
                <w:p w14:paraId="3A580B9F">
                  <w:pPr>
                    <w:adjustRightInd w:val="0"/>
                    <w:snapToGrid w:val="0"/>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w:t>
                  </w:r>
                </w:p>
              </w:tc>
            </w:tr>
            <w:tr w14:paraId="6C5B35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000" w:type="pct"/>
                  <w:gridSpan w:val="4"/>
                  <w:tcBorders>
                    <w:tl2br w:val="nil"/>
                    <w:tr2bl w:val="nil"/>
                  </w:tcBorders>
                  <w:noWrap/>
                  <w:vAlign w:val="center"/>
                </w:tcPr>
                <w:p w14:paraId="1906CD1E">
                  <w:pPr>
                    <w:adjustRightInd w:val="0"/>
                    <w:snapToGrid w:val="0"/>
                    <w:jc w:val="both"/>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注</w:t>
                  </w:r>
                  <w:r>
                    <w:rPr>
                      <w:rFonts w:hint="eastAsia" w:ascii="Times New Roman" w:hAnsi="Times New Roman" w:cs="Times New Roman"/>
                      <w:bCs/>
                      <w:color w:val="auto"/>
                      <w:sz w:val="21"/>
                      <w:szCs w:val="21"/>
                      <w:highlight w:val="none"/>
                      <w:lang w:val="en-US" w:eastAsia="zh-CN"/>
                    </w:rPr>
                    <w:t>：含硫量（</w:t>
                  </w:r>
                  <w:r>
                    <w:rPr>
                      <w:rFonts w:hint="default" w:ascii="Times New Roman" w:hAnsi="Times New Roman" w:cs="Times New Roman"/>
                      <w:bCs/>
                      <w:color w:val="auto"/>
                      <w:sz w:val="21"/>
                      <w:szCs w:val="21"/>
                      <w:highlight w:val="none"/>
                      <w:lang w:val="en-US" w:eastAsia="zh-CN"/>
                    </w:rPr>
                    <w:t>S</w:t>
                  </w:r>
                  <w:r>
                    <w:rPr>
                      <w:rFonts w:hint="eastAsia" w:ascii="Times New Roman" w:hAnsi="Times New Roman" w:cs="Times New Roman"/>
                      <w:bCs/>
                      <w:color w:val="auto"/>
                      <w:sz w:val="21"/>
                      <w:szCs w:val="21"/>
                      <w:highlight w:val="none"/>
                      <w:lang w:val="en-US" w:eastAsia="zh-CN"/>
                    </w:rPr>
                    <w:t>）是指燃气硫分含量，单位为</w:t>
                  </w:r>
                  <w:r>
                    <w:rPr>
                      <w:rFonts w:hint="default" w:ascii="Times New Roman" w:hAnsi="Times New Roman" w:cs="Times New Roman"/>
                      <w:bCs/>
                      <w:color w:val="auto"/>
                      <w:sz w:val="21"/>
                      <w:szCs w:val="21"/>
                      <w:highlight w:val="none"/>
                      <w:lang w:val="en-US" w:eastAsia="zh-CN"/>
                    </w:rPr>
                    <w:t>mg/m</w:t>
                  </w:r>
                  <w:r>
                    <w:rPr>
                      <w:rFonts w:hint="default" w:ascii="Times New Roman" w:hAnsi="Times New Roman" w:cs="Times New Roman"/>
                      <w:bCs/>
                      <w:color w:val="auto"/>
                      <w:sz w:val="21"/>
                      <w:szCs w:val="21"/>
                      <w:highlight w:val="none"/>
                      <w:vertAlign w:val="superscript"/>
                      <w:lang w:val="en-US" w:eastAsia="zh-CN"/>
                    </w:rPr>
                    <w:t>3</w:t>
                  </w:r>
                  <w:r>
                    <w:rPr>
                      <w:rFonts w:hint="eastAsia" w:ascii="Times New Roman" w:hAnsi="Times New Roman" w:cs="Times New Roman"/>
                      <w:bCs/>
                      <w:color w:val="auto"/>
                      <w:sz w:val="21"/>
                      <w:szCs w:val="21"/>
                      <w:highlight w:val="none"/>
                      <w:lang w:val="en-US" w:eastAsia="zh-CN"/>
                    </w:rPr>
                    <w:t>，天然气</w:t>
                  </w:r>
                  <w:r>
                    <w:rPr>
                      <w:rFonts w:hint="eastAsia" w:cs="Times New Roman"/>
                      <w:bCs/>
                      <w:color w:val="auto"/>
                      <w:sz w:val="21"/>
                      <w:szCs w:val="21"/>
                      <w:highlight w:val="none"/>
                      <w:lang w:val="en-US" w:eastAsia="zh-CN"/>
                    </w:rPr>
                    <w:t>组分中</w:t>
                  </w:r>
                  <w:r>
                    <w:rPr>
                      <w:rFonts w:ascii="Times New Roman" w:hAnsi="Times New Roman" w:cs="Times New Roman"/>
                      <w:color w:val="auto"/>
                      <w:sz w:val="21"/>
                      <w:szCs w:val="21"/>
                      <w:highlight w:val="none"/>
                      <w:lang w:val="en-US"/>
                    </w:rPr>
                    <w:t>根据</w:t>
                  </w:r>
                  <w:r>
                    <w:rPr>
                      <w:rFonts w:hint="eastAsia" w:ascii="Times New Roman" w:hAnsi="Times New Roman" w:cs="Times New Roman"/>
                      <w:color w:val="auto"/>
                      <w:sz w:val="21"/>
                      <w:szCs w:val="21"/>
                      <w:highlight w:val="none"/>
                      <w:lang w:val="en-US" w:eastAsia="zh-CN"/>
                    </w:rPr>
                    <w:t>企业提供</w:t>
                  </w:r>
                  <w:r>
                    <w:rPr>
                      <w:rFonts w:ascii="Times New Roman" w:hAnsi="Times New Roman" w:cs="Times New Roman"/>
                      <w:color w:val="auto"/>
                      <w:sz w:val="21"/>
                      <w:szCs w:val="21"/>
                      <w:highlight w:val="none"/>
                      <w:lang w:val="en-US"/>
                    </w:rPr>
                    <w:t>天然气H</w:t>
                  </w:r>
                  <w:r>
                    <w:rPr>
                      <w:rFonts w:ascii="Times New Roman" w:hAnsi="Times New Roman" w:cs="Times New Roman"/>
                      <w:color w:val="auto"/>
                      <w:sz w:val="21"/>
                      <w:szCs w:val="21"/>
                      <w:highlight w:val="none"/>
                      <w:vertAlign w:val="subscript"/>
                      <w:lang w:val="en-US"/>
                    </w:rPr>
                    <w:t>2</w:t>
                  </w:r>
                  <w:r>
                    <w:rPr>
                      <w:rFonts w:ascii="Times New Roman" w:hAnsi="Times New Roman" w:cs="Times New Roman"/>
                      <w:color w:val="auto"/>
                      <w:sz w:val="21"/>
                      <w:szCs w:val="21"/>
                      <w:highlight w:val="none"/>
                      <w:lang w:val="en-US"/>
                    </w:rPr>
                    <w:t>S含量</w:t>
                  </w:r>
                  <w:r>
                    <w:rPr>
                      <w:rFonts w:hint="eastAsia"/>
                      <w:color w:val="auto"/>
                      <w:sz w:val="21"/>
                      <w:szCs w:val="21"/>
                      <w:highlight w:val="none"/>
                    </w:rPr>
                    <w:t>＜</w:t>
                  </w:r>
                  <w:r>
                    <w:rPr>
                      <w:rFonts w:ascii="Times New Roman" w:hAnsi="Times New Roman" w:cs="Times New Roman"/>
                      <w:color w:val="auto"/>
                      <w:sz w:val="21"/>
                      <w:szCs w:val="21"/>
                      <w:highlight w:val="none"/>
                      <w:lang w:val="en-US"/>
                    </w:rPr>
                    <w:t>20mg/m</w:t>
                  </w:r>
                  <w:r>
                    <w:rPr>
                      <w:rFonts w:ascii="Times New Roman" w:hAnsi="Times New Roman" w:cs="Times New Roman"/>
                      <w:color w:val="auto"/>
                      <w:sz w:val="21"/>
                      <w:szCs w:val="21"/>
                      <w:highlight w:val="none"/>
                      <w:vertAlign w:val="superscript"/>
                      <w:lang w:val="en-US"/>
                    </w:rPr>
                    <w:t>3</w:t>
                  </w:r>
                  <w:r>
                    <w:rPr>
                      <w:rFonts w:ascii="Times New Roman" w:hAnsi="Times New Roman" w:cs="Times New Roman"/>
                      <w:color w:val="auto"/>
                      <w:sz w:val="21"/>
                      <w:szCs w:val="21"/>
                      <w:highlight w:val="none"/>
                      <w:lang w:val="en-US"/>
                    </w:rPr>
                    <w:t>，本评价按照保守计算，折合总硫的质量浓度为</w:t>
                  </w:r>
                  <w:r>
                    <w:rPr>
                      <w:rFonts w:hint="eastAsia" w:ascii="Times New Roman" w:hAnsi="Times New Roman" w:cs="Times New Roman"/>
                      <w:color w:val="auto"/>
                      <w:sz w:val="21"/>
                      <w:szCs w:val="21"/>
                      <w:highlight w:val="none"/>
                      <w:lang w:val="en-US" w:eastAsia="zh-CN"/>
                    </w:rPr>
                    <w:t>16.4</w:t>
                  </w:r>
                  <w:r>
                    <w:rPr>
                      <w:rFonts w:ascii="Times New Roman" w:hAnsi="Times New Roman" w:cs="Times New Roman"/>
                      <w:color w:val="auto"/>
                      <w:sz w:val="21"/>
                      <w:szCs w:val="21"/>
                      <w:highlight w:val="none"/>
                      <w:lang w:val="en-US"/>
                    </w:rPr>
                    <w:t>mg/m</w:t>
                  </w:r>
                  <w:r>
                    <w:rPr>
                      <w:rFonts w:ascii="Times New Roman" w:hAnsi="Times New Roman" w:cs="Times New Roman"/>
                      <w:color w:val="auto"/>
                      <w:sz w:val="21"/>
                      <w:szCs w:val="21"/>
                      <w:highlight w:val="none"/>
                      <w:vertAlign w:val="superscript"/>
                      <w:lang w:val="en-US"/>
                    </w:rPr>
                    <w:t>3</w:t>
                  </w:r>
                  <w:r>
                    <w:rPr>
                      <w:rFonts w:ascii="Times New Roman" w:hAnsi="Times New Roman" w:cs="Times New Roman"/>
                      <w:color w:val="auto"/>
                      <w:sz w:val="21"/>
                      <w:szCs w:val="21"/>
                      <w:highlight w:val="none"/>
                      <w:lang w:val="en-US"/>
                    </w:rPr>
                    <w:t>天然气。</w:t>
                  </w:r>
                </w:p>
              </w:tc>
            </w:tr>
          </w:tbl>
          <w:p w14:paraId="029254BF">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通过计算，本项目燃气锅炉废气排放量见表4-</w:t>
            </w: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w:t>
            </w:r>
          </w:p>
          <w:p w14:paraId="174DAFB6">
            <w:pPr>
              <w:spacing w:after="24" w:afterLines="10"/>
              <w:ind w:firstLine="482" w:firstLineChars="200"/>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表4-</w:t>
            </w:r>
            <w:r>
              <w:rPr>
                <w:rFonts w:hint="eastAsia" w:cs="Times New Roman"/>
                <w:b/>
                <w:bCs/>
                <w:color w:val="auto"/>
                <w:sz w:val="24"/>
                <w:szCs w:val="24"/>
                <w:highlight w:val="none"/>
                <w:lang w:val="en-US" w:eastAsia="zh-CN"/>
              </w:rPr>
              <w:t>3</w:t>
            </w:r>
            <w:r>
              <w:rPr>
                <w:rFonts w:hint="default" w:ascii="Times New Roman" w:hAnsi="Times New Roman" w:cs="Times New Roman"/>
                <w:b/>
                <w:bCs/>
                <w:color w:val="auto"/>
                <w:sz w:val="24"/>
                <w:szCs w:val="24"/>
                <w:highlight w:val="none"/>
              </w:rPr>
              <w:t xml:space="preserve">   锅炉废气的产生量及排放量</w:t>
            </w:r>
          </w:p>
          <w:tbl>
            <w:tblPr>
              <w:tblStyle w:val="37"/>
              <w:tblW w:w="872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0"/>
              <w:gridCol w:w="1291"/>
              <w:gridCol w:w="1015"/>
              <w:gridCol w:w="1347"/>
              <w:gridCol w:w="1636"/>
              <w:gridCol w:w="1595"/>
              <w:gridCol w:w="951"/>
            </w:tblGrid>
            <w:tr w14:paraId="2459F7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10" w:type="pct"/>
                  <w:vMerge w:val="restart"/>
                  <w:tcBorders>
                    <w:tl2br w:val="nil"/>
                    <w:tr2bl w:val="nil"/>
                  </w:tcBorders>
                  <w:noWrap/>
                  <w:vAlign w:val="center"/>
                </w:tcPr>
                <w:p w14:paraId="7B672A97">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产生</w:t>
                  </w:r>
                </w:p>
                <w:p w14:paraId="0C4E8288">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工序</w:t>
                  </w:r>
                </w:p>
              </w:tc>
              <w:tc>
                <w:tcPr>
                  <w:tcW w:w="739" w:type="pct"/>
                  <w:vMerge w:val="restart"/>
                  <w:tcBorders>
                    <w:tl2br w:val="nil"/>
                    <w:tr2bl w:val="nil"/>
                  </w:tcBorders>
                  <w:noWrap/>
                  <w:vAlign w:val="center"/>
                </w:tcPr>
                <w:p w14:paraId="7584F772">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污染物</w:t>
                  </w:r>
                </w:p>
              </w:tc>
              <w:tc>
                <w:tcPr>
                  <w:tcW w:w="1353" w:type="pct"/>
                  <w:gridSpan w:val="2"/>
                  <w:tcBorders>
                    <w:tl2br w:val="nil"/>
                    <w:tr2bl w:val="nil"/>
                  </w:tcBorders>
                  <w:noWrap/>
                  <w:vAlign w:val="center"/>
                </w:tcPr>
                <w:p w14:paraId="48C55721">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产生情况</w:t>
                  </w:r>
                </w:p>
              </w:tc>
              <w:tc>
                <w:tcPr>
                  <w:tcW w:w="937" w:type="pct"/>
                  <w:vMerge w:val="restart"/>
                  <w:tcBorders>
                    <w:tl2br w:val="nil"/>
                    <w:tr2bl w:val="nil"/>
                  </w:tcBorders>
                  <w:noWrap/>
                  <w:vAlign w:val="center"/>
                </w:tcPr>
                <w:p w14:paraId="09D8E489">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处理措施</w:t>
                  </w:r>
                </w:p>
              </w:tc>
              <w:tc>
                <w:tcPr>
                  <w:tcW w:w="1459" w:type="pct"/>
                  <w:gridSpan w:val="2"/>
                  <w:tcBorders>
                    <w:tl2br w:val="nil"/>
                    <w:tr2bl w:val="nil"/>
                  </w:tcBorders>
                  <w:noWrap/>
                  <w:vAlign w:val="center"/>
                </w:tcPr>
                <w:p w14:paraId="4087F69C">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排放情况</w:t>
                  </w:r>
                </w:p>
              </w:tc>
            </w:tr>
            <w:tr w14:paraId="2B811A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10" w:type="pct"/>
                  <w:vMerge w:val="continue"/>
                  <w:tcBorders>
                    <w:tl2br w:val="nil"/>
                    <w:tr2bl w:val="nil"/>
                  </w:tcBorders>
                  <w:noWrap/>
                  <w:vAlign w:val="center"/>
                </w:tcPr>
                <w:p w14:paraId="3ECE2A7F">
                  <w:pPr>
                    <w:adjustRightInd w:val="0"/>
                    <w:snapToGrid w:val="0"/>
                    <w:jc w:val="center"/>
                    <w:rPr>
                      <w:rFonts w:hint="default" w:ascii="Times New Roman" w:hAnsi="Times New Roman" w:cs="Times New Roman"/>
                      <w:color w:val="auto"/>
                      <w:sz w:val="21"/>
                      <w:szCs w:val="21"/>
                      <w:highlight w:val="none"/>
                    </w:rPr>
                  </w:pPr>
                </w:p>
              </w:tc>
              <w:tc>
                <w:tcPr>
                  <w:tcW w:w="739" w:type="pct"/>
                  <w:vMerge w:val="continue"/>
                  <w:tcBorders>
                    <w:tl2br w:val="nil"/>
                    <w:tr2bl w:val="nil"/>
                  </w:tcBorders>
                  <w:noWrap/>
                  <w:vAlign w:val="center"/>
                </w:tcPr>
                <w:p w14:paraId="2914AA51">
                  <w:pPr>
                    <w:adjustRightInd w:val="0"/>
                    <w:snapToGrid w:val="0"/>
                    <w:jc w:val="center"/>
                    <w:rPr>
                      <w:rFonts w:hint="default" w:ascii="Times New Roman" w:hAnsi="Times New Roman" w:cs="Times New Roman"/>
                      <w:color w:val="auto"/>
                      <w:sz w:val="21"/>
                      <w:szCs w:val="21"/>
                      <w:highlight w:val="none"/>
                    </w:rPr>
                  </w:pPr>
                </w:p>
              </w:tc>
              <w:tc>
                <w:tcPr>
                  <w:tcW w:w="581" w:type="pct"/>
                  <w:tcBorders>
                    <w:tl2br w:val="nil"/>
                    <w:tr2bl w:val="nil"/>
                  </w:tcBorders>
                  <w:noWrap/>
                  <w:vAlign w:val="center"/>
                </w:tcPr>
                <w:p w14:paraId="1EAB78CA">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产生量</w:t>
                  </w:r>
                </w:p>
              </w:tc>
              <w:tc>
                <w:tcPr>
                  <w:tcW w:w="771" w:type="pct"/>
                  <w:tcBorders>
                    <w:tl2br w:val="nil"/>
                    <w:tr2bl w:val="nil"/>
                  </w:tcBorders>
                  <w:noWrap/>
                  <w:vAlign w:val="center"/>
                </w:tcPr>
                <w:p w14:paraId="2EA4D07B">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产生</w:t>
                  </w:r>
                </w:p>
                <w:p w14:paraId="44AB48B5">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浓度</w:t>
                  </w:r>
                </w:p>
              </w:tc>
              <w:tc>
                <w:tcPr>
                  <w:tcW w:w="937" w:type="pct"/>
                  <w:vMerge w:val="continue"/>
                  <w:tcBorders>
                    <w:tl2br w:val="nil"/>
                    <w:tr2bl w:val="nil"/>
                  </w:tcBorders>
                  <w:noWrap/>
                  <w:vAlign w:val="center"/>
                </w:tcPr>
                <w:p w14:paraId="21F3B92F">
                  <w:pPr>
                    <w:adjustRightInd w:val="0"/>
                    <w:snapToGrid w:val="0"/>
                    <w:jc w:val="center"/>
                    <w:rPr>
                      <w:rFonts w:hint="default" w:ascii="Times New Roman" w:hAnsi="Times New Roman" w:cs="Times New Roman"/>
                      <w:b/>
                      <w:color w:val="auto"/>
                      <w:sz w:val="21"/>
                      <w:szCs w:val="21"/>
                      <w:highlight w:val="none"/>
                    </w:rPr>
                  </w:pPr>
                </w:p>
              </w:tc>
              <w:tc>
                <w:tcPr>
                  <w:tcW w:w="914" w:type="pct"/>
                  <w:tcBorders>
                    <w:tl2br w:val="nil"/>
                    <w:tr2bl w:val="nil"/>
                  </w:tcBorders>
                  <w:noWrap/>
                  <w:vAlign w:val="center"/>
                </w:tcPr>
                <w:p w14:paraId="6927E1F7">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排放</w:t>
                  </w:r>
                </w:p>
                <w:p w14:paraId="7A9D7D83">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浓度</w:t>
                  </w:r>
                </w:p>
              </w:tc>
              <w:tc>
                <w:tcPr>
                  <w:tcW w:w="544" w:type="pct"/>
                  <w:tcBorders>
                    <w:tl2br w:val="nil"/>
                    <w:tr2bl w:val="nil"/>
                  </w:tcBorders>
                  <w:noWrap/>
                  <w:vAlign w:val="center"/>
                </w:tcPr>
                <w:p w14:paraId="2920D1D0">
                  <w:pPr>
                    <w:adjustRightInd w:val="0"/>
                    <w:snapToGrid w:val="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排放量</w:t>
                  </w:r>
                </w:p>
              </w:tc>
            </w:tr>
            <w:tr w14:paraId="567F93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10" w:type="pct"/>
                  <w:vMerge w:val="restart"/>
                  <w:tcBorders>
                    <w:tl2br w:val="nil"/>
                    <w:tr2bl w:val="nil"/>
                  </w:tcBorders>
                  <w:noWrap/>
                  <w:vAlign w:val="center"/>
                </w:tcPr>
                <w:p w14:paraId="557E8A61">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天然气锅炉</w:t>
                  </w:r>
                </w:p>
              </w:tc>
              <w:tc>
                <w:tcPr>
                  <w:tcW w:w="739" w:type="pct"/>
                  <w:tcBorders>
                    <w:tl2br w:val="nil"/>
                    <w:tr2bl w:val="nil"/>
                  </w:tcBorders>
                  <w:noWrap/>
                  <w:vAlign w:val="center"/>
                </w:tcPr>
                <w:p w14:paraId="2600ACE0">
                  <w:pPr>
                    <w:adjustRightInd w:val="0"/>
                    <w:snapToGri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工业废气量</w:t>
                  </w:r>
                </w:p>
              </w:tc>
              <w:tc>
                <w:tcPr>
                  <w:tcW w:w="3750" w:type="pct"/>
                  <w:gridSpan w:val="5"/>
                  <w:tcBorders>
                    <w:tl2br w:val="nil"/>
                    <w:tr2bl w:val="nil"/>
                  </w:tcBorders>
                  <w:noWrap/>
                  <w:vAlign w:val="center"/>
                </w:tcPr>
                <w:p w14:paraId="7A38C0E5">
                  <w:pPr>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7860581.4</w:t>
                  </w:r>
                  <w:r>
                    <w:rPr>
                      <w:rFonts w:hint="default" w:ascii="Times New Roman" w:hAnsi="Times New Roman" w:cs="Times New Roman"/>
                      <w:color w:val="auto"/>
                      <w:sz w:val="21"/>
                      <w:szCs w:val="21"/>
                      <w:highlight w:val="none"/>
                    </w:rPr>
                    <w:t>标立方米</w:t>
                  </w:r>
                </w:p>
              </w:tc>
            </w:tr>
            <w:tr w14:paraId="52855E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454" w:hRule="atLeast"/>
                <w:jc w:val="center"/>
              </w:trPr>
              <w:tc>
                <w:tcPr>
                  <w:tcW w:w="510" w:type="pct"/>
                  <w:vMerge w:val="continue"/>
                  <w:tcBorders>
                    <w:tl2br w:val="nil"/>
                    <w:tr2bl w:val="nil"/>
                  </w:tcBorders>
                  <w:noWrap/>
                  <w:vAlign w:val="center"/>
                </w:tcPr>
                <w:p w14:paraId="44F8AE15">
                  <w:pPr>
                    <w:adjustRightInd w:val="0"/>
                    <w:snapToGrid w:val="0"/>
                    <w:jc w:val="center"/>
                    <w:rPr>
                      <w:rFonts w:hint="default" w:ascii="Times New Roman" w:hAnsi="Times New Roman" w:cs="Times New Roman"/>
                      <w:color w:val="auto"/>
                      <w:sz w:val="21"/>
                      <w:szCs w:val="21"/>
                      <w:highlight w:val="none"/>
                    </w:rPr>
                  </w:pPr>
                </w:p>
              </w:tc>
              <w:tc>
                <w:tcPr>
                  <w:tcW w:w="739" w:type="pct"/>
                  <w:tcBorders>
                    <w:tl2br w:val="nil"/>
                    <w:tr2bl w:val="nil"/>
                  </w:tcBorders>
                  <w:noWrap/>
                  <w:vAlign w:val="center"/>
                </w:tcPr>
                <w:p w14:paraId="1C80E4CC">
                  <w:pPr>
                    <w:adjustRightInd w:val="0"/>
                    <w:snapToGri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SO</w:t>
                  </w:r>
                  <w:r>
                    <w:rPr>
                      <w:rFonts w:hint="default" w:ascii="Times New Roman" w:hAnsi="Times New Roman" w:cs="Times New Roman"/>
                      <w:bCs/>
                      <w:color w:val="auto"/>
                      <w:sz w:val="21"/>
                      <w:szCs w:val="21"/>
                      <w:highlight w:val="none"/>
                      <w:vertAlign w:val="subscript"/>
                    </w:rPr>
                    <w:t>2</w:t>
                  </w:r>
                </w:p>
              </w:tc>
              <w:tc>
                <w:tcPr>
                  <w:tcW w:w="581" w:type="pct"/>
                  <w:tcBorders>
                    <w:tl2br w:val="nil"/>
                    <w:tr2bl w:val="nil"/>
                  </w:tcBorders>
                  <w:noWrap/>
                  <w:vAlign w:val="center"/>
                </w:tcPr>
                <w:p w14:paraId="7A234E07">
                  <w:pPr>
                    <w:adjustRightInd w:val="0"/>
                    <w:snapToGri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color w:val="auto"/>
                      <w:sz w:val="21"/>
                      <w:szCs w:val="21"/>
                      <w:highlight w:val="none"/>
                      <w:lang w:val="en-US" w:eastAsia="zh-CN"/>
                    </w:rPr>
                    <w:t>0.</w:t>
                  </w:r>
                  <w:r>
                    <w:rPr>
                      <w:rFonts w:hint="eastAsia" w:cs="Times New Roman"/>
                      <w:color w:val="auto"/>
                      <w:sz w:val="21"/>
                      <w:szCs w:val="21"/>
                      <w:highlight w:val="none"/>
                      <w:lang w:val="en-US" w:eastAsia="zh-CN"/>
                    </w:rPr>
                    <w:t>024</w:t>
                  </w:r>
                  <w:r>
                    <w:rPr>
                      <w:rFonts w:hint="default" w:ascii="Times New Roman" w:hAnsi="Times New Roman" w:cs="Times New Roman"/>
                      <w:color w:val="auto"/>
                      <w:sz w:val="21"/>
                      <w:szCs w:val="21"/>
                      <w:highlight w:val="none"/>
                    </w:rPr>
                    <w:t>t/a</w:t>
                  </w:r>
                </w:p>
              </w:tc>
              <w:tc>
                <w:tcPr>
                  <w:tcW w:w="771" w:type="pct"/>
                  <w:tcBorders>
                    <w:tl2br w:val="nil"/>
                    <w:tr2bl w:val="nil"/>
                  </w:tcBorders>
                  <w:noWrap/>
                  <w:vAlign w:val="center"/>
                </w:tcPr>
                <w:p w14:paraId="077829CB">
                  <w:pPr>
                    <w:adjustRightInd w:val="0"/>
                    <w:snapToGrid w:val="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3.1</w:t>
                  </w: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937" w:type="pct"/>
                  <w:vMerge w:val="restart"/>
                  <w:tcBorders>
                    <w:tl2br w:val="nil"/>
                    <w:tr2bl w:val="nil"/>
                  </w:tcBorders>
                  <w:noWrap/>
                  <w:vAlign w:val="center"/>
                </w:tcPr>
                <w:p w14:paraId="3788569F">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低氮燃烧系统+</w:t>
                  </w:r>
                  <w:r>
                    <w:rPr>
                      <w:rFonts w:hint="eastAsia" w:cs="Times New Roman"/>
                      <w:color w:val="auto"/>
                      <w:sz w:val="21"/>
                      <w:szCs w:val="21"/>
                      <w:highlight w:val="none"/>
                      <w:lang w:val="en-US" w:eastAsia="zh-CN"/>
                    </w:rPr>
                    <w:t>18m</w:t>
                  </w:r>
                  <w:r>
                    <w:rPr>
                      <w:rFonts w:hint="default" w:ascii="Times New Roman" w:hAnsi="Times New Roman" w:cs="Times New Roman"/>
                      <w:color w:val="auto"/>
                      <w:sz w:val="21"/>
                      <w:szCs w:val="21"/>
                      <w:highlight w:val="none"/>
                    </w:rPr>
                    <w:t>排气筒</w:t>
                  </w:r>
                </w:p>
              </w:tc>
              <w:tc>
                <w:tcPr>
                  <w:tcW w:w="914" w:type="pct"/>
                  <w:tcBorders>
                    <w:tl2br w:val="nil"/>
                    <w:tr2bl w:val="nil"/>
                  </w:tcBorders>
                  <w:noWrap/>
                  <w:vAlign w:val="center"/>
                </w:tcPr>
                <w:p w14:paraId="0817460F">
                  <w:pPr>
                    <w:adjustRightInd w:val="0"/>
                    <w:snapToGrid w:val="0"/>
                    <w:jc w:val="center"/>
                    <w:rPr>
                      <w:rFonts w:hint="default" w:ascii="Times New Roman" w:hAnsi="Times New Roman" w:cs="Times New Roman"/>
                      <w:bCs/>
                      <w:color w:val="auto"/>
                      <w:sz w:val="21"/>
                      <w:szCs w:val="21"/>
                      <w:highlight w:val="none"/>
                    </w:rPr>
                  </w:pPr>
                  <w:r>
                    <w:rPr>
                      <w:rFonts w:hint="eastAsia" w:cs="Times New Roman"/>
                      <w:color w:val="auto"/>
                      <w:sz w:val="21"/>
                      <w:szCs w:val="21"/>
                      <w:highlight w:val="none"/>
                      <w:lang w:val="en-US" w:eastAsia="zh-CN"/>
                    </w:rPr>
                    <w:t>3.1</w:t>
                  </w: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544" w:type="pct"/>
                  <w:tcBorders>
                    <w:tl2br w:val="nil"/>
                    <w:tr2bl w:val="nil"/>
                  </w:tcBorders>
                  <w:noWrap/>
                  <w:vAlign w:val="center"/>
                </w:tcPr>
                <w:p w14:paraId="62EB917E">
                  <w:pPr>
                    <w:adjustRightInd w:val="0"/>
                    <w:snapToGrid w:val="0"/>
                    <w:jc w:val="center"/>
                    <w:rPr>
                      <w:rFonts w:hint="default" w:ascii="Times New Roman" w:hAnsi="Times New Roman" w:cs="Times New Roman"/>
                      <w:bCs/>
                      <w:color w:val="auto"/>
                      <w:sz w:val="21"/>
                      <w:szCs w:val="21"/>
                      <w:highlight w:val="none"/>
                    </w:rPr>
                  </w:pPr>
                  <w:r>
                    <w:rPr>
                      <w:rFonts w:hint="eastAsia" w:ascii="Times New Roman" w:hAnsi="Times New Roman" w:cs="Times New Roman"/>
                      <w:color w:val="auto"/>
                      <w:sz w:val="21"/>
                      <w:szCs w:val="21"/>
                      <w:highlight w:val="none"/>
                      <w:lang w:val="en-US" w:eastAsia="zh-CN"/>
                    </w:rPr>
                    <w:t>0.0</w:t>
                  </w:r>
                  <w:r>
                    <w:rPr>
                      <w:rFonts w:hint="eastAsia"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t/a</w:t>
                  </w:r>
                </w:p>
              </w:tc>
            </w:tr>
            <w:tr w14:paraId="42E60B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10" w:type="pct"/>
                  <w:vMerge w:val="continue"/>
                  <w:tcBorders>
                    <w:tl2br w:val="nil"/>
                    <w:tr2bl w:val="nil"/>
                  </w:tcBorders>
                  <w:noWrap/>
                  <w:vAlign w:val="center"/>
                </w:tcPr>
                <w:p w14:paraId="01A5698F">
                  <w:pPr>
                    <w:adjustRightInd w:val="0"/>
                    <w:snapToGrid w:val="0"/>
                    <w:jc w:val="center"/>
                    <w:rPr>
                      <w:rFonts w:hint="default" w:ascii="Times New Roman" w:hAnsi="Times New Roman" w:cs="Times New Roman"/>
                      <w:color w:val="auto"/>
                      <w:sz w:val="21"/>
                      <w:szCs w:val="21"/>
                      <w:highlight w:val="none"/>
                    </w:rPr>
                  </w:pPr>
                </w:p>
              </w:tc>
              <w:tc>
                <w:tcPr>
                  <w:tcW w:w="739" w:type="pct"/>
                  <w:tcBorders>
                    <w:tl2br w:val="nil"/>
                    <w:tr2bl w:val="nil"/>
                  </w:tcBorders>
                  <w:noWrap/>
                  <w:vAlign w:val="center"/>
                </w:tcPr>
                <w:p w14:paraId="7CD77CB9">
                  <w:pPr>
                    <w:adjustRightInd w:val="0"/>
                    <w:snapToGrid w:val="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NOx</w:t>
                  </w:r>
                </w:p>
              </w:tc>
              <w:tc>
                <w:tcPr>
                  <w:tcW w:w="581" w:type="pct"/>
                  <w:tcBorders>
                    <w:tl2br w:val="nil"/>
                    <w:tr2bl w:val="nil"/>
                  </w:tcBorders>
                  <w:noWrap/>
                  <w:vAlign w:val="center"/>
                </w:tcPr>
                <w:p w14:paraId="371103DC">
                  <w:pPr>
                    <w:adjustRightInd w:val="0"/>
                    <w:snapToGrid w:val="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0.221</w:t>
                  </w:r>
                  <w:r>
                    <w:rPr>
                      <w:rFonts w:hint="default" w:ascii="Times New Roman" w:hAnsi="Times New Roman" w:cs="Times New Roman"/>
                      <w:color w:val="auto"/>
                      <w:sz w:val="21"/>
                      <w:szCs w:val="21"/>
                      <w:highlight w:val="none"/>
                    </w:rPr>
                    <w:t>t/a</w:t>
                  </w:r>
                </w:p>
              </w:tc>
              <w:tc>
                <w:tcPr>
                  <w:tcW w:w="771" w:type="pct"/>
                  <w:tcBorders>
                    <w:tl2br w:val="nil"/>
                    <w:tr2bl w:val="nil"/>
                  </w:tcBorders>
                  <w:noWrap/>
                  <w:vAlign w:val="center"/>
                </w:tcPr>
                <w:p w14:paraId="5ABAFE57">
                  <w:pPr>
                    <w:adjustRightInd w:val="0"/>
                    <w:snapToGrid w:val="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28.2</w:t>
                  </w: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937" w:type="pct"/>
                  <w:vMerge w:val="continue"/>
                  <w:tcBorders>
                    <w:tl2br w:val="nil"/>
                    <w:tr2bl w:val="nil"/>
                  </w:tcBorders>
                  <w:noWrap/>
                  <w:vAlign w:val="center"/>
                </w:tcPr>
                <w:p w14:paraId="51FE8DDD">
                  <w:pPr>
                    <w:adjustRightInd w:val="0"/>
                    <w:snapToGrid w:val="0"/>
                    <w:jc w:val="center"/>
                    <w:rPr>
                      <w:rFonts w:hint="default" w:ascii="Times New Roman" w:hAnsi="Times New Roman" w:cs="Times New Roman"/>
                      <w:color w:val="auto"/>
                      <w:sz w:val="21"/>
                      <w:szCs w:val="21"/>
                      <w:highlight w:val="none"/>
                    </w:rPr>
                  </w:pPr>
                </w:p>
              </w:tc>
              <w:tc>
                <w:tcPr>
                  <w:tcW w:w="914" w:type="pct"/>
                  <w:tcBorders>
                    <w:tl2br w:val="nil"/>
                    <w:tr2bl w:val="nil"/>
                  </w:tcBorders>
                  <w:noWrap/>
                  <w:vAlign w:val="center"/>
                </w:tcPr>
                <w:p w14:paraId="0262F0DF">
                  <w:pPr>
                    <w:adjustRightInd w:val="0"/>
                    <w:snapToGrid w:val="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28.2</w:t>
                  </w: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544" w:type="pct"/>
                  <w:tcBorders>
                    <w:tl2br w:val="nil"/>
                    <w:tr2bl w:val="nil"/>
                  </w:tcBorders>
                  <w:noWrap/>
                  <w:vAlign w:val="center"/>
                </w:tcPr>
                <w:p w14:paraId="616BF123">
                  <w:pPr>
                    <w:adjustRightInd w:val="0"/>
                    <w:snapToGrid w:val="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0.221</w:t>
                  </w:r>
                  <w:r>
                    <w:rPr>
                      <w:rFonts w:hint="default" w:ascii="Times New Roman" w:hAnsi="Times New Roman" w:cs="Times New Roman"/>
                      <w:color w:val="auto"/>
                      <w:sz w:val="21"/>
                      <w:szCs w:val="21"/>
                      <w:highlight w:val="none"/>
                    </w:rPr>
                    <w:t>t/a</w:t>
                  </w:r>
                </w:p>
              </w:tc>
            </w:tr>
            <w:tr w14:paraId="3805F8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10" w:type="pct"/>
                  <w:vMerge w:val="continue"/>
                  <w:tcBorders>
                    <w:tl2br w:val="nil"/>
                    <w:tr2bl w:val="nil"/>
                  </w:tcBorders>
                  <w:noWrap/>
                  <w:vAlign w:val="center"/>
                </w:tcPr>
                <w:p w14:paraId="3B631A37">
                  <w:pPr>
                    <w:adjustRightInd w:val="0"/>
                    <w:snapToGrid w:val="0"/>
                    <w:jc w:val="center"/>
                    <w:rPr>
                      <w:rFonts w:hint="default" w:ascii="Times New Roman" w:hAnsi="Times New Roman" w:cs="Times New Roman"/>
                      <w:color w:val="auto"/>
                      <w:sz w:val="21"/>
                      <w:szCs w:val="21"/>
                      <w:highlight w:val="none"/>
                    </w:rPr>
                  </w:pPr>
                </w:p>
              </w:tc>
              <w:tc>
                <w:tcPr>
                  <w:tcW w:w="739" w:type="pct"/>
                  <w:tcBorders>
                    <w:tl2br w:val="nil"/>
                    <w:tr2bl w:val="nil"/>
                  </w:tcBorders>
                  <w:noWrap/>
                  <w:vAlign w:val="center"/>
                </w:tcPr>
                <w:p w14:paraId="3285CD2C">
                  <w:pPr>
                    <w:adjustRightInd w:val="0"/>
                    <w:snapToGrid w:val="0"/>
                    <w:jc w:val="center"/>
                    <w:rPr>
                      <w:rFonts w:hint="eastAsia" w:ascii="Times New Roman" w:hAnsi="Times New Roman" w:eastAsia="宋体" w:cs="Times New Roman"/>
                      <w:bCs/>
                      <w:color w:val="auto"/>
                      <w:sz w:val="21"/>
                      <w:szCs w:val="21"/>
                      <w:highlight w:val="none"/>
                      <w:lang w:eastAsia="zh-CN"/>
                    </w:rPr>
                  </w:pPr>
                  <w:r>
                    <w:rPr>
                      <w:rFonts w:hint="eastAsia" w:cs="Times New Roman"/>
                      <w:bCs/>
                      <w:color w:val="auto"/>
                      <w:sz w:val="21"/>
                      <w:szCs w:val="21"/>
                      <w:highlight w:val="none"/>
                      <w:lang w:eastAsia="zh-CN"/>
                    </w:rPr>
                    <w:t>颗粒物</w:t>
                  </w:r>
                </w:p>
              </w:tc>
              <w:tc>
                <w:tcPr>
                  <w:tcW w:w="581" w:type="pct"/>
                  <w:tcBorders>
                    <w:tl2br w:val="nil"/>
                    <w:tr2bl w:val="nil"/>
                  </w:tcBorders>
                  <w:noWrap/>
                  <w:vAlign w:val="center"/>
                </w:tcPr>
                <w:p w14:paraId="043F0EF9">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w:t>
                  </w:r>
                  <w:r>
                    <w:rPr>
                      <w:rFonts w:hint="eastAsia" w:cs="Times New Roman"/>
                      <w:color w:val="auto"/>
                      <w:sz w:val="21"/>
                      <w:szCs w:val="21"/>
                      <w:highlight w:val="none"/>
                      <w:lang w:val="en-US" w:eastAsia="zh-CN"/>
                    </w:rPr>
                    <w:t>070</w:t>
                  </w:r>
                  <w:r>
                    <w:rPr>
                      <w:rFonts w:hint="default" w:ascii="Times New Roman" w:hAnsi="Times New Roman" w:cs="Times New Roman"/>
                      <w:color w:val="auto"/>
                      <w:sz w:val="21"/>
                      <w:szCs w:val="21"/>
                      <w:highlight w:val="none"/>
                    </w:rPr>
                    <w:t>t/a</w:t>
                  </w:r>
                </w:p>
              </w:tc>
              <w:tc>
                <w:tcPr>
                  <w:tcW w:w="771" w:type="pct"/>
                  <w:tcBorders>
                    <w:tl2br w:val="nil"/>
                    <w:tr2bl w:val="nil"/>
                  </w:tcBorders>
                  <w:noWrap/>
                  <w:vAlign w:val="center"/>
                </w:tcPr>
                <w:p w14:paraId="26474906">
                  <w:pPr>
                    <w:adjustRightInd w:val="0"/>
                    <w:snapToGrid w:val="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8.9</w:t>
                  </w: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937" w:type="pct"/>
                  <w:vMerge w:val="continue"/>
                  <w:tcBorders>
                    <w:tl2br w:val="nil"/>
                    <w:tr2bl w:val="nil"/>
                  </w:tcBorders>
                  <w:noWrap/>
                  <w:vAlign w:val="center"/>
                </w:tcPr>
                <w:p w14:paraId="3BAA63AB">
                  <w:pPr>
                    <w:adjustRightInd w:val="0"/>
                    <w:snapToGrid w:val="0"/>
                    <w:jc w:val="center"/>
                    <w:rPr>
                      <w:rFonts w:hint="default" w:ascii="Times New Roman" w:hAnsi="Times New Roman" w:cs="Times New Roman"/>
                      <w:color w:val="auto"/>
                      <w:sz w:val="21"/>
                      <w:szCs w:val="21"/>
                      <w:highlight w:val="none"/>
                    </w:rPr>
                  </w:pPr>
                </w:p>
              </w:tc>
              <w:tc>
                <w:tcPr>
                  <w:tcW w:w="914" w:type="pct"/>
                  <w:tcBorders>
                    <w:tl2br w:val="nil"/>
                    <w:tr2bl w:val="nil"/>
                  </w:tcBorders>
                  <w:noWrap/>
                  <w:vAlign w:val="center"/>
                </w:tcPr>
                <w:p w14:paraId="7448BBC2">
                  <w:pPr>
                    <w:adjustRightInd w:val="0"/>
                    <w:snapToGrid w:val="0"/>
                    <w:jc w:val="center"/>
                    <w:rPr>
                      <w:rFonts w:hint="default" w:ascii="Times New Roman" w:hAnsi="Times New Roman" w:cs="Times New Roman"/>
                      <w:b/>
                      <w:color w:val="auto"/>
                      <w:sz w:val="21"/>
                      <w:szCs w:val="21"/>
                      <w:highlight w:val="none"/>
                    </w:rPr>
                  </w:pPr>
                  <w:r>
                    <w:rPr>
                      <w:rFonts w:hint="eastAsia" w:cs="Times New Roman"/>
                      <w:color w:val="auto"/>
                      <w:sz w:val="21"/>
                      <w:szCs w:val="21"/>
                      <w:highlight w:val="none"/>
                      <w:lang w:val="en-US" w:eastAsia="zh-CN"/>
                    </w:rPr>
                    <w:t>8.9</w:t>
                  </w: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p>
              </w:tc>
              <w:tc>
                <w:tcPr>
                  <w:tcW w:w="544" w:type="pct"/>
                  <w:tcBorders>
                    <w:tl2br w:val="nil"/>
                    <w:tr2bl w:val="nil"/>
                  </w:tcBorders>
                  <w:noWrap/>
                  <w:vAlign w:val="center"/>
                </w:tcPr>
                <w:p w14:paraId="3A690A97">
                  <w:pPr>
                    <w:adjustRightInd w:val="0"/>
                    <w:snapToGrid w:val="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0.070</w:t>
                  </w:r>
                  <w:r>
                    <w:rPr>
                      <w:rFonts w:hint="default" w:ascii="Times New Roman" w:hAnsi="Times New Roman" w:cs="Times New Roman"/>
                      <w:color w:val="auto"/>
                      <w:sz w:val="21"/>
                      <w:szCs w:val="21"/>
                      <w:highlight w:val="none"/>
                    </w:rPr>
                    <w:t>t/a</w:t>
                  </w:r>
                </w:p>
              </w:tc>
            </w:tr>
          </w:tbl>
          <w:p w14:paraId="1C9D2F1E">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通过核算，</w:t>
            </w:r>
            <w:r>
              <w:rPr>
                <w:rFonts w:hint="eastAsia" w:ascii="Times New Roman" w:hAnsi="Times New Roman" w:eastAsia="宋体" w:cs="Times New Roman"/>
                <w:color w:val="auto"/>
                <w:sz w:val="24"/>
                <w:szCs w:val="24"/>
                <w:highlight w:val="none"/>
                <w:lang w:val="en-US" w:eastAsia="zh-CN"/>
              </w:rPr>
              <w:t>本项目</w:t>
            </w:r>
            <w:r>
              <w:rPr>
                <w:rFonts w:hint="default" w:ascii="Times New Roman" w:hAnsi="Times New Roman" w:eastAsia="宋体" w:cs="Times New Roman"/>
                <w:color w:val="auto"/>
                <w:sz w:val="24"/>
                <w:szCs w:val="24"/>
                <w:highlight w:val="none"/>
                <w:lang w:val="en-US" w:eastAsia="zh-CN"/>
              </w:rPr>
              <w:t>燃气锅炉燃烧废气</w:t>
            </w:r>
            <w:r>
              <w:rPr>
                <w:rFonts w:hint="eastAsia" w:ascii="Times New Roman" w:hAnsi="Times New Roman" w:eastAsia="宋体" w:cs="Times New Roman"/>
                <w:color w:val="auto"/>
                <w:sz w:val="24"/>
                <w:szCs w:val="24"/>
                <w:highlight w:val="none"/>
                <w:lang w:val="en-US" w:eastAsia="zh-CN"/>
              </w:rPr>
              <w:t>经</w:t>
            </w:r>
            <w:r>
              <w:rPr>
                <w:rFonts w:hint="eastAsia" w:cs="Times New Roman"/>
                <w:color w:val="auto"/>
                <w:sz w:val="24"/>
                <w:szCs w:val="24"/>
                <w:highlight w:val="none"/>
                <w:lang w:val="en-US" w:eastAsia="zh-CN"/>
              </w:rPr>
              <w:t>低氮燃烧系统</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18m</w:t>
            </w:r>
            <w:r>
              <w:rPr>
                <w:rFonts w:hint="default" w:ascii="Times New Roman" w:hAnsi="Times New Roman" w:eastAsia="宋体" w:cs="Times New Roman"/>
                <w:color w:val="auto"/>
                <w:sz w:val="24"/>
                <w:szCs w:val="24"/>
                <w:highlight w:val="none"/>
                <w:lang w:val="en-US" w:eastAsia="zh-CN"/>
              </w:rPr>
              <w:t>高的排气筒排放，</w:t>
            </w:r>
            <w:r>
              <w:rPr>
                <w:rFonts w:hint="eastAsia" w:cs="Times New Roman"/>
                <w:color w:val="auto"/>
                <w:sz w:val="24"/>
                <w:szCs w:val="24"/>
                <w:highlight w:val="none"/>
                <w:lang w:val="en-US" w:eastAsia="zh-CN"/>
              </w:rPr>
              <w:t>颗粒物</w:t>
            </w:r>
            <w:r>
              <w:rPr>
                <w:rFonts w:hint="default" w:ascii="Times New Roman" w:hAnsi="Times New Roman" w:eastAsia="宋体" w:cs="Times New Roman"/>
                <w:color w:val="auto"/>
                <w:sz w:val="24"/>
                <w:szCs w:val="24"/>
                <w:highlight w:val="none"/>
                <w:lang w:val="en-US" w:eastAsia="zh-CN"/>
              </w:rPr>
              <w:t>、二氧化硫</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氮氧化物</w:t>
            </w:r>
            <w:r>
              <w:rPr>
                <w:rFonts w:hint="default" w:ascii="Times New Roman" w:hAnsi="Times New Roman" w:eastAsia="宋体" w:cs="Times New Roman"/>
                <w:color w:val="auto"/>
                <w:sz w:val="24"/>
                <w:szCs w:val="24"/>
                <w:highlight w:val="none"/>
                <w:lang w:val="en-US" w:eastAsia="zh-CN"/>
              </w:rPr>
              <w:t>排放浓度均</w:t>
            </w:r>
            <w:r>
              <w:rPr>
                <w:rFonts w:hint="default" w:ascii="Times New Roman" w:hAnsi="Times New Roman" w:eastAsia="宋体" w:cs="Times New Roman"/>
                <w:color w:val="auto"/>
                <w:sz w:val="24"/>
                <w:szCs w:val="24"/>
                <w:highlight w:val="none"/>
                <w:lang w:eastAsia="zh-CN"/>
              </w:rPr>
              <w:t>可满足</w:t>
            </w:r>
            <w:r>
              <w:rPr>
                <w:rFonts w:hint="default" w:ascii="Times New Roman" w:hAnsi="Times New Roman" w:eastAsia="宋体" w:cs="Times New Roman"/>
                <w:color w:val="auto"/>
                <w:sz w:val="24"/>
                <w:szCs w:val="24"/>
                <w:highlight w:val="none"/>
              </w:rPr>
              <w:t>《锅炉大气污染物排放标准》（DB60/1226-2018）中</w:t>
            </w:r>
            <w:r>
              <w:rPr>
                <w:rFonts w:hint="default" w:ascii="Times New Roman" w:hAnsi="Times New Roman" w:eastAsia="宋体" w:cs="Times New Roman"/>
                <w:color w:val="auto"/>
                <w:sz w:val="24"/>
                <w:szCs w:val="24"/>
                <w:highlight w:val="none"/>
                <w:lang w:val="en-US" w:eastAsia="zh-CN"/>
              </w:rPr>
              <w:t>天然气</w:t>
            </w:r>
            <w:r>
              <w:rPr>
                <w:rFonts w:hint="default" w:ascii="Times New Roman" w:hAnsi="Times New Roman" w:eastAsia="宋体" w:cs="Times New Roman"/>
                <w:color w:val="auto"/>
                <w:sz w:val="24"/>
                <w:szCs w:val="24"/>
                <w:highlight w:val="none"/>
              </w:rPr>
              <w:t>锅炉相关排放限值（颗粒物</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，二氧化硫：</w:t>
            </w:r>
            <w:r>
              <w:rPr>
                <w:rFonts w:hint="default" w:ascii="Times New Roman" w:hAnsi="Times New Roman" w:eastAsia="宋体" w:cs="Times New Roman"/>
                <w:color w:val="auto"/>
                <w:sz w:val="24"/>
                <w:szCs w:val="24"/>
                <w:highlight w:val="none"/>
                <w:lang w:val="en-US" w:eastAsia="zh-CN"/>
              </w:rPr>
              <w:t>20</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eastAsia" w:ascii="Times New Roman" w:hAnsi="Times New Roman" w:eastAsia="宋体" w:cs="Times New Roman"/>
                <w:color w:val="auto"/>
                <w:sz w:val="24"/>
                <w:szCs w:val="24"/>
                <w:highlight w:val="none"/>
                <w:vertAlign w:val="baseline"/>
                <w:lang w:eastAsia="zh-CN"/>
              </w:rPr>
              <w:t>，</w:t>
            </w:r>
            <w:r>
              <w:rPr>
                <w:rFonts w:hint="default" w:ascii="Times New Roman" w:hAnsi="Times New Roman" w:eastAsia="宋体" w:cs="Times New Roman"/>
                <w:color w:val="auto"/>
                <w:sz w:val="24"/>
                <w:szCs w:val="24"/>
                <w:highlight w:val="none"/>
              </w:rPr>
              <w:t>氮氧化物</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w:t>
            </w:r>
          </w:p>
          <w:p w14:paraId="54FAAF9D">
            <w:pPr>
              <w:pStyle w:val="36"/>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Chars="0" w:right="0" w:rightChars="0" w:firstLine="482" w:firstLineChars="200"/>
              <w:textAlignment w:val="auto"/>
              <w:outlineLvl w:val="9"/>
              <w:rPr>
                <w:rFonts w:hint="eastAsia" w:ascii="Times New Roman" w:hAnsi="Times New Roman" w:cs="Times New Roman"/>
                <w:b/>
                <w:bCs/>
                <w:color w:val="auto"/>
                <w:kern w:val="2"/>
                <w:sz w:val="24"/>
                <w:szCs w:val="24"/>
                <w:highlight w:val="none"/>
                <w:lang w:val="en-US" w:eastAsia="zh-CN" w:bidi="ar-SA"/>
              </w:rPr>
            </w:pPr>
            <w:r>
              <w:rPr>
                <w:rFonts w:hint="eastAsia" w:ascii="Times New Roman" w:hAnsi="Times New Roman" w:cs="Times New Roman"/>
                <w:b/>
                <w:bCs/>
                <w:color w:val="auto"/>
                <w:kern w:val="2"/>
                <w:sz w:val="24"/>
                <w:szCs w:val="24"/>
                <w:highlight w:val="none"/>
                <w:lang w:val="en-US" w:eastAsia="zh-CN" w:bidi="ar-SA"/>
              </w:rPr>
              <w:t>1.3非正常工况</w:t>
            </w:r>
          </w:p>
          <w:p w14:paraId="343968AD">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锅炉起炉时初始浓度较高，配套处理设施不能有效处理，将造成短暂超标；锅炉负荷低于正常燃烧的最低有效负荷，将造成炉温低、不能充分燃烧、超标排放等不正常的情况，本项目为集中供热项目，在供暖期开始时启动一次，直到供暖期结束关闭锅炉，供暖期间锅炉一直稳定运行，启炉时间很短暂，超标排放的污染物量极小，不进行量化分析。</w:t>
            </w:r>
          </w:p>
          <w:p w14:paraId="49806A30">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具体措施如下：</w:t>
            </w:r>
          </w:p>
          <w:p w14:paraId="4904F8FF">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（1）加强建设单位与员工对锅炉以及其他设备的</w:t>
            </w:r>
            <w:r>
              <w:rPr>
                <w:rFonts w:hint="eastAsia" w:cs="Times New Roman"/>
                <w:color w:val="auto"/>
                <w:sz w:val="24"/>
                <w:szCs w:val="24"/>
                <w:highlight w:val="none"/>
                <w:lang w:val="en-US" w:eastAsia="zh-CN"/>
              </w:rPr>
              <w:t>专业</w:t>
            </w:r>
            <w:r>
              <w:rPr>
                <w:rFonts w:hint="eastAsia" w:ascii="Times New Roman" w:hAnsi="Times New Roman" w:eastAsia="宋体" w:cs="Times New Roman"/>
                <w:color w:val="auto"/>
                <w:sz w:val="24"/>
                <w:szCs w:val="24"/>
                <w:highlight w:val="none"/>
                <w:lang w:val="en-US" w:eastAsia="zh-CN"/>
              </w:rPr>
              <w:t>知识的学习，增强环保意识；</w:t>
            </w:r>
          </w:p>
          <w:p w14:paraId="5CD572D3">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（2）安排专门的锅炉技术人员以及其他设备的维护人员，加强设备维护，确保设备处于</w:t>
            </w:r>
            <w:r>
              <w:rPr>
                <w:rFonts w:hint="eastAsia" w:cs="Times New Roman"/>
                <w:color w:val="auto"/>
                <w:sz w:val="24"/>
                <w:szCs w:val="24"/>
                <w:highlight w:val="none"/>
                <w:lang w:val="en-US" w:eastAsia="zh-CN"/>
              </w:rPr>
              <w:t>良好</w:t>
            </w:r>
            <w:r>
              <w:rPr>
                <w:rFonts w:hint="eastAsia" w:ascii="Times New Roman" w:hAnsi="Times New Roman" w:eastAsia="宋体" w:cs="Times New Roman"/>
                <w:color w:val="auto"/>
                <w:sz w:val="24"/>
                <w:szCs w:val="24"/>
                <w:highlight w:val="none"/>
                <w:lang w:val="en-US" w:eastAsia="zh-CN"/>
              </w:rPr>
              <w:t>运转状态，杜绝因设备不正常运转时产生的污染物超标现象。</w:t>
            </w:r>
          </w:p>
          <w:p w14:paraId="09C32CF0">
            <w:pPr>
              <w:adjustRightInd w:val="0"/>
              <w:snapToGrid w:val="0"/>
              <w:spacing w:line="360" w:lineRule="auto"/>
              <w:ind w:left="420"/>
              <w:jc w:val="left"/>
              <w:rPr>
                <w:b/>
                <w:bCs w:val="0"/>
                <w:color w:val="auto"/>
                <w:sz w:val="24"/>
                <w:szCs w:val="24"/>
                <w:highlight w:val="none"/>
              </w:rPr>
            </w:pPr>
            <w:r>
              <w:rPr>
                <w:rFonts w:hint="eastAsia" w:ascii="Times New Roman" w:hAnsi="Times New Roman" w:cs="Times New Roman"/>
                <w:b/>
                <w:bCs/>
                <w:color w:val="auto"/>
                <w:kern w:val="2"/>
                <w:sz w:val="24"/>
                <w:szCs w:val="24"/>
                <w:highlight w:val="none"/>
                <w:lang w:val="en-US" w:eastAsia="zh-CN" w:bidi="ar-SA"/>
              </w:rPr>
              <w:t>1.4</w:t>
            </w:r>
            <w:r>
              <w:rPr>
                <w:b/>
                <w:bCs w:val="0"/>
                <w:color w:val="auto"/>
                <w:sz w:val="24"/>
                <w:szCs w:val="24"/>
                <w:highlight w:val="none"/>
              </w:rPr>
              <w:t>项目废气污染源监测要求</w:t>
            </w:r>
          </w:p>
          <w:p w14:paraId="272F73E7">
            <w:pPr>
              <w:adjustRightInd w:val="0"/>
              <w:snapToGrid w:val="0"/>
              <w:spacing w:line="360" w:lineRule="auto"/>
              <w:ind w:firstLine="480" w:firstLineChars="200"/>
              <w:rPr>
                <w:rFonts w:hint="eastAsia" w:cs="宋体"/>
                <w:b w:val="0"/>
                <w:bCs/>
                <w:color w:val="auto"/>
                <w:sz w:val="24"/>
                <w:szCs w:val="24"/>
                <w:highlight w:val="none"/>
              </w:rPr>
            </w:pPr>
            <w:r>
              <w:rPr>
                <w:bCs/>
                <w:color w:val="auto"/>
                <w:sz w:val="24"/>
                <w:szCs w:val="24"/>
                <w:highlight w:val="none"/>
              </w:rPr>
              <w:t>经检索《固定污染源排污许可分类管理名录（2019年版）》，项目</w:t>
            </w:r>
            <w:r>
              <w:rPr>
                <w:rFonts w:hint="eastAsia"/>
                <w:bCs/>
                <w:color w:val="auto"/>
                <w:sz w:val="24"/>
                <w:szCs w:val="24"/>
                <w:highlight w:val="none"/>
                <w:lang w:eastAsia="zh-CN"/>
              </w:rPr>
              <w:t>为集中供热工程，属于“三十九、电力、热力生产和供应业44，</w:t>
            </w:r>
            <w:r>
              <w:rPr>
                <w:rFonts w:hint="eastAsia"/>
                <w:bCs/>
                <w:color w:val="auto"/>
                <w:sz w:val="24"/>
                <w:szCs w:val="24"/>
                <w:highlight w:val="none"/>
                <w:lang w:val="en-US" w:eastAsia="zh-CN"/>
              </w:rPr>
              <w:t>96热力生产和供应 443中单台且合计出力20吨/小时（14兆瓦）以下的锅炉（不含电热锅炉和单台且合计出力1吨/小时（0.7兆瓦）及以下的天然气锅炉）</w:t>
            </w:r>
            <w:r>
              <w:rPr>
                <w:rFonts w:hint="eastAsia" w:ascii="宋体" w:hAnsi="宋体" w:eastAsia="宋体" w:cs="宋体"/>
                <w:bCs/>
                <w:color w:val="auto"/>
                <w:sz w:val="24"/>
                <w:szCs w:val="24"/>
                <w:highlight w:val="none"/>
                <w:lang w:val="en-US" w:eastAsia="zh-CN"/>
              </w:rPr>
              <w:t>”</w:t>
            </w:r>
            <w:r>
              <w:rPr>
                <w:rFonts w:hint="eastAsia"/>
                <w:bCs/>
                <w:color w:val="auto"/>
                <w:sz w:val="24"/>
                <w:szCs w:val="24"/>
                <w:highlight w:val="none"/>
                <w:lang w:val="en-US" w:eastAsia="zh-CN"/>
              </w:rPr>
              <w:t>，为简化管理，</w:t>
            </w:r>
            <w:r>
              <w:rPr>
                <w:bCs/>
                <w:color w:val="auto"/>
                <w:sz w:val="24"/>
                <w:szCs w:val="24"/>
                <w:highlight w:val="none"/>
              </w:rPr>
              <w:t>按照</w:t>
            </w:r>
            <w:r>
              <w:rPr>
                <w:rFonts w:hint="eastAsia"/>
                <w:bCs/>
                <w:color w:val="auto"/>
                <w:sz w:val="24"/>
                <w:szCs w:val="24"/>
                <w:highlight w:val="none"/>
              </w:rPr>
              <w:t>《排污单位自行监测技术指南  火力发电及锅炉》（HJ820-2017）表1有组织废气监测指标最低监测频次，制定锅炉废气监测计划，</w:t>
            </w:r>
            <w:r>
              <w:rPr>
                <w:color w:val="auto"/>
                <w:kern w:val="0"/>
                <w:sz w:val="24"/>
                <w:szCs w:val="24"/>
                <w:highlight w:val="none"/>
              </w:rPr>
              <w:t>确定监测因子及频次，具体</w:t>
            </w:r>
            <w:r>
              <w:rPr>
                <w:rFonts w:hint="eastAsia"/>
                <w:color w:val="auto"/>
                <w:kern w:val="0"/>
                <w:sz w:val="24"/>
                <w:szCs w:val="24"/>
                <w:highlight w:val="none"/>
                <w:lang w:val="en-US" w:eastAsia="zh-CN"/>
              </w:rPr>
              <w:t>见</w:t>
            </w:r>
            <w:r>
              <w:rPr>
                <w:color w:val="auto"/>
                <w:kern w:val="0"/>
                <w:sz w:val="24"/>
                <w:szCs w:val="24"/>
                <w:highlight w:val="none"/>
              </w:rPr>
              <w:t>表</w:t>
            </w:r>
            <w:r>
              <w:rPr>
                <w:rFonts w:hint="eastAsia"/>
                <w:color w:val="auto"/>
                <w:kern w:val="0"/>
                <w:sz w:val="24"/>
                <w:szCs w:val="24"/>
                <w:highlight w:val="none"/>
                <w:lang w:val="en-US" w:eastAsia="zh-CN"/>
              </w:rPr>
              <w:t>4-4</w:t>
            </w:r>
            <w:r>
              <w:rPr>
                <w:color w:val="auto"/>
                <w:kern w:val="0"/>
                <w:sz w:val="24"/>
                <w:szCs w:val="24"/>
                <w:highlight w:val="none"/>
              </w:rPr>
              <w:t>。</w:t>
            </w:r>
          </w:p>
          <w:p w14:paraId="6C84E4F3">
            <w:pPr>
              <w:ind w:firstLine="482" w:firstLineChars="200"/>
              <w:jc w:val="center"/>
              <w:rPr>
                <w:b w:val="0"/>
                <w:bCs/>
                <w:color w:val="auto"/>
                <w:sz w:val="24"/>
                <w:szCs w:val="24"/>
                <w:highlight w:val="none"/>
              </w:rPr>
            </w:pPr>
            <w:r>
              <w:rPr>
                <w:rFonts w:hAnsi="宋体"/>
                <w:b/>
                <w:bCs w:val="0"/>
                <w:color w:val="auto"/>
                <w:sz w:val="24"/>
                <w:szCs w:val="24"/>
                <w:highlight w:val="none"/>
              </w:rPr>
              <w:t>表</w:t>
            </w:r>
            <w:r>
              <w:rPr>
                <w:rFonts w:hint="eastAsia"/>
                <w:b/>
                <w:bCs w:val="0"/>
                <w:color w:val="auto"/>
                <w:sz w:val="24"/>
                <w:szCs w:val="24"/>
                <w:highlight w:val="none"/>
              </w:rPr>
              <w:t>4</w:t>
            </w:r>
            <w:r>
              <w:rPr>
                <w:b/>
                <w:bCs w:val="0"/>
                <w:color w:val="auto"/>
                <w:sz w:val="24"/>
                <w:szCs w:val="24"/>
                <w:highlight w:val="none"/>
              </w:rPr>
              <w:t>-</w:t>
            </w:r>
            <w:r>
              <w:rPr>
                <w:rFonts w:hint="eastAsia"/>
                <w:b/>
                <w:bCs w:val="0"/>
                <w:color w:val="auto"/>
                <w:sz w:val="24"/>
                <w:szCs w:val="24"/>
                <w:highlight w:val="none"/>
                <w:lang w:val="en-US" w:eastAsia="zh-CN"/>
              </w:rPr>
              <w:t>4</w:t>
            </w:r>
            <w:r>
              <w:rPr>
                <w:rFonts w:hint="eastAsia"/>
                <w:b/>
                <w:bCs w:val="0"/>
                <w:color w:val="auto"/>
                <w:sz w:val="24"/>
                <w:szCs w:val="24"/>
                <w:highlight w:val="none"/>
              </w:rPr>
              <w:t xml:space="preserve">   </w:t>
            </w:r>
            <w:r>
              <w:rPr>
                <w:rFonts w:hint="eastAsia"/>
                <w:b/>
                <w:bCs w:val="0"/>
                <w:color w:val="auto"/>
                <w:sz w:val="24"/>
                <w:szCs w:val="24"/>
                <w:highlight w:val="none"/>
                <w:lang w:val="en-US" w:eastAsia="zh-CN"/>
              </w:rPr>
              <w:t>项目供热站</w:t>
            </w:r>
            <w:r>
              <w:rPr>
                <w:rFonts w:hint="eastAsia" w:hAnsi="宋体"/>
                <w:b/>
                <w:bCs w:val="0"/>
                <w:color w:val="auto"/>
                <w:sz w:val="24"/>
                <w:szCs w:val="24"/>
                <w:highlight w:val="none"/>
                <w:lang w:val="en-US" w:eastAsia="zh-CN"/>
              </w:rPr>
              <w:t>烟气监</w:t>
            </w:r>
            <w:r>
              <w:rPr>
                <w:rFonts w:hAnsi="宋体"/>
                <w:b/>
                <w:bCs w:val="0"/>
                <w:color w:val="auto"/>
                <w:sz w:val="24"/>
                <w:szCs w:val="24"/>
                <w:highlight w:val="none"/>
              </w:rPr>
              <w:t>测计划</w:t>
            </w:r>
          </w:p>
          <w:tbl>
            <w:tblPr>
              <w:tblStyle w:val="37"/>
              <w:tblW w:w="497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82"/>
              <w:gridCol w:w="938"/>
              <w:gridCol w:w="1280"/>
              <w:gridCol w:w="1280"/>
              <w:gridCol w:w="1432"/>
              <w:gridCol w:w="2902"/>
            </w:tblGrid>
            <w:tr w14:paraId="4C8FFF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3" w:type="pct"/>
                  <w:tcBorders>
                    <w:tl2br w:val="nil"/>
                    <w:tr2bl w:val="nil"/>
                  </w:tcBorders>
                  <w:noWrap w:val="0"/>
                  <w:tcMar>
                    <w:top w:w="0" w:type="dxa"/>
                    <w:left w:w="57" w:type="dxa"/>
                    <w:bottom w:w="0" w:type="dxa"/>
                    <w:right w:w="57" w:type="dxa"/>
                  </w:tcMar>
                  <w:vAlign w:val="center"/>
                </w:tcPr>
                <w:p w14:paraId="0090A81A">
                  <w:pPr>
                    <w:jc w:val="center"/>
                    <w:rPr>
                      <w:b/>
                      <w:bCs w:val="0"/>
                      <w:color w:val="auto"/>
                      <w:sz w:val="21"/>
                      <w:szCs w:val="21"/>
                      <w:highlight w:val="none"/>
                    </w:rPr>
                  </w:pPr>
                  <w:r>
                    <w:rPr>
                      <w:rFonts w:hint="eastAsia" w:hAnsi="宋体"/>
                      <w:b/>
                      <w:bCs w:val="0"/>
                      <w:color w:val="auto"/>
                      <w:sz w:val="21"/>
                      <w:szCs w:val="21"/>
                      <w:highlight w:val="none"/>
                    </w:rPr>
                    <w:t>类型</w:t>
                  </w:r>
                </w:p>
              </w:tc>
              <w:tc>
                <w:tcPr>
                  <w:tcW w:w="544" w:type="pct"/>
                  <w:tcBorders>
                    <w:tl2br w:val="nil"/>
                    <w:tr2bl w:val="nil"/>
                  </w:tcBorders>
                  <w:noWrap w:val="0"/>
                  <w:tcMar>
                    <w:top w:w="0" w:type="dxa"/>
                    <w:left w:w="57" w:type="dxa"/>
                    <w:bottom w:w="0" w:type="dxa"/>
                    <w:right w:w="57" w:type="dxa"/>
                  </w:tcMar>
                  <w:vAlign w:val="center"/>
                </w:tcPr>
                <w:p w14:paraId="08D575EA">
                  <w:pPr>
                    <w:jc w:val="center"/>
                    <w:rPr>
                      <w:rFonts w:hAnsi="宋体"/>
                      <w:b/>
                      <w:bCs w:val="0"/>
                      <w:color w:val="auto"/>
                      <w:sz w:val="21"/>
                      <w:szCs w:val="21"/>
                      <w:highlight w:val="none"/>
                    </w:rPr>
                  </w:pPr>
                  <w:r>
                    <w:rPr>
                      <w:rFonts w:hAnsi="宋体"/>
                      <w:b/>
                      <w:bCs w:val="0"/>
                      <w:color w:val="auto"/>
                      <w:sz w:val="21"/>
                      <w:szCs w:val="21"/>
                      <w:highlight w:val="none"/>
                    </w:rPr>
                    <w:t>污染源</w:t>
                  </w:r>
                </w:p>
              </w:tc>
              <w:tc>
                <w:tcPr>
                  <w:tcW w:w="742" w:type="pct"/>
                  <w:tcBorders>
                    <w:tl2br w:val="nil"/>
                    <w:tr2bl w:val="nil"/>
                  </w:tcBorders>
                  <w:noWrap w:val="0"/>
                  <w:tcMar>
                    <w:top w:w="0" w:type="dxa"/>
                    <w:left w:w="57" w:type="dxa"/>
                    <w:bottom w:w="0" w:type="dxa"/>
                    <w:right w:w="57" w:type="dxa"/>
                  </w:tcMar>
                  <w:vAlign w:val="center"/>
                </w:tcPr>
                <w:p w14:paraId="5027B6BB">
                  <w:pPr>
                    <w:jc w:val="center"/>
                    <w:rPr>
                      <w:rFonts w:hint="eastAsia" w:hAnsi="宋体" w:eastAsia="宋体"/>
                      <w:b/>
                      <w:bCs w:val="0"/>
                      <w:color w:val="auto"/>
                      <w:sz w:val="21"/>
                      <w:szCs w:val="21"/>
                      <w:highlight w:val="none"/>
                      <w:lang w:eastAsia="zh-CN"/>
                    </w:rPr>
                  </w:pPr>
                  <w:r>
                    <w:rPr>
                      <w:rFonts w:hAnsi="宋体"/>
                      <w:b/>
                      <w:bCs w:val="0"/>
                      <w:color w:val="auto"/>
                      <w:sz w:val="21"/>
                      <w:szCs w:val="21"/>
                      <w:highlight w:val="none"/>
                    </w:rPr>
                    <w:t>监测</w:t>
                  </w:r>
                  <w:r>
                    <w:rPr>
                      <w:rFonts w:hint="eastAsia" w:hAnsi="宋体"/>
                      <w:b/>
                      <w:bCs w:val="0"/>
                      <w:color w:val="auto"/>
                      <w:sz w:val="21"/>
                      <w:szCs w:val="21"/>
                      <w:highlight w:val="none"/>
                      <w:lang w:eastAsia="zh-CN"/>
                    </w:rPr>
                    <w:t>点位</w:t>
                  </w:r>
                </w:p>
              </w:tc>
              <w:tc>
                <w:tcPr>
                  <w:tcW w:w="742" w:type="pct"/>
                  <w:tcBorders>
                    <w:tl2br w:val="nil"/>
                    <w:tr2bl w:val="nil"/>
                  </w:tcBorders>
                  <w:noWrap w:val="0"/>
                  <w:tcMar>
                    <w:top w:w="0" w:type="dxa"/>
                    <w:left w:w="57" w:type="dxa"/>
                    <w:bottom w:w="0" w:type="dxa"/>
                    <w:right w:w="57" w:type="dxa"/>
                  </w:tcMar>
                  <w:vAlign w:val="center"/>
                </w:tcPr>
                <w:p w14:paraId="506C6529">
                  <w:pPr>
                    <w:jc w:val="center"/>
                    <w:rPr>
                      <w:rFonts w:hAnsi="宋体"/>
                      <w:b/>
                      <w:bCs w:val="0"/>
                      <w:color w:val="auto"/>
                      <w:kern w:val="2"/>
                      <w:sz w:val="21"/>
                      <w:szCs w:val="21"/>
                      <w:highlight w:val="none"/>
                      <w:lang w:val="en-US" w:eastAsia="zh-CN" w:bidi="ar-SA"/>
                    </w:rPr>
                  </w:pPr>
                  <w:r>
                    <w:rPr>
                      <w:rFonts w:hAnsi="宋体"/>
                      <w:b/>
                      <w:bCs w:val="0"/>
                      <w:color w:val="auto"/>
                      <w:sz w:val="21"/>
                      <w:szCs w:val="21"/>
                      <w:highlight w:val="none"/>
                    </w:rPr>
                    <w:t>监测因子</w:t>
                  </w:r>
                </w:p>
              </w:tc>
              <w:tc>
                <w:tcPr>
                  <w:tcW w:w="830" w:type="pct"/>
                  <w:tcBorders>
                    <w:tl2br w:val="nil"/>
                    <w:tr2bl w:val="nil"/>
                  </w:tcBorders>
                  <w:noWrap w:val="0"/>
                  <w:tcMar>
                    <w:top w:w="0" w:type="dxa"/>
                    <w:left w:w="57" w:type="dxa"/>
                    <w:bottom w:w="0" w:type="dxa"/>
                    <w:right w:w="57" w:type="dxa"/>
                  </w:tcMar>
                  <w:vAlign w:val="center"/>
                </w:tcPr>
                <w:p w14:paraId="58A7FDB3">
                  <w:pPr>
                    <w:jc w:val="center"/>
                    <w:rPr>
                      <w:b/>
                      <w:bCs w:val="0"/>
                      <w:color w:val="auto"/>
                      <w:sz w:val="21"/>
                      <w:szCs w:val="21"/>
                      <w:highlight w:val="none"/>
                    </w:rPr>
                  </w:pPr>
                  <w:r>
                    <w:rPr>
                      <w:rFonts w:hAnsi="宋体"/>
                      <w:b/>
                      <w:bCs w:val="0"/>
                      <w:color w:val="auto"/>
                      <w:sz w:val="21"/>
                      <w:szCs w:val="21"/>
                      <w:highlight w:val="none"/>
                    </w:rPr>
                    <w:t>监测频次</w:t>
                  </w:r>
                </w:p>
              </w:tc>
              <w:tc>
                <w:tcPr>
                  <w:tcW w:w="1685" w:type="pct"/>
                  <w:tcBorders>
                    <w:tl2br w:val="nil"/>
                    <w:tr2bl w:val="nil"/>
                  </w:tcBorders>
                  <w:noWrap w:val="0"/>
                  <w:tcMar>
                    <w:top w:w="0" w:type="dxa"/>
                    <w:left w:w="57" w:type="dxa"/>
                    <w:bottom w:w="0" w:type="dxa"/>
                    <w:right w:w="57" w:type="dxa"/>
                  </w:tcMar>
                  <w:vAlign w:val="center"/>
                </w:tcPr>
                <w:p w14:paraId="1646334B">
                  <w:pPr>
                    <w:jc w:val="center"/>
                    <w:rPr>
                      <w:b/>
                      <w:bCs w:val="0"/>
                      <w:color w:val="auto"/>
                      <w:sz w:val="21"/>
                      <w:szCs w:val="21"/>
                      <w:highlight w:val="none"/>
                    </w:rPr>
                  </w:pPr>
                  <w:r>
                    <w:rPr>
                      <w:rFonts w:hint="eastAsia" w:hAnsi="宋体"/>
                      <w:b/>
                      <w:bCs w:val="0"/>
                      <w:color w:val="auto"/>
                      <w:sz w:val="21"/>
                      <w:szCs w:val="21"/>
                      <w:highlight w:val="none"/>
                    </w:rPr>
                    <w:t>执行</w:t>
                  </w:r>
                  <w:r>
                    <w:rPr>
                      <w:rFonts w:hAnsi="宋体"/>
                      <w:b/>
                      <w:bCs w:val="0"/>
                      <w:color w:val="auto"/>
                      <w:sz w:val="21"/>
                      <w:szCs w:val="21"/>
                      <w:highlight w:val="none"/>
                    </w:rPr>
                    <w:t>标准</w:t>
                  </w:r>
                </w:p>
              </w:tc>
            </w:tr>
            <w:tr w14:paraId="21FC38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3" w:type="pct"/>
                  <w:vMerge w:val="restart"/>
                  <w:tcBorders>
                    <w:tl2br w:val="nil"/>
                    <w:tr2bl w:val="nil"/>
                  </w:tcBorders>
                  <w:noWrap w:val="0"/>
                  <w:tcMar>
                    <w:top w:w="0" w:type="dxa"/>
                    <w:left w:w="57" w:type="dxa"/>
                    <w:bottom w:w="0" w:type="dxa"/>
                    <w:right w:w="57" w:type="dxa"/>
                  </w:tcMar>
                  <w:vAlign w:val="center"/>
                </w:tcPr>
                <w:p w14:paraId="67DA369F">
                  <w:pPr>
                    <w:jc w:val="center"/>
                    <w:rPr>
                      <w:b w:val="0"/>
                      <w:bCs/>
                      <w:color w:val="auto"/>
                      <w:sz w:val="21"/>
                      <w:szCs w:val="21"/>
                      <w:highlight w:val="none"/>
                    </w:rPr>
                  </w:pPr>
                  <w:r>
                    <w:rPr>
                      <w:rFonts w:hAnsi="宋体"/>
                      <w:b w:val="0"/>
                      <w:bCs/>
                      <w:color w:val="auto"/>
                      <w:sz w:val="21"/>
                      <w:szCs w:val="21"/>
                      <w:highlight w:val="none"/>
                    </w:rPr>
                    <w:t>废气</w:t>
                  </w:r>
                </w:p>
              </w:tc>
              <w:tc>
                <w:tcPr>
                  <w:tcW w:w="544" w:type="pct"/>
                  <w:vMerge w:val="restart"/>
                  <w:tcBorders>
                    <w:tl2br w:val="nil"/>
                    <w:tr2bl w:val="nil"/>
                  </w:tcBorders>
                  <w:noWrap w:val="0"/>
                  <w:tcMar>
                    <w:top w:w="0" w:type="dxa"/>
                    <w:left w:w="57" w:type="dxa"/>
                    <w:bottom w:w="0" w:type="dxa"/>
                    <w:right w:w="57" w:type="dxa"/>
                  </w:tcMar>
                  <w:vAlign w:val="center"/>
                </w:tcPr>
                <w:p w14:paraId="4FA8937A">
                  <w:pPr>
                    <w:jc w:val="center"/>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锅炉</w:t>
                  </w:r>
                </w:p>
                <w:p w14:paraId="15098677">
                  <w:pPr>
                    <w:jc w:val="center"/>
                    <w:rPr>
                      <w:b w:val="0"/>
                      <w:bCs/>
                      <w:color w:val="auto"/>
                      <w:sz w:val="21"/>
                      <w:szCs w:val="21"/>
                      <w:highlight w:val="none"/>
                    </w:rPr>
                  </w:pPr>
                  <w:r>
                    <w:rPr>
                      <w:rFonts w:hint="eastAsia"/>
                      <w:b w:val="0"/>
                      <w:bCs/>
                      <w:color w:val="auto"/>
                      <w:sz w:val="21"/>
                      <w:szCs w:val="21"/>
                      <w:highlight w:val="none"/>
                      <w:lang w:val="en-US" w:eastAsia="zh-CN"/>
                    </w:rPr>
                    <w:t>烟气</w:t>
                  </w:r>
                </w:p>
              </w:tc>
              <w:tc>
                <w:tcPr>
                  <w:tcW w:w="742" w:type="pct"/>
                  <w:vMerge w:val="restart"/>
                  <w:tcBorders>
                    <w:tl2br w:val="nil"/>
                    <w:tr2bl w:val="nil"/>
                  </w:tcBorders>
                  <w:noWrap w:val="0"/>
                  <w:tcMar>
                    <w:top w:w="0" w:type="dxa"/>
                    <w:left w:w="57" w:type="dxa"/>
                    <w:bottom w:w="0" w:type="dxa"/>
                    <w:right w:w="57" w:type="dxa"/>
                  </w:tcMar>
                  <w:vAlign w:val="center"/>
                </w:tcPr>
                <w:p w14:paraId="68D41AA4">
                  <w:pPr>
                    <w:jc w:val="center"/>
                    <w:rPr>
                      <w:rFonts w:hint="eastAsia" w:eastAsia="宋体"/>
                      <w:b w:val="0"/>
                      <w:bCs/>
                      <w:color w:val="auto"/>
                      <w:sz w:val="21"/>
                      <w:szCs w:val="21"/>
                      <w:highlight w:val="none"/>
                      <w:lang w:eastAsia="zh-CN"/>
                    </w:rPr>
                  </w:pPr>
                  <w:r>
                    <w:rPr>
                      <w:rFonts w:hint="eastAsia"/>
                      <w:b w:val="0"/>
                      <w:bCs/>
                      <w:color w:val="auto"/>
                      <w:sz w:val="21"/>
                      <w:szCs w:val="21"/>
                      <w:highlight w:val="none"/>
                      <w:lang w:val="en-US" w:eastAsia="zh-CN"/>
                    </w:rPr>
                    <w:t>燃气锅炉</w:t>
                  </w:r>
                  <w:r>
                    <w:rPr>
                      <w:rFonts w:hint="eastAsia"/>
                      <w:b w:val="0"/>
                      <w:bCs/>
                      <w:color w:val="auto"/>
                      <w:sz w:val="21"/>
                      <w:szCs w:val="21"/>
                      <w:highlight w:val="none"/>
                      <w:lang w:eastAsia="zh-CN"/>
                    </w:rPr>
                    <w:t>排气筒</w:t>
                  </w:r>
                </w:p>
              </w:tc>
              <w:tc>
                <w:tcPr>
                  <w:tcW w:w="742" w:type="pct"/>
                  <w:tcBorders>
                    <w:tl2br w:val="nil"/>
                    <w:tr2bl w:val="nil"/>
                  </w:tcBorders>
                  <w:noWrap w:val="0"/>
                  <w:tcMar>
                    <w:top w:w="0" w:type="dxa"/>
                    <w:left w:w="57" w:type="dxa"/>
                    <w:bottom w:w="0" w:type="dxa"/>
                    <w:right w:w="57" w:type="dxa"/>
                  </w:tcMar>
                  <w:vAlign w:val="center"/>
                </w:tcPr>
                <w:p w14:paraId="5AC5CB56">
                  <w:pPr>
                    <w:jc w:val="center"/>
                    <w:rPr>
                      <w:rFonts w:hint="eastAsia" w:hAnsi="宋体" w:eastAsia="宋体"/>
                      <w:b w:val="0"/>
                      <w:bCs/>
                      <w:color w:val="auto"/>
                      <w:sz w:val="21"/>
                      <w:szCs w:val="21"/>
                      <w:highlight w:val="none"/>
                      <w:lang w:eastAsia="zh-CN"/>
                    </w:rPr>
                  </w:pPr>
                  <w:r>
                    <w:rPr>
                      <w:rFonts w:hint="eastAsia" w:hAnsi="宋体"/>
                      <w:b w:val="0"/>
                      <w:bCs/>
                      <w:color w:val="auto"/>
                      <w:sz w:val="21"/>
                      <w:szCs w:val="21"/>
                      <w:highlight w:val="none"/>
                      <w:lang w:eastAsia="zh-CN"/>
                    </w:rPr>
                    <w:t>林格曼黑度</w:t>
                  </w:r>
                </w:p>
              </w:tc>
              <w:tc>
                <w:tcPr>
                  <w:tcW w:w="830" w:type="pct"/>
                  <w:vMerge w:val="restart"/>
                  <w:tcBorders>
                    <w:tl2br w:val="nil"/>
                    <w:tr2bl w:val="nil"/>
                  </w:tcBorders>
                  <w:noWrap w:val="0"/>
                  <w:tcMar>
                    <w:top w:w="0" w:type="dxa"/>
                    <w:left w:w="57" w:type="dxa"/>
                    <w:bottom w:w="0" w:type="dxa"/>
                    <w:right w:w="57" w:type="dxa"/>
                  </w:tcMar>
                  <w:vAlign w:val="center"/>
                </w:tcPr>
                <w:p w14:paraId="2521EE59">
                  <w:pPr>
                    <w:jc w:val="center"/>
                    <w:rPr>
                      <w:rFonts w:hint="eastAsia" w:eastAsia="宋体"/>
                      <w:b w:val="0"/>
                      <w:bCs/>
                      <w:color w:val="auto"/>
                      <w:sz w:val="21"/>
                      <w:szCs w:val="21"/>
                      <w:highlight w:val="none"/>
                      <w:lang w:eastAsia="zh-CN"/>
                    </w:rPr>
                  </w:pPr>
                  <w:r>
                    <w:rPr>
                      <w:rFonts w:hint="eastAsia"/>
                      <w:b w:val="0"/>
                      <w:bCs/>
                      <w:color w:val="auto"/>
                      <w:sz w:val="21"/>
                      <w:szCs w:val="21"/>
                      <w:highlight w:val="none"/>
                    </w:rPr>
                    <w:t>1次/</w:t>
                  </w:r>
                  <w:r>
                    <w:rPr>
                      <w:rFonts w:hint="eastAsia"/>
                      <w:b w:val="0"/>
                      <w:bCs/>
                      <w:color w:val="auto"/>
                      <w:sz w:val="21"/>
                      <w:szCs w:val="21"/>
                      <w:highlight w:val="none"/>
                      <w:lang w:val="en-US" w:eastAsia="zh-CN"/>
                    </w:rPr>
                    <w:t>年（采暖期监测）</w:t>
                  </w:r>
                </w:p>
              </w:tc>
              <w:tc>
                <w:tcPr>
                  <w:tcW w:w="1685" w:type="pct"/>
                  <w:tcBorders>
                    <w:tl2br w:val="nil"/>
                    <w:tr2bl w:val="nil"/>
                  </w:tcBorders>
                  <w:noWrap w:val="0"/>
                  <w:tcMar>
                    <w:top w:w="0" w:type="dxa"/>
                    <w:left w:w="57" w:type="dxa"/>
                    <w:bottom w:w="0" w:type="dxa"/>
                    <w:right w:w="57" w:type="dxa"/>
                  </w:tcMar>
                  <w:vAlign w:val="center"/>
                </w:tcPr>
                <w:p w14:paraId="6E77ACF5">
                  <w:pPr>
                    <w:jc w:val="center"/>
                    <w:rPr>
                      <w:rFonts w:hint="eastAsia" w:hAnsi="宋体"/>
                      <w:b w:val="0"/>
                      <w:bCs/>
                      <w:color w:val="auto"/>
                      <w:sz w:val="21"/>
                      <w:szCs w:val="21"/>
                      <w:highlight w:val="none"/>
                    </w:rPr>
                  </w:pPr>
                  <w:r>
                    <w:rPr>
                      <w:rFonts w:hAnsi="宋体"/>
                      <w:b w:val="0"/>
                      <w:bCs w:val="0"/>
                      <w:color w:val="auto"/>
                      <w:sz w:val="21"/>
                      <w:szCs w:val="21"/>
                      <w:highlight w:val="none"/>
                    </w:rPr>
                    <w:t>《锅炉大气污染物排放标准》</w:t>
                  </w:r>
                  <w:r>
                    <w:rPr>
                      <w:rFonts w:hint="eastAsia" w:hAnsi="宋体"/>
                      <w:b w:val="0"/>
                      <w:bCs w:val="0"/>
                      <w:color w:val="auto"/>
                      <w:sz w:val="21"/>
                      <w:szCs w:val="21"/>
                      <w:highlight w:val="none"/>
                    </w:rPr>
                    <w:t>（</w:t>
                  </w:r>
                  <w:r>
                    <w:rPr>
                      <w:rFonts w:hint="eastAsia"/>
                      <w:b w:val="0"/>
                      <w:bCs w:val="0"/>
                      <w:color w:val="auto"/>
                      <w:sz w:val="21"/>
                      <w:szCs w:val="21"/>
                      <w:highlight w:val="none"/>
                    </w:rPr>
                    <w:t>G</w:t>
                  </w:r>
                  <w:r>
                    <w:rPr>
                      <w:b w:val="0"/>
                      <w:bCs w:val="0"/>
                      <w:color w:val="auto"/>
                      <w:sz w:val="21"/>
                      <w:szCs w:val="21"/>
                      <w:highlight w:val="none"/>
                    </w:rPr>
                    <w:t>B</w:t>
                  </w:r>
                  <w:r>
                    <w:rPr>
                      <w:rFonts w:hint="eastAsia"/>
                      <w:b w:val="0"/>
                      <w:bCs w:val="0"/>
                      <w:color w:val="auto"/>
                      <w:sz w:val="21"/>
                      <w:szCs w:val="21"/>
                      <w:highlight w:val="none"/>
                    </w:rPr>
                    <w:t>13271</w:t>
                  </w:r>
                  <w:r>
                    <w:rPr>
                      <w:b w:val="0"/>
                      <w:bCs w:val="0"/>
                      <w:color w:val="auto"/>
                      <w:sz w:val="21"/>
                      <w:szCs w:val="21"/>
                      <w:highlight w:val="none"/>
                    </w:rPr>
                    <w:t>-201</w:t>
                  </w:r>
                  <w:r>
                    <w:rPr>
                      <w:rFonts w:hint="eastAsia"/>
                      <w:b w:val="0"/>
                      <w:bCs w:val="0"/>
                      <w:color w:val="auto"/>
                      <w:sz w:val="21"/>
                      <w:szCs w:val="21"/>
                      <w:highlight w:val="none"/>
                    </w:rPr>
                    <w:t>4）</w:t>
                  </w:r>
                </w:p>
              </w:tc>
            </w:tr>
            <w:tr w14:paraId="6FE592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3" w:type="pct"/>
                  <w:vMerge w:val="continue"/>
                  <w:tcBorders>
                    <w:tl2br w:val="nil"/>
                    <w:tr2bl w:val="nil"/>
                  </w:tcBorders>
                  <w:noWrap w:val="0"/>
                  <w:tcMar>
                    <w:top w:w="0" w:type="dxa"/>
                    <w:left w:w="57" w:type="dxa"/>
                    <w:bottom w:w="0" w:type="dxa"/>
                    <w:right w:w="57" w:type="dxa"/>
                  </w:tcMar>
                  <w:vAlign w:val="center"/>
                </w:tcPr>
                <w:p w14:paraId="0BBC89DA">
                  <w:pPr>
                    <w:jc w:val="center"/>
                    <w:rPr>
                      <w:b w:val="0"/>
                      <w:bCs/>
                      <w:color w:val="auto"/>
                      <w:sz w:val="21"/>
                      <w:szCs w:val="21"/>
                      <w:highlight w:val="none"/>
                    </w:rPr>
                  </w:pPr>
                </w:p>
              </w:tc>
              <w:tc>
                <w:tcPr>
                  <w:tcW w:w="544" w:type="pct"/>
                  <w:vMerge w:val="continue"/>
                  <w:tcBorders>
                    <w:tl2br w:val="nil"/>
                    <w:tr2bl w:val="nil"/>
                  </w:tcBorders>
                  <w:noWrap w:val="0"/>
                  <w:tcMar>
                    <w:top w:w="0" w:type="dxa"/>
                    <w:left w:w="57" w:type="dxa"/>
                    <w:bottom w:w="0" w:type="dxa"/>
                    <w:right w:w="57" w:type="dxa"/>
                  </w:tcMar>
                  <w:vAlign w:val="center"/>
                </w:tcPr>
                <w:p w14:paraId="01BC314F">
                  <w:pPr>
                    <w:jc w:val="center"/>
                    <w:rPr>
                      <w:b w:val="0"/>
                      <w:bCs/>
                      <w:color w:val="auto"/>
                      <w:sz w:val="21"/>
                      <w:szCs w:val="21"/>
                      <w:highlight w:val="none"/>
                    </w:rPr>
                  </w:pPr>
                </w:p>
              </w:tc>
              <w:tc>
                <w:tcPr>
                  <w:tcW w:w="742" w:type="pct"/>
                  <w:vMerge w:val="continue"/>
                  <w:tcBorders>
                    <w:tl2br w:val="nil"/>
                    <w:tr2bl w:val="nil"/>
                  </w:tcBorders>
                  <w:noWrap w:val="0"/>
                  <w:tcMar>
                    <w:top w:w="0" w:type="dxa"/>
                    <w:left w:w="57" w:type="dxa"/>
                    <w:bottom w:w="0" w:type="dxa"/>
                    <w:right w:w="57" w:type="dxa"/>
                  </w:tcMar>
                  <w:vAlign w:val="center"/>
                </w:tcPr>
                <w:p w14:paraId="3DEA1EA4">
                  <w:pPr>
                    <w:jc w:val="center"/>
                    <w:rPr>
                      <w:rFonts w:hint="eastAsia" w:eastAsia="宋体"/>
                      <w:b w:val="0"/>
                      <w:bCs/>
                      <w:color w:val="auto"/>
                      <w:sz w:val="21"/>
                      <w:szCs w:val="21"/>
                      <w:highlight w:val="none"/>
                      <w:lang w:eastAsia="zh-CN"/>
                    </w:rPr>
                  </w:pPr>
                </w:p>
              </w:tc>
              <w:tc>
                <w:tcPr>
                  <w:tcW w:w="742" w:type="pct"/>
                  <w:tcBorders>
                    <w:tl2br w:val="nil"/>
                    <w:tr2bl w:val="nil"/>
                  </w:tcBorders>
                  <w:noWrap w:val="0"/>
                  <w:tcMar>
                    <w:top w:w="0" w:type="dxa"/>
                    <w:left w:w="57" w:type="dxa"/>
                    <w:bottom w:w="0" w:type="dxa"/>
                    <w:right w:w="57" w:type="dxa"/>
                  </w:tcMar>
                  <w:vAlign w:val="center"/>
                </w:tcPr>
                <w:p w14:paraId="135CDC33">
                  <w:pPr>
                    <w:jc w:val="center"/>
                    <w:rPr>
                      <w:b w:val="0"/>
                      <w:bCs/>
                      <w:color w:val="auto"/>
                      <w:kern w:val="2"/>
                      <w:sz w:val="21"/>
                      <w:szCs w:val="21"/>
                      <w:highlight w:val="none"/>
                      <w:lang w:val="en-US" w:eastAsia="zh-CN" w:bidi="ar-SA"/>
                    </w:rPr>
                  </w:pPr>
                  <w:r>
                    <w:rPr>
                      <w:b w:val="0"/>
                      <w:bCs/>
                      <w:color w:val="auto"/>
                      <w:sz w:val="21"/>
                      <w:szCs w:val="21"/>
                      <w:highlight w:val="none"/>
                    </w:rPr>
                    <w:t>颗粒物</w:t>
                  </w:r>
                </w:p>
              </w:tc>
              <w:tc>
                <w:tcPr>
                  <w:tcW w:w="830" w:type="pct"/>
                  <w:vMerge w:val="continue"/>
                  <w:tcBorders>
                    <w:tl2br w:val="nil"/>
                    <w:tr2bl w:val="nil"/>
                  </w:tcBorders>
                  <w:noWrap w:val="0"/>
                  <w:tcMar>
                    <w:top w:w="0" w:type="dxa"/>
                    <w:left w:w="57" w:type="dxa"/>
                    <w:bottom w:w="0" w:type="dxa"/>
                    <w:right w:w="57" w:type="dxa"/>
                  </w:tcMar>
                  <w:vAlign w:val="center"/>
                </w:tcPr>
                <w:p w14:paraId="3186EE11">
                  <w:pPr>
                    <w:jc w:val="center"/>
                    <w:rPr>
                      <w:rFonts w:hint="eastAsia" w:eastAsia="宋体"/>
                      <w:b w:val="0"/>
                      <w:bCs/>
                      <w:color w:val="auto"/>
                      <w:sz w:val="21"/>
                      <w:szCs w:val="21"/>
                      <w:highlight w:val="none"/>
                      <w:lang w:eastAsia="zh-CN"/>
                    </w:rPr>
                  </w:pPr>
                </w:p>
              </w:tc>
              <w:tc>
                <w:tcPr>
                  <w:tcW w:w="1685" w:type="pct"/>
                  <w:vMerge w:val="restart"/>
                  <w:tcBorders>
                    <w:tl2br w:val="nil"/>
                    <w:tr2bl w:val="nil"/>
                  </w:tcBorders>
                  <w:noWrap w:val="0"/>
                  <w:tcMar>
                    <w:top w:w="0" w:type="dxa"/>
                    <w:left w:w="57" w:type="dxa"/>
                    <w:bottom w:w="0" w:type="dxa"/>
                    <w:right w:w="57" w:type="dxa"/>
                  </w:tcMar>
                  <w:vAlign w:val="center"/>
                </w:tcPr>
                <w:p w14:paraId="3AB50508">
                  <w:pPr>
                    <w:jc w:val="center"/>
                    <w:rPr>
                      <w:b w:val="0"/>
                      <w:bCs/>
                      <w:color w:val="auto"/>
                      <w:sz w:val="21"/>
                      <w:szCs w:val="21"/>
                      <w:highlight w:val="none"/>
                    </w:rPr>
                  </w:pPr>
                  <w:r>
                    <w:rPr>
                      <w:b w:val="0"/>
                      <w:bCs/>
                      <w:color w:val="auto"/>
                      <w:sz w:val="21"/>
                      <w:szCs w:val="21"/>
                      <w:highlight w:val="none"/>
                    </w:rPr>
                    <w:t>《锅炉大气污染物排放标准》</w:t>
                  </w:r>
                  <w:r>
                    <w:rPr>
                      <w:rFonts w:hint="eastAsia" w:hAnsi="宋体"/>
                      <w:b w:val="0"/>
                      <w:bCs w:val="0"/>
                      <w:color w:val="auto"/>
                      <w:sz w:val="21"/>
                      <w:szCs w:val="21"/>
                      <w:highlight w:val="none"/>
                    </w:rPr>
                    <w:t>（</w:t>
                  </w:r>
                  <w:r>
                    <w:rPr>
                      <w:b w:val="0"/>
                      <w:bCs/>
                      <w:color w:val="auto"/>
                      <w:sz w:val="21"/>
                      <w:szCs w:val="21"/>
                      <w:highlight w:val="none"/>
                    </w:rPr>
                    <w:t>DB61/1226-2018</w:t>
                  </w:r>
                  <w:r>
                    <w:rPr>
                      <w:rFonts w:hint="eastAsia"/>
                      <w:b w:val="0"/>
                      <w:bCs w:val="0"/>
                      <w:color w:val="auto"/>
                      <w:sz w:val="21"/>
                      <w:szCs w:val="21"/>
                      <w:highlight w:val="none"/>
                    </w:rPr>
                    <w:t>）</w:t>
                  </w:r>
                </w:p>
              </w:tc>
            </w:tr>
            <w:tr w14:paraId="635BD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3" w:type="pct"/>
                  <w:vMerge w:val="continue"/>
                  <w:tcBorders>
                    <w:tl2br w:val="nil"/>
                    <w:tr2bl w:val="nil"/>
                  </w:tcBorders>
                  <w:noWrap w:val="0"/>
                  <w:tcMar>
                    <w:top w:w="0" w:type="dxa"/>
                    <w:left w:w="57" w:type="dxa"/>
                    <w:bottom w:w="0" w:type="dxa"/>
                    <w:right w:w="57" w:type="dxa"/>
                  </w:tcMar>
                  <w:vAlign w:val="center"/>
                </w:tcPr>
                <w:p w14:paraId="6834E8C9">
                  <w:pPr>
                    <w:jc w:val="center"/>
                    <w:rPr>
                      <w:rFonts w:hAnsi="宋体"/>
                      <w:b w:val="0"/>
                      <w:bCs/>
                      <w:color w:val="auto"/>
                      <w:sz w:val="21"/>
                      <w:szCs w:val="21"/>
                      <w:highlight w:val="green"/>
                    </w:rPr>
                  </w:pPr>
                </w:p>
              </w:tc>
              <w:tc>
                <w:tcPr>
                  <w:tcW w:w="544" w:type="pct"/>
                  <w:vMerge w:val="continue"/>
                  <w:tcBorders>
                    <w:tl2br w:val="nil"/>
                    <w:tr2bl w:val="nil"/>
                  </w:tcBorders>
                  <w:noWrap w:val="0"/>
                  <w:tcMar>
                    <w:top w:w="0" w:type="dxa"/>
                    <w:left w:w="57" w:type="dxa"/>
                    <w:bottom w:w="0" w:type="dxa"/>
                    <w:right w:w="57" w:type="dxa"/>
                  </w:tcMar>
                  <w:vAlign w:val="center"/>
                </w:tcPr>
                <w:p w14:paraId="0FD453FA">
                  <w:pPr>
                    <w:jc w:val="center"/>
                    <w:rPr>
                      <w:b w:val="0"/>
                      <w:bCs/>
                      <w:color w:val="auto"/>
                      <w:sz w:val="21"/>
                      <w:szCs w:val="21"/>
                      <w:highlight w:val="green"/>
                    </w:rPr>
                  </w:pPr>
                </w:p>
              </w:tc>
              <w:tc>
                <w:tcPr>
                  <w:tcW w:w="742" w:type="pct"/>
                  <w:vMerge w:val="continue"/>
                  <w:tcBorders>
                    <w:tl2br w:val="nil"/>
                    <w:tr2bl w:val="nil"/>
                  </w:tcBorders>
                  <w:noWrap w:val="0"/>
                  <w:tcMar>
                    <w:top w:w="0" w:type="dxa"/>
                    <w:left w:w="57" w:type="dxa"/>
                    <w:bottom w:w="0" w:type="dxa"/>
                    <w:right w:w="57" w:type="dxa"/>
                  </w:tcMar>
                  <w:vAlign w:val="center"/>
                </w:tcPr>
                <w:p w14:paraId="71DE21D9">
                  <w:pPr>
                    <w:jc w:val="center"/>
                    <w:rPr>
                      <w:b w:val="0"/>
                      <w:bCs/>
                      <w:color w:val="auto"/>
                      <w:sz w:val="21"/>
                      <w:szCs w:val="21"/>
                      <w:highlight w:val="green"/>
                    </w:rPr>
                  </w:pPr>
                </w:p>
              </w:tc>
              <w:tc>
                <w:tcPr>
                  <w:tcW w:w="742" w:type="pct"/>
                  <w:tcBorders>
                    <w:tl2br w:val="nil"/>
                    <w:tr2bl w:val="nil"/>
                  </w:tcBorders>
                  <w:noWrap w:val="0"/>
                  <w:tcMar>
                    <w:top w:w="0" w:type="dxa"/>
                    <w:left w:w="57" w:type="dxa"/>
                    <w:bottom w:w="0" w:type="dxa"/>
                    <w:right w:w="57" w:type="dxa"/>
                  </w:tcMar>
                  <w:vAlign w:val="center"/>
                </w:tcPr>
                <w:p w14:paraId="130A1369">
                  <w:pPr>
                    <w:jc w:val="center"/>
                    <w:rPr>
                      <w:b w:val="0"/>
                      <w:bCs/>
                      <w:color w:val="auto"/>
                      <w:kern w:val="2"/>
                      <w:sz w:val="21"/>
                      <w:szCs w:val="21"/>
                      <w:highlight w:val="none"/>
                      <w:lang w:val="en-US" w:eastAsia="zh-CN" w:bidi="ar-SA"/>
                    </w:rPr>
                  </w:pPr>
                  <w:r>
                    <w:rPr>
                      <w:b w:val="0"/>
                      <w:bCs/>
                      <w:color w:val="auto"/>
                      <w:sz w:val="21"/>
                      <w:szCs w:val="21"/>
                      <w:highlight w:val="none"/>
                    </w:rPr>
                    <w:t>SO</w:t>
                  </w:r>
                  <w:r>
                    <w:rPr>
                      <w:b w:val="0"/>
                      <w:bCs/>
                      <w:color w:val="auto"/>
                      <w:sz w:val="21"/>
                      <w:szCs w:val="21"/>
                      <w:highlight w:val="none"/>
                      <w:vertAlign w:val="subscript"/>
                    </w:rPr>
                    <w:t>2</w:t>
                  </w:r>
                </w:p>
              </w:tc>
              <w:tc>
                <w:tcPr>
                  <w:tcW w:w="830" w:type="pct"/>
                  <w:vMerge w:val="continue"/>
                  <w:tcBorders>
                    <w:tl2br w:val="nil"/>
                    <w:tr2bl w:val="nil"/>
                  </w:tcBorders>
                  <w:noWrap w:val="0"/>
                  <w:tcMar>
                    <w:top w:w="0" w:type="dxa"/>
                    <w:left w:w="57" w:type="dxa"/>
                    <w:bottom w:w="0" w:type="dxa"/>
                    <w:right w:w="57" w:type="dxa"/>
                  </w:tcMar>
                  <w:vAlign w:val="center"/>
                </w:tcPr>
                <w:p w14:paraId="4727BBE6">
                  <w:pPr>
                    <w:jc w:val="center"/>
                    <w:rPr>
                      <w:b w:val="0"/>
                      <w:bCs/>
                      <w:color w:val="auto"/>
                      <w:sz w:val="21"/>
                      <w:szCs w:val="21"/>
                      <w:highlight w:val="none"/>
                    </w:rPr>
                  </w:pPr>
                </w:p>
              </w:tc>
              <w:tc>
                <w:tcPr>
                  <w:tcW w:w="1685" w:type="pct"/>
                  <w:vMerge w:val="continue"/>
                  <w:tcBorders>
                    <w:tl2br w:val="nil"/>
                    <w:tr2bl w:val="nil"/>
                  </w:tcBorders>
                  <w:noWrap w:val="0"/>
                  <w:tcMar>
                    <w:top w:w="0" w:type="dxa"/>
                    <w:left w:w="57" w:type="dxa"/>
                    <w:bottom w:w="0" w:type="dxa"/>
                    <w:right w:w="57" w:type="dxa"/>
                  </w:tcMar>
                  <w:vAlign w:val="center"/>
                </w:tcPr>
                <w:p w14:paraId="0DDB65A6">
                  <w:pPr>
                    <w:jc w:val="center"/>
                    <w:rPr>
                      <w:b w:val="0"/>
                      <w:bCs/>
                      <w:color w:val="auto"/>
                      <w:sz w:val="21"/>
                      <w:szCs w:val="21"/>
                      <w:highlight w:val="green"/>
                    </w:rPr>
                  </w:pPr>
                </w:p>
              </w:tc>
            </w:tr>
            <w:tr w14:paraId="1DC270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3" w:type="pct"/>
                  <w:vMerge w:val="continue"/>
                  <w:tcBorders>
                    <w:tl2br w:val="nil"/>
                    <w:tr2bl w:val="nil"/>
                  </w:tcBorders>
                  <w:noWrap w:val="0"/>
                  <w:tcMar>
                    <w:top w:w="0" w:type="dxa"/>
                    <w:left w:w="57" w:type="dxa"/>
                    <w:bottom w:w="0" w:type="dxa"/>
                    <w:right w:w="57" w:type="dxa"/>
                  </w:tcMar>
                  <w:vAlign w:val="center"/>
                </w:tcPr>
                <w:p w14:paraId="5903B855">
                  <w:pPr>
                    <w:jc w:val="center"/>
                    <w:rPr>
                      <w:rFonts w:hAnsi="宋体"/>
                      <w:b w:val="0"/>
                      <w:bCs/>
                      <w:color w:val="auto"/>
                      <w:sz w:val="21"/>
                      <w:szCs w:val="21"/>
                      <w:highlight w:val="green"/>
                    </w:rPr>
                  </w:pPr>
                </w:p>
              </w:tc>
              <w:tc>
                <w:tcPr>
                  <w:tcW w:w="544" w:type="pct"/>
                  <w:vMerge w:val="continue"/>
                  <w:tcBorders>
                    <w:tl2br w:val="nil"/>
                    <w:tr2bl w:val="nil"/>
                  </w:tcBorders>
                  <w:noWrap w:val="0"/>
                  <w:tcMar>
                    <w:top w:w="0" w:type="dxa"/>
                    <w:left w:w="57" w:type="dxa"/>
                    <w:bottom w:w="0" w:type="dxa"/>
                    <w:right w:w="57" w:type="dxa"/>
                  </w:tcMar>
                  <w:vAlign w:val="center"/>
                </w:tcPr>
                <w:p w14:paraId="6A5F34F7">
                  <w:pPr>
                    <w:jc w:val="center"/>
                    <w:rPr>
                      <w:b w:val="0"/>
                      <w:bCs/>
                      <w:color w:val="auto"/>
                      <w:sz w:val="21"/>
                      <w:szCs w:val="21"/>
                      <w:highlight w:val="green"/>
                    </w:rPr>
                  </w:pPr>
                </w:p>
              </w:tc>
              <w:tc>
                <w:tcPr>
                  <w:tcW w:w="742" w:type="pct"/>
                  <w:vMerge w:val="continue"/>
                  <w:tcBorders>
                    <w:tl2br w:val="nil"/>
                    <w:tr2bl w:val="nil"/>
                  </w:tcBorders>
                  <w:noWrap w:val="0"/>
                  <w:tcMar>
                    <w:top w:w="0" w:type="dxa"/>
                    <w:left w:w="57" w:type="dxa"/>
                    <w:bottom w:w="0" w:type="dxa"/>
                    <w:right w:w="57" w:type="dxa"/>
                  </w:tcMar>
                  <w:vAlign w:val="center"/>
                </w:tcPr>
                <w:p w14:paraId="52E6818F">
                  <w:pPr>
                    <w:jc w:val="center"/>
                    <w:rPr>
                      <w:b w:val="0"/>
                      <w:bCs/>
                      <w:color w:val="auto"/>
                      <w:sz w:val="21"/>
                      <w:szCs w:val="21"/>
                      <w:highlight w:val="green"/>
                    </w:rPr>
                  </w:pPr>
                </w:p>
              </w:tc>
              <w:tc>
                <w:tcPr>
                  <w:tcW w:w="742" w:type="pct"/>
                  <w:tcBorders>
                    <w:tl2br w:val="nil"/>
                    <w:tr2bl w:val="nil"/>
                  </w:tcBorders>
                  <w:noWrap w:val="0"/>
                  <w:tcMar>
                    <w:top w:w="0" w:type="dxa"/>
                    <w:left w:w="57" w:type="dxa"/>
                    <w:bottom w:w="0" w:type="dxa"/>
                    <w:right w:w="57" w:type="dxa"/>
                  </w:tcMar>
                  <w:vAlign w:val="center"/>
                </w:tcPr>
                <w:p w14:paraId="3DA0B370">
                  <w:pPr>
                    <w:jc w:val="center"/>
                    <w:rPr>
                      <w:b w:val="0"/>
                      <w:bCs/>
                      <w:color w:val="auto"/>
                      <w:kern w:val="2"/>
                      <w:sz w:val="21"/>
                      <w:szCs w:val="21"/>
                      <w:highlight w:val="none"/>
                      <w:lang w:val="en-US" w:eastAsia="zh-CN" w:bidi="ar-SA"/>
                    </w:rPr>
                  </w:pPr>
                  <w:r>
                    <w:rPr>
                      <w:b w:val="0"/>
                      <w:bCs/>
                      <w:color w:val="auto"/>
                      <w:sz w:val="21"/>
                      <w:szCs w:val="21"/>
                      <w:highlight w:val="none"/>
                    </w:rPr>
                    <w:t>NO</w:t>
                  </w:r>
                  <w:r>
                    <w:rPr>
                      <w:b w:val="0"/>
                      <w:bCs/>
                      <w:color w:val="auto"/>
                      <w:sz w:val="21"/>
                      <w:szCs w:val="21"/>
                      <w:highlight w:val="none"/>
                      <w:vertAlign w:val="subscript"/>
                    </w:rPr>
                    <w:t>X</w:t>
                  </w:r>
                </w:p>
              </w:tc>
              <w:tc>
                <w:tcPr>
                  <w:tcW w:w="830" w:type="pct"/>
                  <w:tcBorders>
                    <w:tl2br w:val="nil"/>
                    <w:tr2bl w:val="nil"/>
                  </w:tcBorders>
                  <w:noWrap w:val="0"/>
                  <w:tcMar>
                    <w:top w:w="0" w:type="dxa"/>
                    <w:left w:w="57" w:type="dxa"/>
                    <w:bottom w:w="0" w:type="dxa"/>
                    <w:right w:w="57" w:type="dxa"/>
                  </w:tcMar>
                  <w:vAlign w:val="center"/>
                </w:tcPr>
                <w:p w14:paraId="6A0B0511">
                  <w:pPr>
                    <w:jc w:val="center"/>
                    <w:rPr>
                      <w:rFonts w:hint="default" w:eastAsia="宋体"/>
                      <w:b w:val="0"/>
                      <w:bCs/>
                      <w:color w:val="auto"/>
                      <w:sz w:val="21"/>
                      <w:szCs w:val="21"/>
                      <w:highlight w:val="none"/>
                      <w:lang w:val="en-US" w:eastAsia="zh-CN"/>
                    </w:rPr>
                  </w:pPr>
                  <w:r>
                    <w:rPr>
                      <w:rFonts w:hint="eastAsia"/>
                      <w:b w:val="0"/>
                      <w:bCs/>
                      <w:color w:val="auto"/>
                      <w:sz w:val="21"/>
                      <w:szCs w:val="21"/>
                      <w:highlight w:val="none"/>
                    </w:rPr>
                    <w:t>1次/</w:t>
                  </w:r>
                  <w:r>
                    <w:rPr>
                      <w:rFonts w:hint="eastAsia"/>
                      <w:b w:val="0"/>
                      <w:bCs/>
                      <w:color w:val="auto"/>
                      <w:sz w:val="21"/>
                      <w:szCs w:val="21"/>
                      <w:highlight w:val="none"/>
                      <w:lang w:val="en-US" w:eastAsia="zh-CN"/>
                    </w:rPr>
                    <w:t>月（采暖期监测）</w:t>
                  </w:r>
                </w:p>
              </w:tc>
              <w:tc>
                <w:tcPr>
                  <w:tcW w:w="1685" w:type="pct"/>
                  <w:vMerge w:val="continue"/>
                  <w:tcBorders>
                    <w:tl2br w:val="nil"/>
                    <w:tr2bl w:val="nil"/>
                  </w:tcBorders>
                  <w:noWrap w:val="0"/>
                  <w:tcMar>
                    <w:top w:w="0" w:type="dxa"/>
                    <w:left w:w="57" w:type="dxa"/>
                    <w:bottom w:w="0" w:type="dxa"/>
                    <w:right w:w="57" w:type="dxa"/>
                  </w:tcMar>
                  <w:vAlign w:val="center"/>
                </w:tcPr>
                <w:p w14:paraId="1570EBFA">
                  <w:pPr>
                    <w:jc w:val="center"/>
                    <w:rPr>
                      <w:b w:val="0"/>
                      <w:bCs/>
                      <w:color w:val="auto"/>
                      <w:sz w:val="21"/>
                      <w:szCs w:val="21"/>
                      <w:highlight w:val="green"/>
                    </w:rPr>
                  </w:pPr>
                </w:p>
              </w:tc>
            </w:tr>
          </w:tbl>
          <w:p w14:paraId="3950F49E">
            <w:pPr>
              <w:autoSpaceDE w:val="0"/>
              <w:autoSpaceDN w:val="0"/>
              <w:spacing w:line="360" w:lineRule="auto"/>
              <w:ind w:firstLine="482" w:firstLineChars="200"/>
              <w:rPr>
                <w:rFonts w:hint="eastAsia" w:ascii="Times New Roman" w:hAnsi="Times New Roman" w:eastAsia="宋体" w:cs="Times New Roman"/>
                <w:b/>
                <w:bCs/>
                <w:color w:val="auto"/>
                <w:sz w:val="24"/>
                <w:szCs w:val="24"/>
                <w:highlight w:val="none"/>
                <w:lang w:eastAsia="zh-CN"/>
              </w:rPr>
            </w:pPr>
            <w:r>
              <w:rPr>
                <w:rFonts w:hint="eastAsia" w:cs="Times New Roman"/>
                <w:b/>
                <w:bCs/>
                <w:color w:val="auto"/>
                <w:sz w:val="24"/>
                <w:szCs w:val="24"/>
                <w:highlight w:val="none"/>
                <w:lang w:val="en-US" w:eastAsia="zh-CN"/>
              </w:rPr>
              <w:t>2.</w:t>
            </w:r>
            <w:r>
              <w:rPr>
                <w:rFonts w:hint="eastAsia" w:ascii="Times New Roman" w:hAnsi="Times New Roman" w:eastAsia="宋体" w:cs="Times New Roman"/>
                <w:b/>
                <w:bCs/>
                <w:color w:val="auto"/>
                <w:sz w:val="24"/>
                <w:szCs w:val="24"/>
                <w:highlight w:val="none"/>
                <w:lang w:val="en-US" w:eastAsia="zh-CN"/>
              </w:rPr>
              <w:t>废水</w:t>
            </w:r>
            <w:r>
              <w:rPr>
                <w:rFonts w:hint="eastAsia" w:ascii="Times New Roman" w:hAnsi="Times New Roman" w:eastAsia="宋体" w:cs="Times New Roman"/>
                <w:b/>
                <w:bCs/>
                <w:color w:val="auto"/>
                <w:sz w:val="24"/>
                <w:szCs w:val="24"/>
                <w:highlight w:val="none"/>
                <w:lang w:eastAsia="zh-CN"/>
              </w:rPr>
              <w:t>环境影响及保护措施</w:t>
            </w:r>
          </w:p>
          <w:p w14:paraId="742498A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cs="宋体"/>
                <w:b/>
                <w:bCs w:val="0"/>
                <w:color w:val="auto"/>
                <w:kern w:val="0"/>
                <w:sz w:val="24"/>
                <w:szCs w:val="24"/>
                <w:highlight w:val="none"/>
              </w:rPr>
            </w:pPr>
            <w:r>
              <w:rPr>
                <w:rFonts w:hint="eastAsia" w:cs="宋体"/>
                <w:b/>
                <w:bCs w:val="0"/>
                <w:color w:val="auto"/>
                <w:kern w:val="0"/>
                <w:sz w:val="24"/>
                <w:szCs w:val="24"/>
                <w:highlight w:val="none"/>
                <w:lang w:val="en-US" w:eastAsia="zh-CN"/>
              </w:rPr>
              <w:t>2.1</w:t>
            </w:r>
            <w:r>
              <w:rPr>
                <w:rFonts w:hint="eastAsia" w:cs="宋体"/>
                <w:b/>
                <w:bCs w:val="0"/>
                <w:iCs/>
                <w:color w:val="auto"/>
                <w:kern w:val="0"/>
                <w:sz w:val="24"/>
                <w:szCs w:val="24"/>
                <w:highlight w:val="none"/>
              </w:rPr>
              <w:t>废水污染物源强核算过程</w:t>
            </w:r>
          </w:p>
          <w:p w14:paraId="43174FBC">
            <w:pPr>
              <w:pStyle w:val="15"/>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本项目</w:t>
            </w:r>
            <w:r>
              <w:rPr>
                <w:rFonts w:hint="eastAsia" w:cs="Times New Roman"/>
                <w:b w:val="0"/>
                <w:bCs/>
                <w:color w:val="auto"/>
                <w:kern w:val="2"/>
                <w:sz w:val="24"/>
                <w:szCs w:val="24"/>
                <w:highlight w:val="none"/>
                <w:lang w:val="en-US" w:eastAsia="zh-CN" w:bidi="ar-SA"/>
              </w:rPr>
              <w:t>废水</w:t>
            </w:r>
            <w:r>
              <w:rPr>
                <w:rFonts w:hint="eastAsia" w:ascii="Times New Roman" w:hAnsi="Times New Roman" w:eastAsia="宋体" w:cs="Times New Roman"/>
                <w:b w:val="0"/>
                <w:bCs/>
                <w:color w:val="auto"/>
                <w:kern w:val="2"/>
                <w:sz w:val="24"/>
                <w:szCs w:val="24"/>
                <w:highlight w:val="none"/>
                <w:lang w:val="en-US" w:eastAsia="zh-CN" w:bidi="ar-SA"/>
              </w:rPr>
              <w:t>主要包括锅炉定期排水和软化</w:t>
            </w:r>
            <w:r>
              <w:rPr>
                <w:rFonts w:hint="eastAsia" w:cs="Times New Roman"/>
                <w:b w:val="0"/>
                <w:bCs/>
                <w:color w:val="auto"/>
                <w:kern w:val="2"/>
                <w:sz w:val="24"/>
                <w:szCs w:val="24"/>
                <w:highlight w:val="none"/>
                <w:lang w:val="en-US" w:eastAsia="zh-CN" w:bidi="ar-SA"/>
              </w:rPr>
              <w:t>水系统排水</w:t>
            </w:r>
            <w:r>
              <w:rPr>
                <w:rFonts w:hint="eastAsia" w:ascii="Times New Roman" w:hAnsi="Times New Roman" w:eastAsia="宋体" w:cs="Times New Roman"/>
                <w:b w:val="0"/>
                <w:bCs/>
                <w:color w:val="auto"/>
                <w:kern w:val="2"/>
                <w:sz w:val="24"/>
                <w:szCs w:val="24"/>
                <w:highlight w:val="none"/>
                <w:lang w:val="en-US" w:eastAsia="zh-CN" w:bidi="ar-SA"/>
              </w:rPr>
              <w:t>，</w:t>
            </w:r>
            <w:r>
              <w:rPr>
                <w:rFonts w:hint="eastAsia" w:cs="Times New Roman"/>
                <w:b w:val="0"/>
                <w:bCs/>
                <w:color w:val="auto"/>
                <w:kern w:val="2"/>
                <w:sz w:val="24"/>
                <w:szCs w:val="24"/>
                <w:highlight w:val="none"/>
                <w:lang w:val="en-US" w:eastAsia="zh-CN" w:bidi="ar-SA"/>
              </w:rPr>
              <w:t>废水排放量为</w:t>
            </w:r>
            <w:r>
              <w:rPr>
                <w:rFonts w:hint="eastAsia" w:cs="Times New Roman"/>
                <w:color w:val="auto"/>
                <w:sz w:val="24"/>
                <w:szCs w:val="24"/>
                <w:highlight w:val="none"/>
                <w:lang w:val="en-US" w:eastAsia="zh-CN"/>
              </w:rPr>
              <w:t>7.61</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cs="Times New Roman"/>
                <w:color w:val="auto"/>
                <w:sz w:val="24"/>
                <w:szCs w:val="24"/>
                <w:highlight w:val="none"/>
                <w:lang w:val="en-US" w:eastAsia="zh-CN"/>
              </w:rPr>
              <w:t>989.2</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eastAsia="zh-CN"/>
              </w:rPr>
              <w:t>。</w:t>
            </w:r>
            <w:r>
              <w:rPr>
                <w:rFonts w:hint="eastAsia" w:ascii="Times New Roman" w:hAnsi="Times New Roman" w:eastAsia="宋体" w:cs="Times New Roman"/>
                <w:b w:val="0"/>
                <w:bCs/>
                <w:color w:val="auto"/>
                <w:kern w:val="2"/>
                <w:sz w:val="24"/>
                <w:szCs w:val="24"/>
                <w:highlight w:val="none"/>
                <w:lang w:val="en-US" w:eastAsia="zh-CN" w:bidi="ar-SA"/>
              </w:rPr>
              <w:t>废水水质比较清洁，污染物浓度均较低，主要成分为</w:t>
            </w:r>
            <w:r>
              <w:rPr>
                <w:rFonts w:hint="eastAsia"/>
                <w:color w:val="auto"/>
                <w:sz w:val="24"/>
                <w:szCs w:val="24"/>
                <w:highlight w:val="none"/>
              </w:rPr>
              <w:t>Ca</w:t>
            </w:r>
            <w:r>
              <w:rPr>
                <w:rFonts w:hint="eastAsia"/>
                <w:color w:val="auto"/>
                <w:sz w:val="24"/>
                <w:szCs w:val="24"/>
                <w:highlight w:val="none"/>
                <w:vertAlign w:val="superscript"/>
              </w:rPr>
              <w:t>2+</w:t>
            </w:r>
            <w:r>
              <w:rPr>
                <w:rFonts w:hint="eastAsia"/>
                <w:color w:val="auto"/>
                <w:sz w:val="24"/>
                <w:szCs w:val="24"/>
                <w:highlight w:val="none"/>
              </w:rPr>
              <w:t>、Mg</w:t>
            </w:r>
            <w:r>
              <w:rPr>
                <w:rFonts w:hint="eastAsia"/>
                <w:color w:val="auto"/>
                <w:sz w:val="24"/>
                <w:szCs w:val="24"/>
                <w:highlight w:val="none"/>
                <w:vertAlign w:val="superscript"/>
              </w:rPr>
              <w:t>2+</w:t>
            </w:r>
            <w:r>
              <w:rPr>
                <w:rFonts w:hint="eastAsia" w:ascii="Times New Roman" w:hAnsi="Times New Roman" w:eastAsia="宋体" w:cs="Times New Roman"/>
                <w:b w:val="0"/>
                <w:bCs/>
                <w:color w:val="auto"/>
                <w:kern w:val="2"/>
                <w:sz w:val="24"/>
                <w:szCs w:val="24"/>
                <w:highlight w:val="none"/>
                <w:lang w:val="en-US" w:eastAsia="zh-CN" w:bidi="ar-SA"/>
              </w:rPr>
              <w:t>等可溶性盐类。锅炉废水水质COD</w:t>
            </w:r>
            <w:r>
              <w:rPr>
                <w:rFonts w:hint="eastAsia"/>
                <w:color w:val="auto"/>
                <w:sz w:val="24"/>
                <w:szCs w:val="24"/>
                <w:highlight w:val="none"/>
              </w:rPr>
              <w:t>根据《第二次全国污染源普查工业污染源产排污系数》中“4430工业锅炉（热力生产和供应行业）产排污系数表</w:t>
            </w:r>
            <w:r>
              <w:rPr>
                <w:rFonts w:hint="eastAsia"/>
                <w:color w:val="auto"/>
                <w:sz w:val="24"/>
                <w:szCs w:val="24"/>
                <w:highlight w:val="none"/>
                <w:lang w:eastAsia="zh-CN"/>
              </w:rPr>
              <w:t>－</w:t>
            </w:r>
            <w:r>
              <w:rPr>
                <w:rFonts w:hint="eastAsia"/>
                <w:color w:val="auto"/>
                <w:sz w:val="24"/>
                <w:szCs w:val="24"/>
                <w:highlight w:val="none"/>
              </w:rPr>
              <w:t>工业废水量和化学需氧量”燃气锅炉（锅外水处理）</w:t>
            </w:r>
            <w:r>
              <w:rPr>
                <w:rFonts w:hint="eastAsia" w:ascii="Times New Roman" w:hAnsi="Times New Roman" w:eastAsia="宋体" w:cs="Times New Roman"/>
                <w:b w:val="0"/>
                <w:bCs/>
                <w:color w:val="auto"/>
                <w:kern w:val="2"/>
                <w:sz w:val="24"/>
                <w:szCs w:val="24"/>
                <w:highlight w:val="none"/>
                <w:lang w:val="en-US" w:eastAsia="zh-CN" w:bidi="ar-SA"/>
              </w:rPr>
              <w:t>的产污系数为790克/万立方米－原料计，项目天然气用量为</w:t>
            </w:r>
            <w:r>
              <w:rPr>
                <w:rFonts w:hint="eastAsia" w:hAnsi="宋体"/>
                <w:b w:val="0"/>
                <w:bCs/>
                <w:color w:val="auto"/>
                <w:sz w:val="24"/>
                <w:szCs w:val="24"/>
                <w:highlight w:val="none"/>
                <w:lang w:val="en-US" w:eastAsia="zh-CN"/>
              </w:rPr>
              <w:t>72.95</w:t>
            </w:r>
            <w:r>
              <w:rPr>
                <w:rFonts w:hint="eastAsia"/>
                <w:color w:val="auto"/>
                <w:sz w:val="24"/>
                <w:szCs w:val="24"/>
                <w:highlight w:val="none"/>
              </w:rPr>
              <w:t>万</w:t>
            </w:r>
            <w:r>
              <w:rPr>
                <w:rFonts w:hint="eastAsia" w:hAnsi="宋体"/>
                <w:b w:val="0"/>
                <w:bCs/>
                <w:color w:val="auto"/>
                <w:sz w:val="24"/>
                <w:szCs w:val="24"/>
                <w:highlight w:val="none"/>
              </w:rPr>
              <w:t>N</w:t>
            </w:r>
            <w:r>
              <w:rPr>
                <w:rFonts w:hAnsi="宋体"/>
                <w:b w:val="0"/>
                <w:bCs/>
                <w:color w:val="auto"/>
                <w:sz w:val="24"/>
                <w:szCs w:val="24"/>
                <w:highlight w:val="none"/>
              </w:rPr>
              <w:t>m</w:t>
            </w:r>
            <w:r>
              <w:rPr>
                <w:rFonts w:hAnsi="宋体"/>
                <w:b w:val="0"/>
                <w:bCs/>
                <w:color w:val="auto"/>
                <w:sz w:val="24"/>
                <w:szCs w:val="24"/>
                <w:highlight w:val="none"/>
                <w:vertAlign w:val="superscript"/>
              </w:rPr>
              <w:t>3</w:t>
            </w:r>
            <w:r>
              <w:rPr>
                <w:rFonts w:hAnsi="宋体"/>
                <w:b w:val="0"/>
                <w:bCs/>
                <w:color w:val="auto"/>
                <w:sz w:val="24"/>
                <w:szCs w:val="24"/>
                <w:highlight w:val="none"/>
              </w:rPr>
              <w:t>/a</w:t>
            </w:r>
            <w:r>
              <w:rPr>
                <w:rFonts w:hint="eastAsia" w:hAnsi="宋体"/>
                <w:b w:val="0"/>
                <w:bCs/>
                <w:color w:val="auto"/>
                <w:sz w:val="24"/>
                <w:szCs w:val="24"/>
                <w:highlight w:val="none"/>
                <w:lang w:eastAsia="zh-CN"/>
              </w:rPr>
              <w:t>，</w:t>
            </w:r>
            <w:r>
              <w:rPr>
                <w:rFonts w:hint="eastAsia" w:ascii="Times New Roman" w:hAnsi="Times New Roman" w:eastAsia="宋体" w:cs="Times New Roman"/>
                <w:b w:val="0"/>
                <w:bCs/>
                <w:color w:val="auto"/>
                <w:kern w:val="2"/>
                <w:sz w:val="24"/>
                <w:szCs w:val="24"/>
                <w:highlight w:val="none"/>
                <w:lang w:val="en-US" w:eastAsia="zh-CN" w:bidi="ar-SA"/>
              </w:rPr>
              <w:t>COD产生量约为</w:t>
            </w:r>
            <w:r>
              <w:rPr>
                <w:rFonts w:hint="eastAsia" w:cs="Times New Roman"/>
                <w:b w:val="0"/>
                <w:bCs/>
                <w:color w:val="auto"/>
                <w:kern w:val="2"/>
                <w:sz w:val="24"/>
                <w:szCs w:val="24"/>
                <w:highlight w:val="none"/>
                <w:lang w:val="en-US" w:eastAsia="zh-CN" w:bidi="ar-SA"/>
              </w:rPr>
              <w:t>0.058</w:t>
            </w:r>
            <w:r>
              <w:rPr>
                <w:rFonts w:hint="eastAsia" w:ascii="Times New Roman" w:hAnsi="Times New Roman" w:eastAsia="宋体" w:cs="Times New Roman"/>
                <w:b w:val="0"/>
                <w:bCs/>
                <w:color w:val="auto"/>
                <w:kern w:val="2"/>
                <w:sz w:val="24"/>
                <w:szCs w:val="24"/>
                <w:highlight w:val="none"/>
                <w:lang w:val="en-US" w:eastAsia="zh-CN" w:bidi="ar-SA"/>
              </w:rPr>
              <w:t>t/a，产生浓度为</w:t>
            </w:r>
            <w:r>
              <w:rPr>
                <w:rFonts w:hint="eastAsia" w:cs="Times New Roman"/>
                <w:b w:val="0"/>
                <w:bCs/>
                <w:color w:val="auto"/>
                <w:kern w:val="2"/>
                <w:sz w:val="24"/>
                <w:szCs w:val="24"/>
                <w:highlight w:val="none"/>
                <w:lang w:val="en-US" w:eastAsia="zh-CN" w:bidi="ar-SA"/>
              </w:rPr>
              <w:t>58.6</w:t>
            </w:r>
            <w:r>
              <w:rPr>
                <w:rFonts w:hint="eastAsia" w:ascii="Times New Roman" w:hAnsi="Times New Roman" w:eastAsia="宋体" w:cs="Times New Roman"/>
                <w:b w:val="0"/>
                <w:bCs/>
                <w:color w:val="auto"/>
                <w:kern w:val="2"/>
                <w:sz w:val="24"/>
                <w:szCs w:val="24"/>
                <w:highlight w:val="none"/>
                <w:lang w:val="en-US" w:eastAsia="zh-CN" w:bidi="ar-SA"/>
              </w:rPr>
              <w:t>mg/L。其余污染物参考《环境影响评价工程师职业资格登记培训系列教材—社会区域类环境影响评价》（中国环境科学出版社）中数据，即SS：100mg/L、NH</w:t>
            </w:r>
            <w:r>
              <w:rPr>
                <w:rFonts w:hint="eastAsia" w:ascii="Times New Roman" w:hAnsi="Times New Roman" w:eastAsia="宋体" w:cs="Times New Roman"/>
                <w:b w:val="0"/>
                <w:bCs/>
                <w:color w:val="auto"/>
                <w:kern w:val="2"/>
                <w:sz w:val="24"/>
                <w:szCs w:val="24"/>
                <w:highlight w:val="none"/>
                <w:vertAlign w:val="subscript"/>
                <w:lang w:val="en-US" w:eastAsia="zh-CN" w:bidi="ar-SA"/>
              </w:rPr>
              <w:t>3</w:t>
            </w:r>
            <w:r>
              <w:rPr>
                <w:rFonts w:hint="eastAsia" w:ascii="Times New Roman" w:hAnsi="Times New Roman" w:eastAsia="宋体" w:cs="Times New Roman"/>
                <w:b w:val="0"/>
                <w:bCs/>
                <w:color w:val="auto"/>
                <w:kern w:val="2"/>
                <w:sz w:val="24"/>
                <w:szCs w:val="24"/>
                <w:highlight w:val="none"/>
                <w:lang w:val="en-US" w:eastAsia="zh-CN" w:bidi="ar-SA"/>
              </w:rPr>
              <w:t>-N：10mg/L、溶解性总固体：1200mg/L。</w:t>
            </w:r>
          </w:p>
          <w:p w14:paraId="7D06BD3F">
            <w:pPr>
              <w:pStyle w:val="15"/>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b w:val="0"/>
                <w:bCs/>
                <w:color w:val="auto"/>
                <w:kern w:val="2"/>
                <w:sz w:val="24"/>
                <w:szCs w:val="24"/>
                <w:highlight w:val="green"/>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本项目污染物产生情况见表4-5。</w:t>
            </w:r>
          </w:p>
          <w:p w14:paraId="2D232C5F">
            <w:pPr>
              <w:keepNext w:val="0"/>
              <w:keepLines w:val="0"/>
              <w:pageBreakBefore w:val="0"/>
              <w:widowControl w:val="0"/>
              <w:kinsoku/>
              <w:wordWrap/>
              <w:overflowPunct/>
              <w:topLinePunct w:val="0"/>
              <w:bidi w:val="0"/>
              <w:spacing w:line="240" w:lineRule="auto"/>
              <w:ind w:firstLine="482" w:firstLineChars="200"/>
              <w:jc w:val="center"/>
              <w:textAlignment w:val="auto"/>
              <w:rPr>
                <w:rFonts w:hAnsi="宋体"/>
                <w:b/>
                <w:bCs w:val="0"/>
                <w:color w:val="auto"/>
                <w:sz w:val="24"/>
                <w:szCs w:val="24"/>
                <w:highlight w:val="green"/>
              </w:rPr>
            </w:pPr>
          </w:p>
          <w:p w14:paraId="67F3AD8C">
            <w:pPr>
              <w:keepNext w:val="0"/>
              <w:keepLines w:val="0"/>
              <w:pageBreakBefore w:val="0"/>
              <w:widowControl w:val="0"/>
              <w:kinsoku/>
              <w:wordWrap/>
              <w:overflowPunct/>
              <w:topLinePunct w:val="0"/>
              <w:bidi w:val="0"/>
              <w:spacing w:line="240" w:lineRule="auto"/>
              <w:ind w:firstLine="482" w:firstLineChars="200"/>
              <w:jc w:val="center"/>
              <w:textAlignment w:val="auto"/>
              <w:rPr>
                <w:rFonts w:hAnsi="宋体"/>
                <w:b/>
                <w:bCs w:val="0"/>
                <w:color w:val="auto"/>
                <w:sz w:val="24"/>
                <w:szCs w:val="24"/>
                <w:highlight w:val="green"/>
              </w:rPr>
            </w:pPr>
          </w:p>
          <w:p w14:paraId="16DEB9D7">
            <w:pPr>
              <w:keepNext w:val="0"/>
              <w:keepLines w:val="0"/>
              <w:pageBreakBefore w:val="0"/>
              <w:widowControl w:val="0"/>
              <w:kinsoku/>
              <w:wordWrap/>
              <w:overflowPunct/>
              <w:topLinePunct w:val="0"/>
              <w:bidi w:val="0"/>
              <w:spacing w:line="240" w:lineRule="auto"/>
              <w:ind w:firstLine="482" w:firstLineChars="200"/>
              <w:jc w:val="center"/>
              <w:textAlignment w:val="auto"/>
              <w:rPr>
                <w:rFonts w:hAnsi="宋体"/>
                <w:b/>
                <w:bCs w:val="0"/>
                <w:color w:val="auto"/>
                <w:sz w:val="24"/>
                <w:szCs w:val="24"/>
                <w:highlight w:val="green"/>
              </w:rPr>
            </w:pPr>
          </w:p>
          <w:p w14:paraId="50CC0DDD">
            <w:pPr>
              <w:keepNext w:val="0"/>
              <w:keepLines w:val="0"/>
              <w:pageBreakBefore w:val="0"/>
              <w:widowControl w:val="0"/>
              <w:kinsoku/>
              <w:wordWrap/>
              <w:overflowPunct/>
              <w:topLinePunct w:val="0"/>
              <w:bidi w:val="0"/>
              <w:spacing w:line="240" w:lineRule="auto"/>
              <w:ind w:firstLine="482" w:firstLineChars="200"/>
              <w:jc w:val="center"/>
              <w:textAlignment w:val="auto"/>
              <w:rPr>
                <w:rFonts w:hAnsi="宋体"/>
                <w:b/>
                <w:bCs w:val="0"/>
                <w:color w:val="auto"/>
                <w:sz w:val="24"/>
                <w:szCs w:val="24"/>
                <w:highlight w:val="green"/>
              </w:rPr>
            </w:pPr>
          </w:p>
          <w:p w14:paraId="0AA1EEE5">
            <w:pPr>
              <w:keepNext w:val="0"/>
              <w:keepLines w:val="0"/>
              <w:pageBreakBefore w:val="0"/>
              <w:widowControl w:val="0"/>
              <w:kinsoku/>
              <w:wordWrap/>
              <w:overflowPunct/>
              <w:topLinePunct w:val="0"/>
              <w:bidi w:val="0"/>
              <w:spacing w:line="240" w:lineRule="auto"/>
              <w:ind w:firstLine="482" w:firstLineChars="200"/>
              <w:jc w:val="center"/>
              <w:textAlignment w:val="auto"/>
              <w:rPr>
                <w:rFonts w:hAnsi="宋体"/>
                <w:b/>
                <w:bCs w:val="0"/>
                <w:color w:val="auto"/>
                <w:sz w:val="24"/>
                <w:szCs w:val="24"/>
                <w:highlight w:val="none"/>
              </w:rPr>
            </w:pPr>
            <w:r>
              <w:rPr>
                <w:rFonts w:hAnsi="宋体"/>
                <w:b/>
                <w:bCs w:val="0"/>
                <w:color w:val="auto"/>
                <w:sz w:val="24"/>
                <w:szCs w:val="24"/>
                <w:highlight w:val="none"/>
              </w:rPr>
              <w:t>表</w:t>
            </w:r>
            <w:r>
              <w:rPr>
                <w:rFonts w:hint="eastAsia" w:hAnsi="宋体"/>
                <w:b/>
                <w:bCs w:val="0"/>
                <w:color w:val="auto"/>
                <w:sz w:val="24"/>
                <w:szCs w:val="24"/>
                <w:highlight w:val="none"/>
              </w:rPr>
              <w:t>4-</w:t>
            </w:r>
            <w:r>
              <w:rPr>
                <w:rFonts w:hint="eastAsia" w:hAnsi="宋体"/>
                <w:b/>
                <w:bCs w:val="0"/>
                <w:color w:val="auto"/>
                <w:sz w:val="24"/>
                <w:szCs w:val="24"/>
                <w:highlight w:val="none"/>
                <w:lang w:val="en-US" w:eastAsia="zh-CN"/>
              </w:rPr>
              <w:t>5</w:t>
            </w:r>
            <w:r>
              <w:rPr>
                <w:rFonts w:hint="eastAsia" w:hAnsi="宋体"/>
                <w:b/>
                <w:bCs w:val="0"/>
                <w:color w:val="auto"/>
                <w:sz w:val="24"/>
                <w:szCs w:val="24"/>
                <w:highlight w:val="none"/>
              </w:rPr>
              <w:t xml:space="preserve">   </w:t>
            </w:r>
            <w:r>
              <w:rPr>
                <w:rFonts w:hint="eastAsia"/>
                <w:b/>
                <w:bCs w:val="0"/>
                <w:color w:val="auto"/>
                <w:sz w:val="24"/>
                <w:szCs w:val="24"/>
                <w:highlight w:val="none"/>
                <w:lang w:eastAsia="zh-CN"/>
              </w:rPr>
              <w:t>项目</w:t>
            </w:r>
            <w:r>
              <w:rPr>
                <w:rFonts w:hint="eastAsia"/>
                <w:b/>
                <w:bCs w:val="0"/>
                <w:color w:val="auto"/>
                <w:sz w:val="24"/>
                <w:szCs w:val="24"/>
                <w:highlight w:val="none"/>
                <w:lang w:val="en-US" w:eastAsia="zh-CN"/>
              </w:rPr>
              <w:t>锅炉废水</w:t>
            </w:r>
            <w:r>
              <w:rPr>
                <w:rFonts w:hAnsi="宋体"/>
                <w:b/>
                <w:bCs w:val="0"/>
                <w:color w:val="auto"/>
                <w:sz w:val="24"/>
                <w:szCs w:val="24"/>
                <w:highlight w:val="none"/>
              </w:rPr>
              <w:t>排放情况一览表</w:t>
            </w:r>
          </w:p>
          <w:tbl>
            <w:tblPr>
              <w:tblStyle w:val="37"/>
              <w:tblW w:w="8672" w:type="dxa"/>
              <w:tblInd w:w="17"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856"/>
              <w:gridCol w:w="1615"/>
              <w:gridCol w:w="1388"/>
              <w:gridCol w:w="1425"/>
              <w:gridCol w:w="1725"/>
            </w:tblGrid>
            <w:tr w14:paraId="122803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519" w:type="dxa"/>
                  <w:gridSpan w:val="2"/>
                  <w:tcBorders>
                    <w:tl2br w:val="nil"/>
                    <w:tr2bl w:val="nil"/>
                  </w:tcBorders>
                  <w:noWrap w:val="0"/>
                  <w:vAlign w:val="center"/>
                </w:tcPr>
                <w:p w14:paraId="6C7DDFD4">
                  <w:pPr>
                    <w:autoSpaceDE w:val="0"/>
                    <w:autoSpaceDN w:val="0"/>
                    <w:adjustRightInd w:val="0"/>
                    <w:snapToGrid w:val="0"/>
                    <w:jc w:val="center"/>
                    <w:rPr>
                      <w:b/>
                      <w:bCs w:val="0"/>
                      <w:color w:val="auto"/>
                      <w:kern w:val="0"/>
                      <w:sz w:val="21"/>
                      <w:szCs w:val="21"/>
                      <w:highlight w:val="none"/>
                    </w:rPr>
                  </w:pPr>
                  <w:r>
                    <w:rPr>
                      <w:rFonts w:hAnsi="宋体"/>
                      <w:b/>
                      <w:bCs w:val="0"/>
                      <w:color w:val="auto"/>
                      <w:kern w:val="0"/>
                      <w:sz w:val="21"/>
                      <w:szCs w:val="21"/>
                      <w:highlight w:val="none"/>
                    </w:rPr>
                    <w:t>项目</w:t>
                  </w:r>
                </w:p>
              </w:tc>
              <w:tc>
                <w:tcPr>
                  <w:tcW w:w="1615" w:type="dxa"/>
                  <w:tcBorders>
                    <w:tl2br w:val="nil"/>
                    <w:tr2bl w:val="nil"/>
                  </w:tcBorders>
                  <w:noWrap w:val="0"/>
                  <w:vAlign w:val="center"/>
                </w:tcPr>
                <w:p w14:paraId="4B255C9F">
                  <w:pPr>
                    <w:autoSpaceDE w:val="0"/>
                    <w:autoSpaceDN w:val="0"/>
                    <w:adjustRightInd w:val="0"/>
                    <w:snapToGrid w:val="0"/>
                    <w:jc w:val="center"/>
                    <w:rPr>
                      <w:b/>
                      <w:bCs w:val="0"/>
                      <w:color w:val="auto"/>
                      <w:kern w:val="0"/>
                      <w:sz w:val="21"/>
                      <w:szCs w:val="21"/>
                      <w:highlight w:val="none"/>
                    </w:rPr>
                  </w:pPr>
                  <w:r>
                    <w:rPr>
                      <w:b/>
                      <w:bCs w:val="0"/>
                      <w:color w:val="auto"/>
                      <w:kern w:val="0"/>
                      <w:sz w:val="21"/>
                      <w:szCs w:val="21"/>
                      <w:highlight w:val="none"/>
                    </w:rPr>
                    <w:t>COD</w:t>
                  </w:r>
                </w:p>
              </w:tc>
              <w:tc>
                <w:tcPr>
                  <w:tcW w:w="1388" w:type="dxa"/>
                  <w:tcBorders>
                    <w:tl2br w:val="nil"/>
                    <w:tr2bl w:val="nil"/>
                  </w:tcBorders>
                  <w:noWrap w:val="0"/>
                  <w:vAlign w:val="center"/>
                </w:tcPr>
                <w:p w14:paraId="72DE0882">
                  <w:pPr>
                    <w:autoSpaceDE w:val="0"/>
                    <w:autoSpaceDN w:val="0"/>
                    <w:adjustRightInd w:val="0"/>
                    <w:snapToGrid w:val="0"/>
                    <w:jc w:val="center"/>
                    <w:rPr>
                      <w:b/>
                      <w:bCs w:val="0"/>
                      <w:color w:val="auto"/>
                      <w:kern w:val="0"/>
                      <w:sz w:val="21"/>
                      <w:szCs w:val="21"/>
                      <w:highlight w:val="none"/>
                    </w:rPr>
                  </w:pPr>
                  <w:r>
                    <w:rPr>
                      <w:b/>
                      <w:bCs w:val="0"/>
                      <w:color w:val="auto"/>
                      <w:kern w:val="0"/>
                      <w:sz w:val="21"/>
                      <w:szCs w:val="21"/>
                      <w:highlight w:val="none"/>
                    </w:rPr>
                    <w:t>SS</w:t>
                  </w:r>
                </w:p>
              </w:tc>
              <w:tc>
                <w:tcPr>
                  <w:tcW w:w="1425" w:type="dxa"/>
                  <w:tcBorders>
                    <w:tl2br w:val="nil"/>
                    <w:tr2bl w:val="nil"/>
                  </w:tcBorders>
                  <w:noWrap w:val="0"/>
                  <w:vAlign w:val="center"/>
                </w:tcPr>
                <w:p w14:paraId="722F054B">
                  <w:pPr>
                    <w:autoSpaceDE w:val="0"/>
                    <w:autoSpaceDN w:val="0"/>
                    <w:adjustRightInd w:val="0"/>
                    <w:snapToGrid w:val="0"/>
                    <w:jc w:val="center"/>
                    <w:rPr>
                      <w:rFonts w:hAnsi="宋体"/>
                      <w:b/>
                      <w:bCs w:val="0"/>
                      <w:color w:val="auto"/>
                      <w:kern w:val="0"/>
                      <w:sz w:val="21"/>
                      <w:szCs w:val="21"/>
                      <w:highlight w:val="none"/>
                    </w:rPr>
                  </w:pPr>
                  <w:r>
                    <w:rPr>
                      <w:rFonts w:hint="eastAsia" w:ascii="Times New Roman" w:hAnsi="Times New Roman" w:eastAsia="宋体" w:cs="Times New Roman"/>
                      <w:b/>
                      <w:bCs w:val="0"/>
                      <w:color w:val="auto"/>
                      <w:kern w:val="2"/>
                      <w:sz w:val="24"/>
                      <w:szCs w:val="24"/>
                      <w:highlight w:val="none"/>
                      <w:lang w:val="en-US" w:eastAsia="zh-CN" w:bidi="ar-SA"/>
                    </w:rPr>
                    <w:t>NH</w:t>
                  </w:r>
                  <w:r>
                    <w:rPr>
                      <w:rFonts w:hint="eastAsia" w:ascii="Times New Roman" w:hAnsi="Times New Roman" w:eastAsia="宋体" w:cs="Times New Roman"/>
                      <w:b/>
                      <w:bCs w:val="0"/>
                      <w:color w:val="auto"/>
                      <w:kern w:val="2"/>
                      <w:sz w:val="24"/>
                      <w:szCs w:val="24"/>
                      <w:highlight w:val="none"/>
                      <w:vertAlign w:val="subscript"/>
                      <w:lang w:val="en-US" w:eastAsia="zh-CN" w:bidi="ar-SA"/>
                    </w:rPr>
                    <w:t>3</w:t>
                  </w:r>
                  <w:r>
                    <w:rPr>
                      <w:rFonts w:hint="eastAsia" w:ascii="Times New Roman" w:hAnsi="Times New Roman" w:eastAsia="宋体" w:cs="Times New Roman"/>
                      <w:b/>
                      <w:bCs w:val="0"/>
                      <w:color w:val="auto"/>
                      <w:kern w:val="2"/>
                      <w:sz w:val="24"/>
                      <w:szCs w:val="24"/>
                      <w:highlight w:val="none"/>
                      <w:lang w:val="en-US" w:eastAsia="zh-CN" w:bidi="ar-SA"/>
                    </w:rPr>
                    <w:t>-N</w:t>
                  </w:r>
                </w:p>
              </w:tc>
              <w:tc>
                <w:tcPr>
                  <w:tcW w:w="1725" w:type="dxa"/>
                  <w:tcBorders>
                    <w:tl2br w:val="nil"/>
                    <w:tr2bl w:val="nil"/>
                  </w:tcBorders>
                  <w:noWrap w:val="0"/>
                  <w:vAlign w:val="center"/>
                </w:tcPr>
                <w:p w14:paraId="49F16F8F">
                  <w:pPr>
                    <w:autoSpaceDE w:val="0"/>
                    <w:autoSpaceDN w:val="0"/>
                    <w:adjustRightInd w:val="0"/>
                    <w:snapToGrid w:val="0"/>
                    <w:jc w:val="center"/>
                    <w:rPr>
                      <w:rFonts w:hAnsi="宋体"/>
                      <w:b/>
                      <w:bCs w:val="0"/>
                      <w:color w:val="auto"/>
                      <w:kern w:val="0"/>
                      <w:sz w:val="21"/>
                      <w:szCs w:val="21"/>
                      <w:highlight w:val="none"/>
                    </w:rPr>
                  </w:pPr>
                  <w:r>
                    <w:rPr>
                      <w:rFonts w:hint="eastAsia" w:hAnsi="宋体"/>
                      <w:b/>
                      <w:bCs w:val="0"/>
                      <w:color w:val="auto"/>
                      <w:kern w:val="0"/>
                      <w:sz w:val="21"/>
                      <w:szCs w:val="21"/>
                      <w:highlight w:val="none"/>
                    </w:rPr>
                    <w:t>溶解性总固体</w:t>
                  </w:r>
                </w:p>
              </w:tc>
            </w:tr>
            <w:tr w14:paraId="056960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63" w:type="dxa"/>
                  <w:vMerge w:val="restart"/>
                  <w:tcBorders>
                    <w:tl2br w:val="nil"/>
                    <w:tr2bl w:val="nil"/>
                  </w:tcBorders>
                  <w:noWrap w:val="0"/>
                  <w:vAlign w:val="center"/>
                </w:tcPr>
                <w:p w14:paraId="361E39B4">
                  <w:pPr>
                    <w:autoSpaceDE w:val="0"/>
                    <w:autoSpaceDN w:val="0"/>
                    <w:adjustRightInd w:val="0"/>
                    <w:snapToGrid w:val="0"/>
                    <w:jc w:val="center"/>
                    <w:rPr>
                      <w:rFonts w:hint="eastAsia" w:hAnsi="宋体"/>
                      <w:b w:val="0"/>
                      <w:bCs/>
                      <w:color w:val="auto"/>
                      <w:kern w:val="0"/>
                      <w:sz w:val="21"/>
                      <w:szCs w:val="21"/>
                      <w:highlight w:val="none"/>
                      <w:lang w:val="en-US" w:eastAsia="zh-CN"/>
                    </w:rPr>
                  </w:pPr>
                  <w:r>
                    <w:rPr>
                      <w:rFonts w:hint="eastAsia" w:hAnsi="宋体"/>
                      <w:b w:val="0"/>
                      <w:bCs/>
                      <w:color w:val="auto"/>
                      <w:kern w:val="0"/>
                      <w:sz w:val="21"/>
                      <w:szCs w:val="21"/>
                      <w:highlight w:val="none"/>
                      <w:lang w:val="en-US" w:eastAsia="zh-CN"/>
                    </w:rPr>
                    <w:t>锅炉</w:t>
                  </w:r>
                </w:p>
                <w:p w14:paraId="03A6F84D">
                  <w:pPr>
                    <w:autoSpaceDE w:val="0"/>
                    <w:autoSpaceDN w:val="0"/>
                    <w:adjustRightInd w:val="0"/>
                    <w:snapToGrid w:val="0"/>
                    <w:jc w:val="center"/>
                    <w:rPr>
                      <w:rFonts w:hint="default" w:eastAsia="宋体"/>
                      <w:b w:val="0"/>
                      <w:bCs/>
                      <w:color w:val="auto"/>
                      <w:kern w:val="0"/>
                      <w:sz w:val="21"/>
                      <w:szCs w:val="21"/>
                      <w:highlight w:val="none"/>
                      <w:lang w:val="en-US" w:eastAsia="zh-CN"/>
                    </w:rPr>
                  </w:pPr>
                  <w:r>
                    <w:rPr>
                      <w:rFonts w:hint="eastAsia" w:hAnsi="宋体"/>
                      <w:b w:val="0"/>
                      <w:bCs/>
                      <w:color w:val="auto"/>
                      <w:kern w:val="0"/>
                      <w:sz w:val="21"/>
                      <w:szCs w:val="21"/>
                      <w:highlight w:val="none"/>
                      <w:lang w:val="en-US" w:eastAsia="zh-CN"/>
                    </w:rPr>
                    <w:t>废水</w:t>
                  </w:r>
                </w:p>
              </w:tc>
              <w:tc>
                <w:tcPr>
                  <w:tcW w:w="1856" w:type="dxa"/>
                  <w:tcBorders>
                    <w:tl2br w:val="nil"/>
                    <w:tr2bl w:val="nil"/>
                  </w:tcBorders>
                  <w:noWrap w:val="0"/>
                  <w:vAlign w:val="center"/>
                </w:tcPr>
                <w:p w14:paraId="3B9544B1">
                  <w:pPr>
                    <w:autoSpaceDE w:val="0"/>
                    <w:autoSpaceDN w:val="0"/>
                    <w:adjustRightInd w:val="0"/>
                    <w:snapToGrid w:val="0"/>
                    <w:jc w:val="center"/>
                    <w:rPr>
                      <w:b w:val="0"/>
                      <w:bCs/>
                      <w:color w:val="auto"/>
                      <w:kern w:val="0"/>
                      <w:sz w:val="21"/>
                      <w:szCs w:val="21"/>
                      <w:highlight w:val="none"/>
                    </w:rPr>
                  </w:pPr>
                  <w:r>
                    <w:rPr>
                      <w:rFonts w:hint="eastAsia" w:hAnsi="宋体"/>
                      <w:b w:val="0"/>
                      <w:bCs/>
                      <w:color w:val="auto"/>
                      <w:kern w:val="0"/>
                      <w:sz w:val="21"/>
                      <w:szCs w:val="21"/>
                      <w:highlight w:val="none"/>
                      <w:lang w:val="en-US" w:eastAsia="zh-CN"/>
                    </w:rPr>
                    <w:t>排水</w:t>
                  </w:r>
                  <w:r>
                    <w:rPr>
                      <w:rFonts w:hAnsi="宋体"/>
                      <w:b w:val="0"/>
                      <w:bCs/>
                      <w:color w:val="auto"/>
                      <w:kern w:val="0"/>
                      <w:sz w:val="21"/>
                      <w:szCs w:val="21"/>
                      <w:highlight w:val="none"/>
                    </w:rPr>
                    <w:t>水质（</w:t>
                  </w:r>
                  <w:r>
                    <w:rPr>
                      <w:b w:val="0"/>
                      <w:bCs/>
                      <w:color w:val="auto"/>
                      <w:kern w:val="0"/>
                      <w:sz w:val="21"/>
                      <w:szCs w:val="21"/>
                      <w:highlight w:val="none"/>
                    </w:rPr>
                    <w:t>mg/L</w:t>
                  </w:r>
                  <w:r>
                    <w:rPr>
                      <w:rFonts w:hAnsi="宋体"/>
                      <w:b w:val="0"/>
                      <w:bCs/>
                      <w:color w:val="auto"/>
                      <w:kern w:val="0"/>
                      <w:sz w:val="21"/>
                      <w:szCs w:val="21"/>
                      <w:highlight w:val="none"/>
                    </w:rPr>
                    <w:t>）</w:t>
                  </w:r>
                </w:p>
              </w:tc>
              <w:tc>
                <w:tcPr>
                  <w:tcW w:w="1615" w:type="dxa"/>
                  <w:tcBorders>
                    <w:tl2br w:val="nil"/>
                    <w:tr2bl w:val="nil"/>
                  </w:tcBorders>
                  <w:noWrap w:val="0"/>
                  <w:vAlign w:val="center"/>
                </w:tcPr>
                <w:p w14:paraId="70644A1A">
                  <w:pPr>
                    <w:autoSpaceDE w:val="0"/>
                    <w:autoSpaceDN w:val="0"/>
                    <w:adjustRightInd w:val="0"/>
                    <w:snapToGrid w:val="0"/>
                    <w:jc w:val="center"/>
                    <w:rPr>
                      <w:rFonts w:hint="default" w:eastAsia="宋体"/>
                      <w:b w:val="0"/>
                      <w:bCs/>
                      <w:color w:val="auto"/>
                      <w:kern w:val="0"/>
                      <w:sz w:val="21"/>
                      <w:szCs w:val="21"/>
                      <w:highlight w:val="none"/>
                      <w:lang w:val="en-US" w:eastAsia="zh-CN"/>
                    </w:rPr>
                  </w:pPr>
                  <w:r>
                    <w:rPr>
                      <w:rFonts w:hint="eastAsia"/>
                      <w:b w:val="0"/>
                      <w:bCs/>
                      <w:color w:val="auto"/>
                      <w:kern w:val="0"/>
                      <w:sz w:val="21"/>
                      <w:szCs w:val="21"/>
                      <w:highlight w:val="none"/>
                      <w:lang w:val="en-US" w:eastAsia="zh-CN"/>
                    </w:rPr>
                    <w:t>58.6</w:t>
                  </w:r>
                </w:p>
              </w:tc>
              <w:tc>
                <w:tcPr>
                  <w:tcW w:w="1388" w:type="dxa"/>
                  <w:tcBorders>
                    <w:tl2br w:val="nil"/>
                    <w:tr2bl w:val="nil"/>
                  </w:tcBorders>
                  <w:noWrap w:val="0"/>
                  <w:vAlign w:val="center"/>
                </w:tcPr>
                <w:p w14:paraId="5C4201A4">
                  <w:pPr>
                    <w:autoSpaceDE w:val="0"/>
                    <w:autoSpaceDN w:val="0"/>
                    <w:adjustRightInd w:val="0"/>
                    <w:snapToGrid w:val="0"/>
                    <w:jc w:val="center"/>
                    <w:rPr>
                      <w:rFonts w:hint="default" w:eastAsia="宋体"/>
                      <w:b w:val="0"/>
                      <w:bCs/>
                      <w:color w:val="auto"/>
                      <w:kern w:val="0"/>
                      <w:sz w:val="21"/>
                      <w:szCs w:val="21"/>
                      <w:highlight w:val="none"/>
                      <w:lang w:val="en-US" w:eastAsia="zh-CN"/>
                    </w:rPr>
                  </w:pPr>
                  <w:r>
                    <w:rPr>
                      <w:rFonts w:hint="eastAsia"/>
                      <w:b w:val="0"/>
                      <w:bCs/>
                      <w:color w:val="auto"/>
                      <w:kern w:val="0"/>
                      <w:sz w:val="21"/>
                      <w:szCs w:val="21"/>
                      <w:highlight w:val="none"/>
                      <w:lang w:val="en-US" w:eastAsia="zh-CN"/>
                    </w:rPr>
                    <w:t>100</w:t>
                  </w:r>
                </w:p>
              </w:tc>
              <w:tc>
                <w:tcPr>
                  <w:tcW w:w="1425" w:type="dxa"/>
                  <w:tcBorders>
                    <w:tl2br w:val="nil"/>
                    <w:tr2bl w:val="nil"/>
                  </w:tcBorders>
                  <w:noWrap w:val="0"/>
                  <w:vAlign w:val="center"/>
                </w:tcPr>
                <w:p w14:paraId="31CFE0C3">
                  <w:pPr>
                    <w:autoSpaceDE w:val="0"/>
                    <w:autoSpaceDN w:val="0"/>
                    <w:adjustRightInd w:val="0"/>
                    <w:snapToGrid w:val="0"/>
                    <w:jc w:val="center"/>
                    <w:rPr>
                      <w:rFonts w:hint="default"/>
                      <w:b w:val="0"/>
                      <w:bCs/>
                      <w:color w:val="auto"/>
                      <w:kern w:val="0"/>
                      <w:sz w:val="21"/>
                      <w:szCs w:val="21"/>
                      <w:highlight w:val="none"/>
                      <w:lang w:val="en-US" w:eastAsia="zh-CN"/>
                    </w:rPr>
                  </w:pPr>
                  <w:r>
                    <w:rPr>
                      <w:rFonts w:hint="eastAsia"/>
                      <w:b w:val="0"/>
                      <w:bCs/>
                      <w:color w:val="auto"/>
                      <w:kern w:val="0"/>
                      <w:sz w:val="21"/>
                      <w:szCs w:val="21"/>
                      <w:highlight w:val="none"/>
                      <w:lang w:val="en-US" w:eastAsia="zh-CN"/>
                    </w:rPr>
                    <w:t>10</w:t>
                  </w:r>
                </w:p>
              </w:tc>
              <w:tc>
                <w:tcPr>
                  <w:tcW w:w="1725" w:type="dxa"/>
                  <w:tcBorders>
                    <w:tl2br w:val="nil"/>
                    <w:tr2bl w:val="nil"/>
                  </w:tcBorders>
                  <w:noWrap w:val="0"/>
                  <w:vAlign w:val="center"/>
                </w:tcPr>
                <w:p w14:paraId="2F66A446">
                  <w:pPr>
                    <w:autoSpaceDE w:val="0"/>
                    <w:autoSpaceDN w:val="0"/>
                    <w:adjustRightInd w:val="0"/>
                    <w:snapToGrid w:val="0"/>
                    <w:jc w:val="center"/>
                    <w:rPr>
                      <w:rFonts w:hint="default"/>
                      <w:b w:val="0"/>
                      <w:bCs/>
                      <w:color w:val="auto"/>
                      <w:kern w:val="0"/>
                      <w:sz w:val="21"/>
                      <w:szCs w:val="21"/>
                      <w:highlight w:val="none"/>
                      <w:lang w:val="en-US" w:eastAsia="zh-CN"/>
                    </w:rPr>
                  </w:pPr>
                  <w:r>
                    <w:rPr>
                      <w:rFonts w:hint="eastAsia"/>
                      <w:b w:val="0"/>
                      <w:bCs/>
                      <w:color w:val="auto"/>
                      <w:kern w:val="0"/>
                      <w:sz w:val="21"/>
                      <w:szCs w:val="21"/>
                      <w:highlight w:val="none"/>
                      <w:lang w:val="en-US" w:eastAsia="zh-CN"/>
                    </w:rPr>
                    <w:t>1200</w:t>
                  </w:r>
                </w:p>
              </w:tc>
            </w:tr>
            <w:tr w14:paraId="372E41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63" w:type="dxa"/>
                  <w:vMerge w:val="continue"/>
                  <w:tcBorders>
                    <w:tl2br w:val="nil"/>
                    <w:tr2bl w:val="nil"/>
                  </w:tcBorders>
                  <w:noWrap w:val="0"/>
                  <w:vAlign w:val="center"/>
                </w:tcPr>
                <w:p w14:paraId="76894261">
                  <w:pPr>
                    <w:autoSpaceDE w:val="0"/>
                    <w:autoSpaceDN w:val="0"/>
                    <w:adjustRightInd w:val="0"/>
                    <w:snapToGrid w:val="0"/>
                    <w:jc w:val="center"/>
                    <w:rPr>
                      <w:b w:val="0"/>
                      <w:bCs/>
                      <w:color w:val="auto"/>
                      <w:kern w:val="0"/>
                      <w:sz w:val="21"/>
                      <w:szCs w:val="21"/>
                      <w:highlight w:val="none"/>
                    </w:rPr>
                  </w:pPr>
                </w:p>
              </w:tc>
              <w:tc>
                <w:tcPr>
                  <w:tcW w:w="1856" w:type="dxa"/>
                  <w:tcBorders>
                    <w:tl2br w:val="nil"/>
                    <w:tr2bl w:val="nil"/>
                  </w:tcBorders>
                  <w:noWrap w:val="0"/>
                  <w:vAlign w:val="center"/>
                </w:tcPr>
                <w:p w14:paraId="401456BD">
                  <w:pPr>
                    <w:autoSpaceDE w:val="0"/>
                    <w:autoSpaceDN w:val="0"/>
                    <w:adjustRightInd w:val="0"/>
                    <w:snapToGrid w:val="0"/>
                    <w:jc w:val="center"/>
                    <w:rPr>
                      <w:b w:val="0"/>
                      <w:bCs/>
                      <w:color w:val="auto"/>
                      <w:kern w:val="0"/>
                      <w:sz w:val="21"/>
                      <w:szCs w:val="21"/>
                      <w:highlight w:val="none"/>
                    </w:rPr>
                  </w:pPr>
                  <w:r>
                    <w:rPr>
                      <w:rFonts w:hAnsi="宋体"/>
                      <w:b w:val="0"/>
                      <w:bCs/>
                      <w:color w:val="auto"/>
                      <w:kern w:val="0"/>
                      <w:sz w:val="21"/>
                      <w:szCs w:val="21"/>
                      <w:highlight w:val="none"/>
                    </w:rPr>
                    <w:t>产生量（</w:t>
                  </w:r>
                  <w:r>
                    <w:rPr>
                      <w:b w:val="0"/>
                      <w:bCs/>
                      <w:color w:val="auto"/>
                      <w:kern w:val="0"/>
                      <w:sz w:val="21"/>
                      <w:szCs w:val="21"/>
                      <w:highlight w:val="none"/>
                    </w:rPr>
                    <w:t>t/a</w:t>
                  </w:r>
                  <w:r>
                    <w:rPr>
                      <w:rFonts w:hAnsi="宋体"/>
                      <w:b w:val="0"/>
                      <w:bCs/>
                      <w:color w:val="auto"/>
                      <w:kern w:val="0"/>
                      <w:sz w:val="21"/>
                      <w:szCs w:val="21"/>
                      <w:highlight w:val="none"/>
                    </w:rPr>
                    <w:t>）</w:t>
                  </w:r>
                </w:p>
              </w:tc>
              <w:tc>
                <w:tcPr>
                  <w:tcW w:w="1615" w:type="dxa"/>
                  <w:tcBorders>
                    <w:tl2br w:val="nil"/>
                    <w:tr2bl w:val="nil"/>
                  </w:tcBorders>
                  <w:noWrap w:val="0"/>
                  <w:vAlign w:val="center"/>
                </w:tcPr>
                <w:p w14:paraId="0653735F">
                  <w:pPr>
                    <w:widowControl/>
                    <w:jc w:val="center"/>
                    <w:textAlignment w:val="center"/>
                    <w:rPr>
                      <w:rFonts w:hint="default" w:eastAsia="宋体"/>
                      <w:b w:val="0"/>
                      <w:bCs/>
                      <w:color w:val="auto"/>
                      <w:sz w:val="21"/>
                      <w:szCs w:val="21"/>
                      <w:highlight w:val="none"/>
                      <w:lang w:val="en-US" w:eastAsia="zh-CN"/>
                    </w:rPr>
                  </w:pPr>
                  <w:r>
                    <w:rPr>
                      <w:rFonts w:hint="eastAsia"/>
                      <w:b w:val="0"/>
                      <w:bCs/>
                      <w:color w:val="auto"/>
                      <w:kern w:val="0"/>
                      <w:sz w:val="21"/>
                      <w:szCs w:val="21"/>
                      <w:highlight w:val="none"/>
                      <w:lang w:val="en-US" w:eastAsia="zh-CN"/>
                    </w:rPr>
                    <w:t>0.058</w:t>
                  </w:r>
                </w:p>
              </w:tc>
              <w:tc>
                <w:tcPr>
                  <w:tcW w:w="1388" w:type="dxa"/>
                  <w:tcBorders>
                    <w:tl2br w:val="nil"/>
                    <w:tr2bl w:val="nil"/>
                  </w:tcBorders>
                  <w:noWrap w:val="0"/>
                  <w:vAlign w:val="center"/>
                </w:tcPr>
                <w:p w14:paraId="49B7F5DC">
                  <w:pPr>
                    <w:autoSpaceDE w:val="0"/>
                    <w:autoSpaceDN w:val="0"/>
                    <w:adjustRightInd w:val="0"/>
                    <w:snapToGrid w:val="0"/>
                    <w:jc w:val="center"/>
                    <w:rPr>
                      <w:rFonts w:hint="default" w:eastAsia="宋体"/>
                      <w:b w:val="0"/>
                      <w:bCs/>
                      <w:color w:val="auto"/>
                      <w:kern w:val="0"/>
                      <w:sz w:val="21"/>
                      <w:szCs w:val="21"/>
                      <w:highlight w:val="none"/>
                      <w:lang w:val="en-US" w:eastAsia="zh-CN"/>
                    </w:rPr>
                  </w:pPr>
                  <w:r>
                    <w:rPr>
                      <w:rFonts w:hint="eastAsia"/>
                      <w:b w:val="0"/>
                      <w:bCs/>
                      <w:color w:val="auto"/>
                      <w:kern w:val="0"/>
                      <w:sz w:val="21"/>
                      <w:szCs w:val="21"/>
                      <w:highlight w:val="none"/>
                      <w:lang w:val="en-US" w:eastAsia="zh-CN"/>
                    </w:rPr>
                    <w:t>0.099</w:t>
                  </w:r>
                </w:p>
              </w:tc>
              <w:tc>
                <w:tcPr>
                  <w:tcW w:w="1425" w:type="dxa"/>
                  <w:tcBorders>
                    <w:tl2br w:val="nil"/>
                    <w:tr2bl w:val="nil"/>
                  </w:tcBorders>
                  <w:noWrap w:val="0"/>
                  <w:vAlign w:val="center"/>
                </w:tcPr>
                <w:p w14:paraId="078FD062">
                  <w:pPr>
                    <w:autoSpaceDE w:val="0"/>
                    <w:autoSpaceDN w:val="0"/>
                    <w:adjustRightInd w:val="0"/>
                    <w:snapToGrid w:val="0"/>
                    <w:jc w:val="center"/>
                    <w:rPr>
                      <w:rFonts w:hint="default" w:eastAsia="宋体"/>
                      <w:b w:val="0"/>
                      <w:bCs/>
                      <w:color w:val="auto"/>
                      <w:kern w:val="0"/>
                      <w:sz w:val="21"/>
                      <w:szCs w:val="21"/>
                      <w:highlight w:val="none"/>
                      <w:lang w:val="en-US" w:eastAsia="zh-CN"/>
                    </w:rPr>
                  </w:pPr>
                  <w:r>
                    <w:rPr>
                      <w:rFonts w:hint="eastAsia"/>
                      <w:b w:val="0"/>
                      <w:bCs/>
                      <w:color w:val="auto"/>
                      <w:kern w:val="0"/>
                      <w:sz w:val="21"/>
                      <w:szCs w:val="21"/>
                      <w:highlight w:val="none"/>
                      <w:lang w:val="en-US" w:eastAsia="zh-CN"/>
                    </w:rPr>
                    <w:t>0.0099</w:t>
                  </w:r>
                </w:p>
              </w:tc>
              <w:tc>
                <w:tcPr>
                  <w:tcW w:w="1725" w:type="dxa"/>
                  <w:tcBorders>
                    <w:tl2br w:val="nil"/>
                    <w:tr2bl w:val="nil"/>
                  </w:tcBorders>
                  <w:noWrap w:val="0"/>
                  <w:vAlign w:val="center"/>
                </w:tcPr>
                <w:p w14:paraId="23D1A4EE">
                  <w:pPr>
                    <w:autoSpaceDE w:val="0"/>
                    <w:autoSpaceDN w:val="0"/>
                    <w:adjustRightInd w:val="0"/>
                    <w:snapToGrid w:val="0"/>
                    <w:jc w:val="center"/>
                    <w:rPr>
                      <w:rFonts w:hint="default" w:eastAsia="宋体"/>
                      <w:b w:val="0"/>
                      <w:bCs/>
                      <w:color w:val="auto"/>
                      <w:kern w:val="0"/>
                      <w:sz w:val="21"/>
                      <w:szCs w:val="21"/>
                      <w:highlight w:val="none"/>
                      <w:lang w:val="en-US" w:eastAsia="zh-CN"/>
                    </w:rPr>
                  </w:pPr>
                  <w:r>
                    <w:rPr>
                      <w:rFonts w:hint="eastAsia"/>
                      <w:b w:val="0"/>
                      <w:bCs/>
                      <w:color w:val="auto"/>
                      <w:kern w:val="0"/>
                      <w:sz w:val="21"/>
                      <w:szCs w:val="21"/>
                      <w:highlight w:val="none"/>
                      <w:lang w:val="en-US" w:eastAsia="zh-CN"/>
                    </w:rPr>
                    <w:t>1.187</w:t>
                  </w:r>
                </w:p>
              </w:tc>
            </w:tr>
          </w:tbl>
          <w:p w14:paraId="158851EC">
            <w:pPr>
              <w:adjustRightInd w:val="0"/>
              <w:snapToGrid w:val="0"/>
              <w:spacing w:line="360" w:lineRule="auto"/>
              <w:ind w:firstLine="480" w:firstLineChars="200"/>
              <w:rPr>
                <w:rFonts w:hint="default" w:eastAsia="宋体" w:cs="宋体"/>
                <w:b w:val="0"/>
                <w:bCs/>
                <w:color w:val="auto"/>
                <w:kern w:val="0"/>
                <w:sz w:val="24"/>
                <w:szCs w:val="24"/>
                <w:highlight w:val="none"/>
                <w:lang w:val="en-US" w:eastAsia="zh-CN"/>
              </w:rPr>
            </w:pPr>
            <w:r>
              <w:rPr>
                <w:rFonts w:hint="eastAsia" w:cs="宋体"/>
                <w:b w:val="0"/>
                <w:bCs/>
                <w:color w:val="auto"/>
                <w:kern w:val="0"/>
                <w:sz w:val="24"/>
                <w:szCs w:val="24"/>
                <w:highlight w:val="none"/>
                <w:lang w:val="en-US" w:eastAsia="zh-CN"/>
              </w:rPr>
              <w:t>由上表可知，项目锅炉排污水和软化水设备排水水质简单，污染物浓度低于《污水综合排放标准》（GB8978-1996）中的三级标准及《污水排入城镇下水道水质标准》（GB/T31962-2015）中的B级标准，可达标排放</w:t>
            </w:r>
            <w:r>
              <w:rPr>
                <w:rFonts w:hAnsi="宋体"/>
                <w:color w:val="auto"/>
                <w:sz w:val="24"/>
                <w:szCs w:val="24"/>
                <w:highlight w:val="none"/>
              </w:rPr>
              <w:t>。</w:t>
            </w:r>
          </w:p>
          <w:p w14:paraId="55A56DA9">
            <w:pPr>
              <w:adjustRightInd w:val="0"/>
              <w:snapToGrid w:val="0"/>
              <w:spacing w:line="360" w:lineRule="auto"/>
              <w:ind w:firstLine="482" w:firstLineChars="200"/>
              <w:rPr>
                <w:rFonts w:cs="宋体"/>
                <w:b/>
                <w:bCs w:val="0"/>
                <w:iCs/>
                <w:color w:val="auto"/>
                <w:kern w:val="0"/>
                <w:sz w:val="24"/>
                <w:szCs w:val="24"/>
                <w:highlight w:val="none"/>
              </w:rPr>
            </w:pPr>
            <w:r>
              <w:rPr>
                <w:rFonts w:hint="eastAsia" w:cs="宋体"/>
                <w:b/>
                <w:bCs w:val="0"/>
                <w:color w:val="auto"/>
                <w:kern w:val="0"/>
                <w:sz w:val="24"/>
                <w:szCs w:val="24"/>
                <w:highlight w:val="none"/>
              </w:rPr>
              <w:t>2.</w:t>
            </w:r>
            <w:r>
              <w:rPr>
                <w:rFonts w:hint="eastAsia" w:cs="宋体"/>
                <w:b/>
                <w:bCs w:val="0"/>
                <w:color w:val="auto"/>
                <w:kern w:val="0"/>
                <w:sz w:val="24"/>
                <w:szCs w:val="24"/>
                <w:highlight w:val="none"/>
                <w:lang w:val="en-US" w:eastAsia="zh-CN"/>
              </w:rPr>
              <w:t>2</w:t>
            </w:r>
            <w:r>
              <w:rPr>
                <w:rFonts w:hint="eastAsia" w:cs="宋体"/>
                <w:b/>
                <w:bCs w:val="0"/>
                <w:iCs/>
                <w:color w:val="auto"/>
                <w:kern w:val="0"/>
                <w:sz w:val="24"/>
                <w:szCs w:val="24"/>
                <w:highlight w:val="none"/>
              </w:rPr>
              <w:t>依托污水处理厂可行性分析</w:t>
            </w:r>
          </w:p>
          <w:p w14:paraId="01C57FD5">
            <w:pPr>
              <w:spacing w:line="360" w:lineRule="auto"/>
              <w:ind w:firstLine="480" w:firstLineChars="200"/>
              <w:rPr>
                <w:rFonts w:hint="eastAsia" w:hAnsi="宋体"/>
                <w:b w:val="0"/>
                <w:bCs/>
                <w:color w:val="auto"/>
                <w:sz w:val="24"/>
                <w:szCs w:val="24"/>
                <w:highlight w:val="none"/>
                <w:lang w:eastAsia="zh-CN"/>
              </w:rPr>
            </w:pPr>
            <w:r>
              <w:rPr>
                <w:rFonts w:hint="eastAsia" w:hAnsi="宋体"/>
                <w:b w:val="0"/>
                <w:bCs/>
                <w:color w:val="auto"/>
                <w:sz w:val="24"/>
                <w:szCs w:val="24"/>
                <w:highlight w:val="none"/>
                <w:lang w:eastAsia="zh-CN"/>
              </w:rPr>
              <w:t>太白县污水处理厂位于距县城1.5公里的牛家沟河、龟川河、石沟河三河交汇处，原污水处理厂处理规模为4000m</w:t>
            </w:r>
            <w:r>
              <w:rPr>
                <w:rFonts w:hint="eastAsia" w:hAnsi="宋体"/>
                <w:b w:val="0"/>
                <w:bCs/>
                <w:color w:val="auto"/>
                <w:sz w:val="24"/>
                <w:szCs w:val="24"/>
                <w:highlight w:val="none"/>
                <w:vertAlign w:val="superscript"/>
                <w:lang w:eastAsia="zh-CN"/>
              </w:rPr>
              <w:t>3</w:t>
            </w:r>
            <w:r>
              <w:rPr>
                <w:rFonts w:hint="eastAsia" w:hAnsi="宋体"/>
                <w:b w:val="0"/>
                <w:bCs/>
                <w:color w:val="auto"/>
                <w:sz w:val="24"/>
                <w:szCs w:val="24"/>
                <w:highlight w:val="none"/>
                <w:lang w:eastAsia="zh-CN"/>
              </w:rPr>
              <w:t>，</w:t>
            </w:r>
            <w:r>
              <w:rPr>
                <w:rFonts w:hint="eastAsia" w:hAnsi="宋体"/>
                <w:b w:val="0"/>
                <w:bCs/>
                <w:color w:val="auto"/>
                <w:sz w:val="24"/>
                <w:szCs w:val="24"/>
                <w:highlight w:val="none"/>
                <w:lang w:val="en-US" w:eastAsia="zh-CN"/>
              </w:rPr>
              <w:t>在原污水处理厂旁</w:t>
            </w:r>
            <w:r>
              <w:rPr>
                <w:rFonts w:hint="eastAsia" w:hAnsi="宋体"/>
                <w:b w:val="0"/>
                <w:bCs/>
                <w:color w:val="auto"/>
                <w:sz w:val="24"/>
                <w:szCs w:val="24"/>
                <w:highlight w:val="none"/>
                <w:lang w:eastAsia="zh-CN"/>
              </w:rPr>
              <w:t>新建一座污水处理厂，处理能力为5000m</w:t>
            </w:r>
            <w:r>
              <w:rPr>
                <w:rFonts w:hint="eastAsia" w:hAnsi="宋体"/>
                <w:b w:val="0"/>
                <w:bCs/>
                <w:color w:val="auto"/>
                <w:sz w:val="24"/>
                <w:szCs w:val="24"/>
                <w:highlight w:val="none"/>
                <w:vertAlign w:val="superscript"/>
                <w:lang w:eastAsia="zh-CN"/>
              </w:rPr>
              <w:t>3</w:t>
            </w:r>
            <w:r>
              <w:rPr>
                <w:rFonts w:hint="eastAsia" w:hAnsi="宋体"/>
                <w:b w:val="0"/>
                <w:bCs/>
                <w:color w:val="auto"/>
                <w:sz w:val="24"/>
                <w:szCs w:val="24"/>
                <w:highlight w:val="none"/>
                <w:lang w:eastAsia="zh-CN"/>
              </w:rPr>
              <w:t>，</w:t>
            </w:r>
            <w:r>
              <w:rPr>
                <w:rFonts w:hint="eastAsia" w:hAnsi="宋体"/>
                <w:b w:val="0"/>
                <w:bCs/>
                <w:color w:val="auto"/>
                <w:sz w:val="24"/>
                <w:szCs w:val="24"/>
                <w:highlight w:val="none"/>
                <w:lang w:val="en-US" w:eastAsia="zh-CN"/>
              </w:rPr>
              <w:t>处理工艺为</w:t>
            </w:r>
            <w:r>
              <w:rPr>
                <w:rFonts w:hint="eastAsia" w:hAnsi="宋体"/>
                <w:b w:val="0"/>
                <w:bCs/>
                <w:color w:val="auto"/>
                <w:sz w:val="24"/>
                <w:szCs w:val="24"/>
                <w:highlight w:val="none"/>
                <w:lang w:eastAsia="zh-CN"/>
              </w:rPr>
              <w:t>格栅—提升泵房—旋流沉沙池—调节池—厌氧池—缺氧池—好氧池—后缺氧池—后好氧池—二沉池—混凝池—普快滤池—回用水池—接触消毒池，出水执行《陕西省黄河流域污水综合排放标准》DB61/224-2018中的A类标准。</w:t>
            </w:r>
          </w:p>
          <w:p w14:paraId="4FC91551">
            <w:pPr>
              <w:spacing w:line="360" w:lineRule="auto"/>
              <w:ind w:firstLine="480" w:firstLineChars="200"/>
              <w:rPr>
                <w:rFonts w:hint="eastAsia" w:hAnsi="宋体"/>
                <w:b w:val="0"/>
                <w:bCs/>
                <w:color w:val="auto"/>
                <w:sz w:val="24"/>
                <w:szCs w:val="24"/>
                <w:highlight w:val="none"/>
                <w:lang w:eastAsia="zh-CN"/>
              </w:rPr>
            </w:pPr>
            <w:r>
              <w:rPr>
                <w:rFonts w:hint="eastAsia" w:hAnsi="宋体"/>
                <w:b w:val="0"/>
                <w:bCs/>
                <w:color w:val="auto"/>
                <w:sz w:val="24"/>
                <w:szCs w:val="24"/>
                <w:highlight w:val="none"/>
                <w:lang w:eastAsia="zh-CN"/>
              </w:rPr>
              <w:t>本项目供热站均位于县城建成区。所在地污水管网均已建成，</w:t>
            </w:r>
            <w:r>
              <w:rPr>
                <w:rFonts w:hint="eastAsia" w:hAnsi="宋体"/>
                <w:b w:val="0"/>
                <w:bCs/>
                <w:color w:val="auto"/>
                <w:sz w:val="24"/>
                <w:szCs w:val="24"/>
                <w:highlight w:val="none"/>
                <w:lang w:val="en-US" w:eastAsia="zh-CN"/>
              </w:rPr>
              <w:t>锅炉排放废水</w:t>
            </w:r>
            <w:r>
              <w:rPr>
                <w:rFonts w:hint="eastAsia" w:hAnsi="宋体"/>
                <w:b w:val="0"/>
                <w:bCs/>
                <w:color w:val="auto"/>
                <w:sz w:val="24"/>
                <w:szCs w:val="24"/>
                <w:highlight w:val="none"/>
                <w:lang w:eastAsia="zh-CN"/>
              </w:rPr>
              <w:t>能够完全纳入太白县污水管网，本项目</w:t>
            </w:r>
            <w:r>
              <w:rPr>
                <w:rFonts w:hint="eastAsia" w:hAnsi="宋体"/>
                <w:b w:val="0"/>
                <w:bCs/>
                <w:color w:val="auto"/>
                <w:sz w:val="24"/>
                <w:szCs w:val="24"/>
                <w:highlight w:val="none"/>
                <w:lang w:val="en-US" w:eastAsia="zh-CN"/>
              </w:rPr>
              <w:t>废水</w:t>
            </w:r>
            <w:r>
              <w:rPr>
                <w:rFonts w:hint="eastAsia" w:hAnsi="宋体"/>
                <w:b w:val="0"/>
                <w:bCs/>
                <w:color w:val="auto"/>
                <w:sz w:val="24"/>
                <w:szCs w:val="24"/>
                <w:highlight w:val="none"/>
                <w:lang w:eastAsia="zh-CN"/>
              </w:rPr>
              <w:t>排放量</w:t>
            </w:r>
            <w:r>
              <w:rPr>
                <w:rFonts w:hint="eastAsia" w:cs="Times New Roman"/>
                <w:color w:val="auto"/>
                <w:sz w:val="24"/>
                <w:szCs w:val="24"/>
                <w:highlight w:val="none"/>
                <w:lang w:val="en-US" w:eastAsia="zh-CN"/>
              </w:rPr>
              <w:t>7.61</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/d（</w:t>
            </w:r>
            <w:r>
              <w:rPr>
                <w:rFonts w:hint="eastAsia" w:cs="Times New Roman"/>
                <w:color w:val="auto"/>
                <w:sz w:val="24"/>
                <w:szCs w:val="24"/>
                <w:highlight w:val="none"/>
                <w:lang w:val="en-US" w:eastAsia="zh-CN"/>
              </w:rPr>
              <w:t>989.2</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eastAsia" w:hAnsi="宋体"/>
                <w:b w:val="0"/>
                <w:bCs/>
                <w:color w:val="auto"/>
                <w:sz w:val="24"/>
                <w:szCs w:val="24"/>
                <w:highlight w:val="none"/>
                <w:lang w:eastAsia="zh-CN"/>
              </w:rPr>
              <w:t>，仅占污水处理厂处理规模的</w:t>
            </w:r>
            <w:r>
              <w:rPr>
                <w:rFonts w:hint="eastAsia" w:hAnsi="宋体"/>
                <w:b w:val="0"/>
                <w:bCs/>
                <w:color w:val="auto"/>
                <w:sz w:val="24"/>
                <w:szCs w:val="24"/>
                <w:highlight w:val="none"/>
                <w:lang w:val="en-US" w:eastAsia="zh-CN"/>
              </w:rPr>
              <w:t>0.1</w:t>
            </w:r>
            <w:r>
              <w:rPr>
                <w:rFonts w:hint="eastAsia" w:hAnsi="宋体"/>
                <w:b w:val="0"/>
                <w:bCs/>
                <w:color w:val="auto"/>
                <w:sz w:val="24"/>
                <w:szCs w:val="24"/>
                <w:highlight w:val="none"/>
                <w:lang w:eastAsia="zh-CN"/>
              </w:rPr>
              <w:t>%，对污水处理厂的水质不会造成冲击影响，依托太白县污水处理厂可行。</w:t>
            </w:r>
          </w:p>
          <w:p w14:paraId="38CA273E">
            <w:pPr>
              <w:adjustRightInd w:val="0"/>
              <w:snapToGrid w:val="0"/>
              <w:spacing w:line="360" w:lineRule="auto"/>
              <w:ind w:firstLine="482" w:firstLineChars="200"/>
              <w:jc w:val="left"/>
              <w:rPr>
                <w:b/>
                <w:bCs w:val="0"/>
                <w:color w:val="auto"/>
                <w:kern w:val="0"/>
                <w:sz w:val="24"/>
                <w:szCs w:val="24"/>
                <w:highlight w:val="none"/>
              </w:rPr>
            </w:pPr>
            <w:r>
              <w:rPr>
                <w:rFonts w:hint="eastAsia"/>
                <w:b/>
                <w:bCs w:val="0"/>
                <w:color w:val="auto"/>
                <w:kern w:val="0"/>
                <w:sz w:val="24"/>
                <w:szCs w:val="24"/>
                <w:highlight w:val="none"/>
              </w:rPr>
              <w:t>2.</w:t>
            </w:r>
            <w:r>
              <w:rPr>
                <w:rFonts w:hint="eastAsia"/>
                <w:b/>
                <w:bCs w:val="0"/>
                <w:color w:val="auto"/>
                <w:kern w:val="0"/>
                <w:sz w:val="24"/>
                <w:szCs w:val="24"/>
                <w:highlight w:val="none"/>
                <w:lang w:val="en-US" w:eastAsia="zh-CN"/>
              </w:rPr>
              <w:t>3</w:t>
            </w:r>
            <w:r>
              <w:rPr>
                <w:rFonts w:hint="eastAsia"/>
                <w:b/>
                <w:bCs w:val="0"/>
                <w:color w:val="auto"/>
                <w:kern w:val="0"/>
                <w:sz w:val="24"/>
                <w:szCs w:val="24"/>
                <w:highlight w:val="none"/>
              </w:rPr>
              <w:t>废水环境影响评价结论</w:t>
            </w:r>
          </w:p>
          <w:p w14:paraId="242C700B">
            <w:pPr>
              <w:adjustRightInd w:val="0"/>
              <w:snapToGrid w:val="0"/>
              <w:spacing w:line="360" w:lineRule="auto"/>
              <w:ind w:firstLine="480" w:firstLineChars="200"/>
              <w:rPr>
                <w:b w:val="0"/>
                <w:bCs/>
                <w:color w:val="auto"/>
                <w:sz w:val="24"/>
                <w:szCs w:val="24"/>
                <w:highlight w:val="none"/>
              </w:rPr>
            </w:pPr>
            <w:r>
              <w:rPr>
                <w:color w:val="auto"/>
                <w:sz w:val="24"/>
                <w:szCs w:val="24"/>
                <w:highlight w:val="none"/>
              </w:rPr>
              <w:t>本项目锅炉排污水和</w:t>
            </w:r>
            <w:r>
              <w:rPr>
                <w:rFonts w:hint="eastAsia"/>
                <w:color w:val="auto"/>
                <w:sz w:val="24"/>
                <w:szCs w:val="24"/>
                <w:highlight w:val="none"/>
              </w:rPr>
              <w:t>软化制备系统</w:t>
            </w:r>
            <w:r>
              <w:rPr>
                <w:rFonts w:hint="eastAsia"/>
                <w:color w:val="auto"/>
                <w:sz w:val="24"/>
                <w:szCs w:val="24"/>
                <w:highlight w:val="none"/>
                <w:lang w:eastAsia="zh-CN"/>
              </w:rPr>
              <w:t>排水经</w:t>
            </w:r>
            <w:r>
              <w:rPr>
                <w:rFonts w:hint="eastAsia"/>
                <w:color w:val="auto"/>
                <w:sz w:val="24"/>
                <w:szCs w:val="24"/>
                <w:highlight w:val="none"/>
                <w:lang w:val="en-US" w:eastAsia="zh-CN"/>
              </w:rPr>
              <w:t>排污池冷却后</w:t>
            </w:r>
            <w:r>
              <w:rPr>
                <w:rFonts w:hint="eastAsia"/>
                <w:color w:val="auto"/>
                <w:sz w:val="24"/>
                <w:szCs w:val="24"/>
                <w:highlight w:val="none"/>
              </w:rPr>
              <w:t>排入</w:t>
            </w:r>
            <w:r>
              <w:rPr>
                <w:rFonts w:hint="eastAsia"/>
                <w:color w:val="auto"/>
                <w:sz w:val="24"/>
                <w:szCs w:val="24"/>
                <w:highlight w:val="none"/>
                <w:lang w:val="en-US" w:eastAsia="zh-CN"/>
              </w:rPr>
              <w:t>小区化粪池，经化粪池预处理后排入</w:t>
            </w:r>
            <w:r>
              <w:rPr>
                <w:rFonts w:hint="eastAsia"/>
                <w:color w:val="auto"/>
                <w:sz w:val="24"/>
                <w:szCs w:val="24"/>
                <w:highlight w:val="none"/>
              </w:rPr>
              <w:t>市政管网</w:t>
            </w:r>
            <w:r>
              <w:rPr>
                <w:rFonts w:hint="eastAsia"/>
                <w:b w:val="0"/>
                <w:bCs/>
                <w:color w:val="auto"/>
                <w:sz w:val="24"/>
                <w:szCs w:val="24"/>
                <w:highlight w:val="none"/>
              </w:rPr>
              <w:t>，排放废水符合《污水排入城镇下水道水质标准》（GB/T31962-2015）</w:t>
            </w:r>
            <w:r>
              <w:rPr>
                <w:rFonts w:hint="eastAsia"/>
                <w:b w:val="0"/>
                <w:bCs/>
                <w:color w:val="auto"/>
                <w:sz w:val="24"/>
                <w:szCs w:val="24"/>
                <w:highlight w:val="none"/>
                <w:lang w:val="en-US" w:eastAsia="zh-CN"/>
              </w:rPr>
              <w:t>B标准和</w:t>
            </w:r>
            <w:r>
              <w:rPr>
                <w:rFonts w:hint="eastAsia"/>
                <w:b w:val="0"/>
                <w:bCs/>
                <w:color w:val="auto"/>
                <w:sz w:val="24"/>
                <w:szCs w:val="24"/>
                <w:highlight w:val="none"/>
              </w:rPr>
              <w:t>《污水综合排放标准》（GB8978-1996）中三级标准限值，且</w:t>
            </w:r>
            <w:r>
              <w:rPr>
                <w:rFonts w:hint="eastAsia"/>
                <w:b w:val="0"/>
                <w:bCs/>
                <w:color w:val="auto"/>
                <w:sz w:val="24"/>
                <w:szCs w:val="24"/>
                <w:highlight w:val="none"/>
                <w:lang w:eastAsia="zh-CN"/>
              </w:rPr>
              <w:t>太白县污水处理厂</w:t>
            </w:r>
            <w:r>
              <w:rPr>
                <w:rFonts w:hint="eastAsia"/>
                <w:b w:val="0"/>
                <w:bCs/>
                <w:color w:val="auto"/>
                <w:sz w:val="24"/>
                <w:szCs w:val="24"/>
                <w:highlight w:val="none"/>
              </w:rPr>
              <w:t>目前有剩余的处理量可接纳项目排放的废水，</w:t>
            </w:r>
            <w:r>
              <w:rPr>
                <w:rFonts w:hint="eastAsia"/>
                <w:b w:val="0"/>
                <w:bCs/>
                <w:color w:val="auto"/>
                <w:sz w:val="24"/>
                <w:szCs w:val="24"/>
                <w:highlight w:val="none"/>
                <w:lang w:val="en-US" w:eastAsia="zh-CN"/>
              </w:rPr>
              <w:t>因此</w:t>
            </w:r>
            <w:r>
              <w:rPr>
                <w:rFonts w:hint="eastAsia"/>
                <w:b w:val="0"/>
                <w:bCs/>
                <w:color w:val="auto"/>
                <w:sz w:val="24"/>
                <w:szCs w:val="24"/>
                <w:highlight w:val="none"/>
              </w:rPr>
              <w:t>项目产生的废水不会对周围水环境造成明显的影响。</w:t>
            </w:r>
          </w:p>
          <w:p w14:paraId="3C617281">
            <w:pPr>
              <w:spacing w:line="360" w:lineRule="auto"/>
              <w:ind w:firstLine="482" w:firstLineChars="200"/>
              <w:rPr>
                <w:rFonts w:ascii="Times New Roman" w:hAnsi="Times New Roman" w:eastAsia="宋体" w:cs="Times New Roman"/>
                <w:b/>
                <w:bCs w:val="0"/>
                <w:color w:val="auto"/>
                <w:sz w:val="24"/>
                <w:szCs w:val="24"/>
                <w:highlight w:val="none"/>
              </w:rPr>
            </w:pPr>
            <w:r>
              <w:rPr>
                <w:rFonts w:hint="eastAsia" w:ascii="Times New Roman" w:hAnsi="Times New Roman" w:eastAsia="宋体" w:cs="Times New Roman"/>
                <w:b/>
                <w:bCs w:val="0"/>
                <w:color w:val="auto"/>
                <w:sz w:val="24"/>
                <w:szCs w:val="24"/>
                <w:highlight w:val="none"/>
                <w:lang w:val="en-US" w:eastAsia="zh-CN"/>
              </w:rPr>
              <w:t>2.4</w:t>
            </w:r>
            <w:r>
              <w:rPr>
                <w:rFonts w:hint="eastAsia" w:ascii="Times New Roman" w:hAnsi="Times New Roman" w:eastAsia="宋体" w:cs="Times New Roman"/>
                <w:b/>
                <w:bCs w:val="0"/>
                <w:color w:val="auto"/>
                <w:sz w:val="24"/>
                <w:szCs w:val="24"/>
                <w:highlight w:val="none"/>
              </w:rPr>
              <w:t>废水监测计划</w:t>
            </w:r>
          </w:p>
          <w:p w14:paraId="7E84FBF6">
            <w:pPr>
              <w:spacing w:line="360" w:lineRule="auto"/>
              <w:ind w:firstLine="480" w:firstLineChars="200"/>
              <w:rPr>
                <w:rFonts w:ascii="Times New Roman" w:hAnsi="Times New Roman" w:eastAsia="宋体" w:cs="Times New Roman"/>
                <w:b w:val="0"/>
                <w:bCs/>
                <w:color w:val="auto"/>
                <w:sz w:val="24"/>
                <w:szCs w:val="24"/>
                <w:highlight w:val="none"/>
              </w:rPr>
            </w:pPr>
            <w:r>
              <w:rPr>
                <w:rFonts w:hint="eastAsia" w:ascii="Times New Roman" w:hAnsi="Times New Roman" w:eastAsia="宋体" w:cs="Times New Roman"/>
                <w:b w:val="0"/>
                <w:bCs/>
                <w:color w:val="auto"/>
                <w:sz w:val="24"/>
                <w:szCs w:val="24"/>
                <w:highlight w:val="none"/>
              </w:rPr>
              <w:t>根据</w:t>
            </w:r>
            <w:r>
              <w:rPr>
                <w:rFonts w:hint="eastAsia"/>
                <w:color w:val="auto"/>
                <w:kern w:val="0"/>
                <w:sz w:val="24"/>
                <w:szCs w:val="24"/>
                <w:highlight w:val="none"/>
              </w:rPr>
              <w:t>《</w:t>
            </w:r>
            <w:r>
              <w:rPr>
                <w:rFonts w:hint="eastAsia"/>
                <w:color w:val="auto"/>
                <w:kern w:val="0"/>
                <w:sz w:val="24"/>
                <w:szCs w:val="24"/>
                <w:highlight w:val="none"/>
                <w:lang w:eastAsia="zh-CN"/>
              </w:rPr>
              <w:t>排污单位自行监测技术指南 火力发电及锅炉</w:t>
            </w:r>
            <w:r>
              <w:rPr>
                <w:rFonts w:hint="eastAsia"/>
                <w:color w:val="auto"/>
                <w:kern w:val="0"/>
                <w:sz w:val="24"/>
                <w:szCs w:val="24"/>
                <w:highlight w:val="none"/>
              </w:rPr>
              <w:t>》</w:t>
            </w:r>
            <w:r>
              <w:rPr>
                <w:rFonts w:hint="eastAsia"/>
                <w:color w:val="auto"/>
                <w:kern w:val="0"/>
                <w:sz w:val="24"/>
                <w:szCs w:val="24"/>
                <w:highlight w:val="none"/>
                <w:lang w:eastAsia="zh-CN"/>
              </w:rPr>
              <w:t>(HJ 820-2017)</w:t>
            </w:r>
            <w:r>
              <w:rPr>
                <w:rFonts w:hint="eastAsia" w:ascii="Times New Roman" w:hAnsi="Times New Roman" w:eastAsia="宋体" w:cs="Times New Roman"/>
                <w:b w:val="0"/>
                <w:bCs/>
                <w:color w:val="auto"/>
                <w:sz w:val="24"/>
                <w:szCs w:val="24"/>
                <w:highlight w:val="none"/>
                <w:lang w:eastAsia="zh-CN"/>
              </w:rPr>
              <w:t>，</w:t>
            </w:r>
            <w:r>
              <w:rPr>
                <w:rFonts w:hint="eastAsia" w:ascii="Times New Roman" w:hAnsi="Times New Roman" w:eastAsia="宋体" w:cs="Times New Roman"/>
                <w:b w:val="0"/>
                <w:bCs/>
                <w:color w:val="auto"/>
                <w:sz w:val="24"/>
                <w:szCs w:val="24"/>
                <w:highlight w:val="none"/>
                <w:lang w:val="en-US" w:eastAsia="zh-CN"/>
              </w:rPr>
              <w:t>项目</w:t>
            </w:r>
            <w:r>
              <w:rPr>
                <w:rFonts w:hint="eastAsia" w:ascii="Times New Roman" w:hAnsi="Times New Roman" w:eastAsia="宋体" w:cs="Times New Roman"/>
                <w:b w:val="0"/>
                <w:bCs/>
                <w:color w:val="auto"/>
                <w:sz w:val="24"/>
                <w:szCs w:val="24"/>
                <w:highlight w:val="none"/>
                <w:lang w:eastAsia="zh-CN"/>
              </w:rPr>
              <w:t>废水</w:t>
            </w:r>
            <w:r>
              <w:rPr>
                <w:rFonts w:hint="eastAsia" w:ascii="Times New Roman" w:hAnsi="Times New Roman" w:eastAsia="宋体" w:cs="Times New Roman"/>
                <w:b w:val="0"/>
                <w:bCs/>
                <w:color w:val="auto"/>
                <w:sz w:val="24"/>
                <w:szCs w:val="24"/>
                <w:highlight w:val="none"/>
              </w:rPr>
              <w:t>监测计划见</w:t>
            </w:r>
            <w:r>
              <w:rPr>
                <w:rFonts w:hint="eastAsia" w:cs="Times New Roman"/>
                <w:b w:val="0"/>
                <w:bCs/>
                <w:color w:val="auto"/>
                <w:sz w:val="24"/>
                <w:szCs w:val="24"/>
                <w:highlight w:val="none"/>
                <w:lang w:val="en-US" w:eastAsia="zh-CN"/>
              </w:rPr>
              <w:t>表4-6</w:t>
            </w:r>
            <w:r>
              <w:rPr>
                <w:rFonts w:hint="eastAsia" w:ascii="Times New Roman" w:hAnsi="Times New Roman" w:eastAsia="宋体" w:cs="Times New Roman"/>
                <w:b w:val="0"/>
                <w:bCs/>
                <w:color w:val="auto"/>
                <w:sz w:val="24"/>
                <w:szCs w:val="24"/>
                <w:highlight w:val="none"/>
              </w:rPr>
              <w:t>。</w:t>
            </w:r>
          </w:p>
          <w:p w14:paraId="32F122D6">
            <w:pPr>
              <w:spacing w:line="240" w:lineRule="auto"/>
              <w:ind w:firstLine="482" w:firstLineChars="200"/>
              <w:jc w:val="center"/>
              <w:rPr>
                <w:rFonts w:ascii="Times New Roman" w:hAnsi="Times New Roman" w:eastAsia="宋体" w:cs="Times New Roman"/>
                <w:b/>
                <w:bCs w:val="0"/>
                <w:color w:val="auto"/>
                <w:sz w:val="24"/>
                <w:szCs w:val="24"/>
                <w:highlight w:val="none"/>
              </w:rPr>
            </w:pPr>
            <w:r>
              <w:rPr>
                <w:rFonts w:hint="eastAsia" w:ascii="Times New Roman" w:hAnsi="Times New Roman" w:eastAsia="宋体" w:cs="Times New Roman"/>
                <w:b/>
                <w:bCs w:val="0"/>
                <w:color w:val="auto"/>
                <w:sz w:val="24"/>
                <w:szCs w:val="24"/>
                <w:highlight w:val="none"/>
              </w:rPr>
              <w:t>表</w:t>
            </w:r>
            <w:r>
              <w:rPr>
                <w:rFonts w:ascii="Times New Roman" w:hAnsi="Times New Roman" w:eastAsia="宋体" w:cs="Times New Roman"/>
                <w:b/>
                <w:bCs w:val="0"/>
                <w:color w:val="auto"/>
                <w:sz w:val="24"/>
                <w:szCs w:val="24"/>
                <w:highlight w:val="none"/>
              </w:rPr>
              <w:t>4-</w:t>
            </w:r>
            <w:r>
              <w:rPr>
                <w:rFonts w:hint="eastAsia" w:ascii="Times New Roman" w:hAnsi="Times New Roman" w:eastAsia="宋体" w:cs="Times New Roman"/>
                <w:b/>
                <w:bCs w:val="0"/>
                <w:color w:val="auto"/>
                <w:sz w:val="24"/>
                <w:szCs w:val="24"/>
                <w:highlight w:val="none"/>
                <w:lang w:val="en-US" w:eastAsia="zh-CN"/>
              </w:rPr>
              <w:t>6</w:t>
            </w:r>
            <w:r>
              <w:rPr>
                <w:rFonts w:ascii="Times New Roman" w:hAnsi="Times New Roman" w:eastAsia="宋体" w:cs="Times New Roman"/>
                <w:b/>
                <w:bCs w:val="0"/>
                <w:color w:val="auto"/>
                <w:sz w:val="24"/>
                <w:szCs w:val="24"/>
                <w:highlight w:val="none"/>
              </w:rPr>
              <w:t xml:space="preserve">  </w:t>
            </w:r>
            <w:r>
              <w:rPr>
                <w:rFonts w:hint="eastAsia" w:ascii="Times New Roman" w:hAnsi="Times New Roman" w:eastAsia="宋体" w:cs="Times New Roman"/>
                <w:b/>
                <w:bCs w:val="0"/>
                <w:color w:val="auto"/>
                <w:sz w:val="24"/>
                <w:szCs w:val="24"/>
                <w:highlight w:val="none"/>
                <w:lang w:val="en-US" w:eastAsia="zh-CN"/>
              </w:rPr>
              <w:t xml:space="preserve"> 项目</w:t>
            </w:r>
            <w:r>
              <w:rPr>
                <w:rFonts w:hint="eastAsia" w:cs="Times New Roman"/>
                <w:b/>
                <w:bCs w:val="0"/>
                <w:color w:val="auto"/>
                <w:sz w:val="24"/>
                <w:szCs w:val="24"/>
                <w:highlight w:val="none"/>
                <w:lang w:val="en-US" w:eastAsia="zh-CN"/>
              </w:rPr>
              <w:t>供热站</w:t>
            </w:r>
            <w:r>
              <w:rPr>
                <w:rFonts w:hint="eastAsia" w:ascii="Times New Roman" w:hAnsi="Times New Roman" w:eastAsia="宋体" w:cs="Times New Roman"/>
                <w:b/>
                <w:bCs w:val="0"/>
                <w:color w:val="auto"/>
                <w:sz w:val="24"/>
                <w:szCs w:val="24"/>
                <w:highlight w:val="none"/>
              </w:rPr>
              <w:t>废水监测计划表</w:t>
            </w:r>
          </w:p>
          <w:tbl>
            <w:tblPr>
              <w:tblStyle w:val="37"/>
              <w:tblW w:w="4998" w:type="pct"/>
              <w:tblInd w:w="17"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12"/>
              <w:gridCol w:w="960"/>
              <w:gridCol w:w="948"/>
              <w:gridCol w:w="986"/>
              <w:gridCol w:w="3739"/>
            </w:tblGrid>
            <w:tr w14:paraId="1995C1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466" w:type="pct"/>
                  <w:tcBorders>
                    <w:tl2br w:val="nil"/>
                    <w:tr2bl w:val="nil"/>
                  </w:tcBorders>
                  <w:noWrap w:val="0"/>
                  <w:vAlign w:val="center"/>
                </w:tcPr>
                <w:p w14:paraId="3B7E596C">
                  <w:pPr>
                    <w:pStyle w:val="177"/>
                    <w:keepNext w:val="0"/>
                    <w:keepLines w:val="0"/>
                    <w:pageBreakBefore w:val="0"/>
                    <w:widowControl w:val="0"/>
                    <w:kinsoku/>
                    <w:wordWrap/>
                    <w:overflowPunct/>
                    <w:topLinePunct w:val="0"/>
                    <w:autoSpaceDE/>
                    <w:autoSpaceDN/>
                    <w:bidi w:val="0"/>
                    <w:adjustRightInd w:val="0"/>
                    <w:snapToGrid w:val="0"/>
                    <w:textAlignment w:val="auto"/>
                    <w:rPr>
                      <w:b/>
                      <w:bCs w:val="0"/>
                      <w:color w:val="auto"/>
                      <w:sz w:val="21"/>
                      <w:szCs w:val="21"/>
                      <w:highlight w:val="none"/>
                    </w:rPr>
                  </w:pPr>
                  <w:r>
                    <w:rPr>
                      <w:rFonts w:hint="eastAsia"/>
                      <w:b/>
                      <w:bCs w:val="0"/>
                      <w:color w:val="auto"/>
                      <w:sz w:val="21"/>
                      <w:szCs w:val="21"/>
                      <w:highlight w:val="none"/>
                    </w:rPr>
                    <w:t>类别</w:t>
                  </w:r>
                </w:p>
              </w:tc>
              <w:tc>
                <w:tcPr>
                  <w:tcW w:w="700" w:type="pct"/>
                  <w:tcBorders>
                    <w:tl2br w:val="nil"/>
                    <w:tr2bl w:val="nil"/>
                  </w:tcBorders>
                  <w:noWrap w:val="0"/>
                  <w:vAlign w:val="center"/>
                </w:tcPr>
                <w:p w14:paraId="07DF2369">
                  <w:pPr>
                    <w:pStyle w:val="177"/>
                    <w:keepNext w:val="0"/>
                    <w:keepLines w:val="0"/>
                    <w:pageBreakBefore w:val="0"/>
                    <w:widowControl w:val="0"/>
                    <w:kinsoku/>
                    <w:wordWrap/>
                    <w:overflowPunct/>
                    <w:topLinePunct w:val="0"/>
                    <w:autoSpaceDE/>
                    <w:autoSpaceDN/>
                    <w:bidi w:val="0"/>
                    <w:adjustRightInd w:val="0"/>
                    <w:snapToGrid w:val="0"/>
                    <w:textAlignment w:val="auto"/>
                    <w:rPr>
                      <w:b/>
                      <w:bCs w:val="0"/>
                      <w:color w:val="auto"/>
                      <w:sz w:val="21"/>
                      <w:szCs w:val="21"/>
                      <w:highlight w:val="none"/>
                    </w:rPr>
                  </w:pPr>
                  <w:r>
                    <w:rPr>
                      <w:rFonts w:hint="eastAsia"/>
                      <w:b/>
                      <w:bCs w:val="0"/>
                      <w:color w:val="auto"/>
                      <w:sz w:val="21"/>
                      <w:szCs w:val="21"/>
                      <w:highlight w:val="none"/>
                    </w:rPr>
                    <w:t>监测项目</w:t>
                  </w:r>
                </w:p>
              </w:tc>
              <w:tc>
                <w:tcPr>
                  <w:tcW w:w="554" w:type="pct"/>
                  <w:tcBorders>
                    <w:tl2br w:val="nil"/>
                    <w:tr2bl w:val="nil"/>
                  </w:tcBorders>
                  <w:noWrap w:val="0"/>
                  <w:vAlign w:val="center"/>
                </w:tcPr>
                <w:p w14:paraId="685C3D97">
                  <w:pPr>
                    <w:pStyle w:val="177"/>
                    <w:keepNext w:val="0"/>
                    <w:keepLines w:val="0"/>
                    <w:pageBreakBefore w:val="0"/>
                    <w:widowControl w:val="0"/>
                    <w:kinsoku/>
                    <w:wordWrap/>
                    <w:overflowPunct/>
                    <w:topLinePunct w:val="0"/>
                    <w:autoSpaceDE/>
                    <w:autoSpaceDN/>
                    <w:bidi w:val="0"/>
                    <w:adjustRightInd w:val="0"/>
                    <w:snapToGrid w:val="0"/>
                    <w:textAlignment w:val="auto"/>
                    <w:rPr>
                      <w:b/>
                      <w:bCs w:val="0"/>
                      <w:color w:val="auto"/>
                      <w:sz w:val="21"/>
                      <w:szCs w:val="21"/>
                      <w:highlight w:val="none"/>
                    </w:rPr>
                  </w:pPr>
                  <w:r>
                    <w:rPr>
                      <w:rFonts w:hint="eastAsia"/>
                      <w:b/>
                      <w:bCs w:val="0"/>
                      <w:color w:val="auto"/>
                      <w:sz w:val="21"/>
                      <w:szCs w:val="21"/>
                      <w:highlight w:val="none"/>
                      <w:lang w:val="en-US" w:eastAsia="zh-CN"/>
                    </w:rPr>
                    <w:t>排污口</w:t>
                  </w:r>
                  <w:r>
                    <w:rPr>
                      <w:rFonts w:hint="eastAsia"/>
                      <w:b/>
                      <w:bCs w:val="0"/>
                      <w:color w:val="auto"/>
                      <w:sz w:val="21"/>
                      <w:szCs w:val="21"/>
                      <w:highlight w:val="none"/>
                    </w:rPr>
                    <w:t>编号</w:t>
                  </w:r>
                </w:p>
              </w:tc>
              <w:tc>
                <w:tcPr>
                  <w:tcW w:w="547" w:type="pct"/>
                  <w:tcBorders>
                    <w:tl2br w:val="nil"/>
                    <w:tr2bl w:val="nil"/>
                  </w:tcBorders>
                  <w:noWrap w:val="0"/>
                  <w:vAlign w:val="center"/>
                </w:tcPr>
                <w:p w14:paraId="2ABE70E9">
                  <w:pPr>
                    <w:pStyle w:val="177"/>
                    <w:keepNext w:val="0"/>
                    <w:keepLines w:val="0"/>
                    <w:pageBreakBefore w:val="0"/>
                    <w:widowControl w:val="0"/>
                    <w:kinsoku/>
                    <w:wordWrap/>
                    <w:overflowPunct/>
                    <w:topLinePunct w:val="0"/>
                    <w:autoSpaceDE/>
                    <w:autoSpaceDN/>
                    <w:bidi w:val="0"/>
                    <w:adjustRightInd w:val="0"/>
                    <w:snapToGrid w:val="0"/>
                    <w:textAlignment w:val="auto"/>
                    <w:rPr>
                      <w:b/>
                      <w:bCs w:val="0"/>
                      <w:color w:val="auto"/>
                      <w:sz w:val="21"/>
                      <w:szCs w:val="21"/>
                      <w:highlight w:val="none"/>
                    </w:rPr>
                  </w:pPr>
                  <w:r>
                    <w:rPr>
                      <w:rFonts w:hint="eastAsia"/>
                      <w:b/>
                      <w:bCs w:val="0"/>
                      <w:color w:val="auto"/>
                      <w:sz w:val="21"/>
                      <w:szCs w:val="21"/>
                      <w:highlight w:val="none"/>
                    </w:rPr>
                    <w:t>监测点位置</w:t>
                  </w:r>
                </w:p>
              </w:tc>
              <w:tc>
                <w:tcPr>
                  <w:tcW w:w="569" w:type="pct"/>
                  <w:tcBorders>
                    <w:tl2br w:val="nil"/>
                    <w:tr2bl w:val="nil"/>
                  </w:tcBorders>
                  <w:noWrap w:val="0"/>
                  <w:vAlign w:val="center"/>
                </w:tcPr>
                <w:p w14:paraId="1BE3C429">
                  <w:pPr>
                    <w:pStyle w:val="177"/>
                    <w:keepNext w:val="0"/>
                    <w:keepLines w:val="0"/>
                    <w:pageBreakBefore w:val="0"/>
                    <w:widowControl w:val="0"/>
                    <w:kinsoku/>
                    <w:wordWrap/>
                    <w:overflowPunct/>
                    <w:topLinePunct w:val="0"/>
                    <w:autoSpaceDE/>
                    <w:autoSpaceDN/>
                    <w:bidi w:val="0"/>
                    <w:adjustRightInd w:val="0"/>
                    <w:snapToGrid w:val="0"/>
                    <w:textAlignment w:val="auto"/>
                    <w:rPr>
                      <w:b/>
                      <w:bCs w:val="0"/>
                      <w:color w:val="auto"/>
                      <w:sz w:val="21"/>
                      <w:szCs w:val="21"/>
                      <w:highlight w:val="none"/>
                    </w:rPr>
                  </w:pPr>
                  <w:r>
                    <w:rPr>
                      <w:rFonts w:hint="eastAsia"/>
                      <w:b/>
                      <w:bCs w:val="0"/>
                      <w:color w:val="auto"/>
                      <w:sz w:val="21"/>
                      <w:szCs w:val="21"/>
                      <w:highlight w:val="none"/>
                    </w:rPr>
                    <w:t>监测</w:t>
                  </w:r>
                </w:p>
                <w:p w14:paraId="3ED661BE">
                  <w:pPr>
                    <w:pStyle w:val="177"/>
                    <w:keepNext w:val="0"/>
                    <w:keepLines w:val="0"/>
                    <w:pageBreakBefore w:val="0"/>
                    <w:widowControl w:val="0"/>
                    <w:kinsoku/>
                    <w:wordWrap/>
                    <w:overflowPunct/>
                    <w:topLinePunct w:val="0"/>
                    <w:autoSpaceDE/>
                    <w:autoSpaceDN/>
                    <w:bidi w:val="0"/>
                    <w:adjustRightInd w:val="0"/>
                    <w:snapToGrid w:val="0"/>
                    <w:textAlignment w:val="auto"/>
                    <w:rPr>
                      <w:b/>
                      <w:bCs w:val="0"/>
                      <w:color w:val="auto"/>
                      <w:sz w:val="21"/>
                      <w:szCs w:val="21"/>
                      <w:highlight w:val="none"/>
                    </w:rPr>
                  </w:pPr>
                  <w:r>
                    <w:rPr>
                      <w:rFonts w:hint="eastAsia"/>
                      <w:b/>
                      <w:bCs w:val="0"/>
                      <w:color w:val="auto"/>
                      <w:sz w:val="21"/>
                      <w:szCs w:val="21"/>
                      <w:highlight w:val="none"/>
                    </w:rPr>
                    <w:t>频率</w:t>
                  </w:r>
                </w:p>
              </w:tc>
              <w:tc>
                <w:tcPr>
                  <w:tcW w:w="2160" w:type="pct"/>
                  <w:tcBorders>
                    <w:tl2br w:val="nil"/>
                    <w:tr2bl w:val="nil"/>
                  </w:tcBorders>
                  <w:noWrap w:val="0"/>
                  <w:vAlign w:val="center"/>
                </w:tcPr>
                <w:p w14:paraId="165545E6">
                  <w:pPr>
                    <w:pStyle w:val="177"/>
                    <w:keepNext w:val="0"/>
                    <w:keepLines w:val="0"/>
                    <w:pageBreakBefore w:val="0"/>
                    <w:widowControl w:val="0"/>
                    <w:kinsoku/>
                    <w:wordWrap/>
                    <w:overflowPunct/>
                    <w:topLinePunct w:val="0"/>
                    <w:autoSpaceDE/>
                    <w:autoSpaceDN/>
                    <w:bidi w:val="0"/>
                    <w:adjustRightInd w:val="0"/>
                    <w:snapToGrid w:val="0"/>
                    <w:textAlignment w:val="auto"/>
                    <w:rPr>
                      <w:b/>
                      <w:bCs w:val="0"/>
                      <w:color w:val="auto"/>
                      <w:sz w:val="21"/>
                      <w:szCs w:val="21"/>
                      <w:highlight w:val="none"/>
                    </w:rPr>
                  </w:pPr>
                  <w:r>
                    <w:rPr>
                      <w:rFonts w:hint="eastAsia"/>
                      <w:b/>
                      <w:bCs w:val="0"/>
                      <w:color w:val="auto"/>
                      <w:sz w:val="21"/>
                      <w:szCs w:val="21"/>
                      <w:highlight w:val="none"/>
                    </w:rPr>
                    <w:t>控制指标</w:t>
                  </w:r>
                </w:p>
              </w:tc>
            </w:tr>
            <w:tr w14:paraId="0F3CEB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466" w:type="pct"/>
                  <w:tcBorders>
                    <w:tl2br w:val="nil"/>
                    <w:tr2bl w:val="nil"/>
                  </w:tcBorders>
                  <w:noWrap w:val="0"/>
                  <w:vAlign w:val="center"/>
                </w:tcPr>
                <w:p w14:paraId="53BAE762">
                  <w:pPr>
                    <w:pStyle w:val="177"/>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b w:val="0"/>
                      <w:bCs/>
                      <w:color w:val="auto"/>
                      <w:sz w:val="21"/>
                      <w:szCs w:val="21"/>
                      <w:highlight w:val="none"/>
                    </w:rPr>
                    <w:t>废水</w:t>
                  </w:r>
                </w:p>
              </w:tc>
              <w:tc>
                <w:tcPr>
                  <w:tcW w:w="700" w:type="pct"/>
                  <w:tcBorders>
                    <w:tl2br w:val="nil"/>
                    <w:tr2bl w:val="nil"/>
                  </w:tcBorders>
                  <w:noWrap w:val="0"/>
                  <w:vAlign w:val="center"/>
                </w:tcPr>
                <w:p w14:paraId="4082C7D2">
                  <w:pPr>
                    <w:pStyle w:val="177"/>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b w:val="0"/>
                      <w:bCs/>
                      <w:color w:val="auto"/>
                      <w:kern w:val="2"/>
                      <w:sz w:val="21"/>
                      <w:szCs w:val="21"/>
                      <w:highlight w:val="none"/>
                      <w:lang w:val="en-US" w:eastAsia="zh-CN" w:bidi="ar-SA"/>
                    </w:rPr>
                  </w:pPr>
                  <w:r>
                    <w:rPr>
                      <w:b w:val="0"/>
                      <w:bCs/>
                      <w:color w:val="auto"/>
                      <w:sz w:val="21"/>
                      <w:szCs w:val="21"/>
                      <w:highlight w:val="none"/>
                    </w:rPr>
                    <w:t>pH</w:t>
                  </w:r>
                  <w:r>
                    <w:rPr>
                      <w:rFonts w:hint="eastAsia"/>
                      <w:b w:val="0"/>
                      <w:bCs/>
                      <w:color w:val="auto"/>
                      <w:sz w:val="21"/>
                      <w:szCs w:val="21"/>
                      <w:highlight w:val="none"/>
                    </w:rPr>
                    <w:t>、</w:t>
                  </w:r>
                  <w:r>
                    <w:rPr>
                      <w:b w:val="0"/>
                      <w:bCs/>
                      <w:color w:val="auto"/>
                      <w:sz w:val="21"/>
                      <w:szCs w:val="21"/>
                      <w:highlight w:val="none"/>
                    </w:rPr>
                    <w:t>COD</w:t>
                  </w:r>
                  <w:r>
                    <w:rPr>
                      <w:rFonts w:hint="eastAsia"/>
                      <w:b w:val="0"/>
                      <w:bCs/>
                      <w:color w:val="auto"/>
                      <w:sz w:val="21"/>
                      <w:szCs w:val="21"/>
                      <w:highlight w:val="none"/>
                    </w:rPr>
                    <w:t>、</w:t>
                  </w:r>
                  <w:r>
                    <w:rPr>
                      <w:rFonts w:hint="eastAsia"/>
                      <w:b w:val="0"/>
                      <w:bCs/>
                      <w:color w:val="auto"/>
                      <w:sz w:val="21"/>
                      <w:szCs w:val="21"/>
                      <w:highlight w:val="none"/>
                      <w:lang w:eastAsia="zh-CN"/>
                    </w:rPr>
                    <w:t>氨氮、</w:t>
                  </w:r>
                  <w:r>
                    <w:rPr>
                      <w:b w:val="0"/>
                      <w:bCs/>
                      <w:color w:val="auto"/>
                      <w:sz w:val="21"/>
                      <w:szCs w:val="21"/>
                      <w:highlight w:val="none"/>
                    </w:rPr>
                    <w:t>SS</w:t>
                  </w:r>
                  <w:r>
                    <w:rPr>
                      <w:rFonts w:hint="eastAsia"/>
                      <w:b w:val="0"/>
                      <w:bCs/>
                      <w:color w:val="auto"/>
                      <w:sz w:val="21"/>
                      <w:szCs w:val="21"/>
                      <w:highlight w:val="none"/>
                      <w:lang w:eastAsia="zh-CN"/>
                    </w:rPr>
                    <w:t>、流量</w:t>
                  </w:r>
                </w:p>
              </w:tc>
              <w:tc>
                <w:tcPr>
                  <w:tcW w:w="554" w:type="pct"/>
                  <w:tcBorders>
                    <w:tl2br w:val="nil"/>
                    <w:tr2bl w:val="nil"/>
                  </w:tcBorders>
                  <w:noWrap w:val="0"/>
                  <w:vAlign w:val="center"/>
                </w:tcPr>
                <w:p w14:paraId="66C726BE">
                  <w:pPr>
                    <w:pStyle w:val="177"/>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b w:val="0"/>
                      <w:bCs/>
                      <w:color w:val="auto"/>
                      <w:kern w:val="2"/>
                      <w:sz w:val="21"/>
                      <w:szCs w:val="21"/>
                      <w:highlight w:val="none"/>
                      <w:lang w:val="en-US" w:eastAsia="zh-CN" w:bidi="ar-SA"/>
                    </w:rPr>
                  </w:pPr>
                  <w:r>
                    <w:rPr>
                      <w:b w:val="0"/>
                      <w:bCs/>
                      <w:color w:val="auto"/>
                      <w:sz w:val="21"/>
                      <w:szCs w:val="21"/>
                      <w:highlight w:val="none"/>
                    </w:rPr>
                    <w:t>TW001</w:t>
                  </w:r>
                </w:p>
              </w:tc>
              <w:tc>
                <w:tcPr>
                  <w:tcW w:w="547" w:type="pct"/>
                  <w:tcBorders>
                    <w:tl2br w:val="nil"/>
                    <w:tr2bl w:val="nil"/>
                  </w:tcBorders>
                  <w:noWrap w:val="0"/>
                  <w:vAlign w:val="center"/>
                </w:tcPr>
                <w:p w14:paraId="077C9E39">
                  <w:pPr>
                    <w:pStyle w:val="177"/>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b w:val="0"/>
                      <w:bCs/>
                      <w:color w:val="auto"/>
                      <w:sz w:val="21"/>
                      <w:szCs w:val="21"/>
                      <w:highlight w:val="none"/>
                      <w:lang w:val="en-US" w:eastAsia="zh-CN"/>
                    </w:rPr>
                    <w:t>锅炉房废水排口</w:t>
                  </w:r>
                </w:p>
              </w:tc>
              <w:tc>
                <w:tcPr>
                  <w:tcW w:w="569" w:type="pct"/>
                  <w:tcBorders>
                    <w:tl2br w:val="nil"/>
                    <w:tr2bl w:val="nil"/>
                  </w:tcBorders>
                  <w:noWrap w:val="0"/>
                  <w:vAlign w:val="center"/>
                </w:tcPr>
                <w:p w14:paraId="5C4569BF">
                  <w:pPr>
                    <w:pStyle w:val="177"/>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b w:val="0"/>
                      <w:bCs/>
                      <w:color w:val="auto"/>
                      <w:kern w:val="2"/>
                      <w:sz w:val="21"/>
                      <w:szCs w:val="21"/>
                      <w:highlight w:val="none"/>
                      <w:lang w:val="en-US" w:eastAsia="zh-CN" w:bidi="ar-SA"/>
                    </w:rPr>
                  </w:pPr>
                  <w:r>
                    <w:rPr>
                      <w:b w:val="0"/>
                      <w:bCs/>
                      <w:color w:val="auto"/>
                      <w:sz w:val="21"/>
                      <w:szCs w:val="21"/>
                      <w:highlight w:val="none"/>
                    </w:rPr>
                    <w:t>1</w:t>
                  </w:r>
                  <w:r>
                    <w:rPr>
                      <w:rFonts w:hint="eastAsia"/>
                      <w:b w:val="0"/>
                      <w:bCs/>
                      <w:color w:val="auto"/>
                      <w:sz w:val="21"/>
                      <w:szCs w:val="21"/>
                      <w:highlight w:val="none"/>
                    </w:rPr>
                    <w:t>次</w:t>
                  </w:r>
                  <w:r>
                    <w:rPr>
                      <w:b w:val="0"/>
                      <w:bCs/>
                      <w:color w:val="auto"/>
                      <w:sz w:val="21"/>
                      <w:szCs w:val="21"/>
                      <w:highlight w:val="none"/>
                    </w:rPr>
                    <w:t>/</w:t>
                  </w:r>
                  <w:r>
                    <w:rPr>
                      <w:rFonts w:hint="eastAsia"/>
                      <w:b w:val="0"/>
                      <w:bCs/>
                      <w:color w:val="auto"/>
                      <w:sz w:val="21"/>
                      <w:szCs w:val="21"/>
                      <w:highlight w:val="none"/>
                      <w:lang w:val="en-US" w:eastAsia="zh-CN"/>
                    </w:rPr>
                    <w:t>年（采暖期监测）</w:t>
                  </w:r>
                </w:p>
              </w:tc>
              <w:tc>
                <w:tcPr>
                  <w:tcW w:w="2160" w:type="pct"/>
                  <w:tcBorders>
                    <w:tl2br w:val="nil"/>
                    <w:tr2bl w:val="nil"/>
                  </w:tcBorders>
                  <w:noWrap w:val="0"/>
                  <w:vAlign w:val="center"/>
                </w:tcPr>
                <w:p w14:paraId="1E273C95">
                  <w:pPr>
                    <w:pStyle w:val="177"/>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b w:val="0"/>
                      <w:bCs/>
                      <w:color w:val="auto"/>
                      <w:sz w:val="21"/>
                      <w:szCs w:val="21"/>
                      <w:highlight w:val="none"/>
                    </w:rPr>
                    <w:t>《污水综合排放标准》（</w:t>
                  </w:r>
                  <w:r>
                    <w:rPr>
                      <w:b w:val="0"/>
                      <w:bCs/>
                      <w:color w:val="auto"/>
                      <w:sz w:val="21"/>
                      <w:szCs w:val="21"/>
                      <w:highlight w:val="none"/>
                    </w:rPr>
                    <w:t>GB8978-1996</w:t>
                  </w:r>
                  <w:r>
                    <w:rPr>
                      <w:rFonts w:hint="eastAsia"/>
                      <w:b w:val="0"/>
                      <w:bCs/>
                      <w:color w:val="auto"/>
                      <w:sz w:val="21"/>
                      <w:szCs w:val="21"/>
                      <w:highlight w:val="none"/>
                    </w:rPr>
                    <w:t>）三级标准及《污水排入城镇下水道水质标准》（</w:t>
                  </w:r>
                  <w:r>
                    <w:rPr>
                      <w:b w:val="0"/>
                      <w:bCs/>
                      <w:color w:val="auto"/>
                      <w:sz w:val="21"/>
                      <w:szCs w:val="21"/>
                      <w:highlight w:val="none"/>
                    </w:rPr>
                    <w:t>GB/T31962-2015</w:t>
                  </w:r>
                  <w:r>
                    <w:rPr>
                      <w:rFonts w:hint="eastAsia"/>
                      <w:b w:val="0"/>
                      <w:bCs/>
                      <w:color w:val="auto"/>
                      <w:sz w:val="21"/>
                      <w:szCs w:val="21"/>
                      <w:highlight w:val="none"/>
                    </w:rPr>
                    <w:t>）</w:t>
                  </w:r>
                  <w:r>
                    <w:rPr>
                      <w:b w:val="0"/>
                      <w:bCs/>
                      <w:color w:val="auto"/>
                      <w:sz w:val="21"/>
                      <w:szCs w:val="21"/>
                      <w:highlight w:val="none"/>
                    </w:rPr>
                    <w:t>B</w:t>
                  </w:r>
                  <w:r>
                    <w:rPr>
                      <w:rFonts w:hint="eastAsia"/>
                      <w:b w:val="0"/>
                      <w:bCs/>
                      <w:color w:val="auto"/>
                      <w:sz w:val="21"/>
                      <w:szCs w:val="21"/>
                      <w:highlight w:val="none"/>
                    </w:rPr>
                    <w:t>级标准</w:t>
                  </w:r>
                </w:p>
              </w:tc>
            </w:tr>
          </w:tbl>
          <w:p w14:paraId="6BEABCC2">
            <w:pPr>
              <w:adjustRightInd w:val="0"/>
              <w:snapToGrid w:val="0"/>
              <w:spacing w:line="360" w:lineRule="auto"/>
              <w:ind w:firstLine="482" w:firstLineChars="200"/>
              <w:jc w:val="left"/>
              <w:rPr>
                <w:b/>
                <w:bCs w:val="0"/>
                <w:color w:val="auto"/>
                <w:kern w:val="0"/>
                <w:sz w:val="24"/>
                <w:szCs w:val="24"/>
                <w:highlight w:val="none"/>
              </w:rPr>
            </w:pPr>
            <w:r>
              <w:rPr>
                <w:rFonts w:hint="eastAsia"/>
                <w:b/>
                <w:bCs w:val="0"/>
                <w:color w:val="auto"/>
                <w:kern w:val="0"/>
                <w:sz w:val="24"/>
                <w:szCs w:val="24"/>
                <w:highlight w:val="none"/>
                <w:lang w:eastAsia="zh-CN"/>
              </w:rPr>
              <w:t>3.</w:t>
            </w:r>
            <w:r>
              <w:rPr>
                <w:rFonts w:hAnsi="宋体"/>
                <w:b/>
                <w:bCs w:val="0"/>
                <w:color w:val="auto"/>
                <w:kern w:val="0"/>
                <w:sz w:val="24"/>
                <w:szCs w:val="24"/>
                <w:highlight w:val="none"/>
              </w:rPr>
              <w:t>噪声</w:t>
            </w:r>
          </w:p>
          <w:p w14:paraId="51EAE142">
            <w:pPr>
              <w:spacing w:line="360" w:lineRule="auto"/>
              <w:ind w:firstLine="482" w:firstLineChars="200"/>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3.1</w:t>
            </w:r>
            <w:r>
              <w:rPr>
                <w:rFonts w:hint="default" w:ascii="Times New Roman" w:hAnsi="Times New Roman" w:cs="Times New Roman"/>
                <w:b/>
                <w:bCs/>
                <w:color w:val="auto"/>
                <w:sz w:val="24"/>
                <w:szCs w:val="24"/>
                <w:highlight w:val="none"/>
              </w:rPr>
              <w:t xml:space="preserve">噪声源强 </w:t>
            </w:r>
          </w:p>
          <w:p w14:paraId="1B5BE271">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本项目运营期间的噪声主要是</w:t>
            </w:r>
            <w:r>
              <w:rPr>
                <w:rFonts w:hint="eastAsia" w:cs="Times New Roman"/>
                <w:color w:val="auto"/>
                <w:sz w:val="24"/>
                <w:szCs w:val="24"/>
                <w:highlight w:val="none"/>
                <w:lang w:val="en-US" w:eastAsia="zh-CN"/>
              </w:rPr>
              <w:t>锅炉（燃烧机）、</w:t>
            </w:r>
            <w:r>
              <w:rPr>
                <w:rFonts w:hint="default" w:ascii="Times New Roman" w:hAnsi="Times New Roman" w:cs="Times New Roman"/>
                <w:color w:val="auto"/>
                <w:sz w:val="24"/>
                <w:szCs w:val="24"/>
                <w:highlight w:val="none"/>
              </w:rPr>
              <w:t>水泵运行产生的设备噪声，</w:t>
            </w:r>
            <w:r>
              <w:rPr>
                <w:rFonts w:hint="eastAsia" w:cs="Times New Roman"/>
                <w:color w:val="auto"/>
                <w:sz w:val="24"/>
                <w:szCs w:val="24"/>
                <w:highlight w:val="none"/>
                <w:lang w:val="en-US" w:eastAsia="zh-CN"/>
              </w:rPr>
              <w:t>由于换热站位于地下室内，其影响较小，本次环评主要对锅炉房噪声进行评价，</w:t>
            </w:r>
            <w:r>
              <w:rPr>
                <w:rFonts w:hint="default" w:ascii="Times New Roman" w:hAnsi="Times New Roman" w:cs="Times New Roman"/>
                <w:color w:val="auto"/>
                <w:sz w:val="24"/>
                <w:szCs w:val="24"/>
                <w:highlight w:val="none"/>
              </w:rPr>
              <w:t>其声源</w:t>
            </w:r>
            <w:r>
              <w:rPr>
                <w:rFonts w:hint="eastAsia" w:cs="Times New Roman"/>
                <w:color w:val="auto"/>
                <w:sz w:val="24"/>
                <w:szCs w:val="24"/>
                <w:highlight w:val="none"/>
                <w:lang w:eastAsia="zh-CN"/>
              </w:rPr>
              <w:t>强度</w:t>
            </w:r>
            <w:r>
              <w:rPr>
                <w:rFonts w:hint="default" w:ascii="Times New Roman" w:hAnsi="Times New Roman" w:cs="Times New Roman"/>
                <w:color w:val="auto"/>
                <w:sz w:val="24"/>
                <w:szCs w:val="24"/>
                <w:highlight w:val="none"/>
              </w:rPr>
              <w:t>详见表</w:t>
            </w:r>
            <w:r>
              <w:rPr>
                <w:rFonts w:hint="eastAsia" w:cs="Times New Roman"/>
                <w:color w:val="auto"/>
                <w:sz w:val="24"/>
                <w:szCs w:val="24"/>
                <w:highlight w:val="none"/>
                <w:lang w:val="en-US" w:eastAsia="zh-CN"/>
              </w:rPr>
              <w:t>4-7</w:t>
            </w:r>
            <w:r>
              <w:rPr>
                <w:rFonts w:hint="default" w:ascii="Times New Roman" w:hAnsi="Times New Roman" w:cs="Times New Roman"/>
                <w:color w:val="auto"/>
                <w:sz w:val="24"/>
                <w:szCs w:val="24"/>
                <w:highlight w:val="none"/>
              </w:rPr>
              <w:t>。</w:t>
            </w:r>
          </w:p>
          <w:p w14:paraId="64F9948B">
            <w:pPr>
              <w:spacing w:line="240" w:lineRule="auto"/>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表4-</w:t>
            </w:r>
            <w:r>
              <w:rPr>
                <w:rFonts w:hint="eastAsia" w:cs="Times New Roman"/>
                <w:b/>
                <w:bCs/>
                <w:color w:val="auto"/>
                <w:sz w:val="24"/>
                <w:szCs w:val="24"/>
                <w:highlight w:val="none"/>
                <w:lang w:val="en-US" w:eastAsia="zh-CN"/>
              </w:rPr>
              <w:t>7</w:t>
            </w:r>
            <w:r>
              <w:rPr>
                <w:rFonts w:hint="default" w:ascii="Times New Roman" w:hAnsi="Times New Roman" w:cs="Times New Roman"/>
                <w:b/>
                <w:bCs/>
                <w:color w:val="auto"/>
                <w:sz w:val="24"/>
                <w:szCs w:val="24"/>
                <w:highlight w:val="none"/>
              </w:rPr>
              <w:t xml:space="preserve">    主要设备噪声源强一览表</w:t>
            </w:r>
          </w:p>
          <w:tbl>
            <w:tblPr>
              <w:tblStyle w:val="37"/>
              <w:tblW w:w="4992" w:type="pct"/>
              <w:tblInd w:w="17"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453"/>
              <w:gridCol w:w="425"/>
              <w:gridCol w:w="1110"/>
              <w:gridCol w:w="799"/>
              <w:gridCol w:w="910"/>
              <w:gridCol w:w="408"/>
              <w:gridCol w:w="427"/>
              <w:gridCol w:w="430"/>
              <w:gridCol w:w="528"/>
              <w:gridCol w:w="528"/>
              <w:gridCol w:w="621"/>
              <w:gridCol w:w="621"/>
              <w:gridCol w:w="732"/>
              <w:gridCol w:w="650"/>
            </w:tblGrid>
            <w:tr w14:paraId="629E39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2" w:type="pct"/>
                  <w:vMerge w:val="restart"/>
                  <w:tcBorders>
                    <w:tl2br w:val="nil"/>
                    <w:tr2bl w:val="nil"/>
                  </w:tcBorders>
                  <w:noWrap w:val="0"/>
                  <w:vAlign w:val="center"/>
                </w:tcPr>
                <w:p w14:paraId="6DFD897F">
                  <w:pPr>
                    <w:pStyle w:val="177"/>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245" w:type="pct"/>
                  <w:vMerge w:val="restart"/>
                  <w:tcBorders>
                    <w:tl2br w:val="nil"/>
                    <w:tr2bl w:val="nil"/>
                  </w:tcBorders>
                  <w:noWrap w:val="0"/>
                  <w:vAlign w:val="center"/>
                </w:tcPr>
                <w:p w14:paraId="0144DD2C">
                  <w:pPr>
                    <w:pStyle w:val="177"/>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建筑物名称</w:t>
                  </w:r>
                </w:p>
              </w:tc>
              <w:tc>
                <w:tcPr>
                  <w:tcW w:w="642" w:type="pct"/>
                  <w:vMerge w:val="restart"/>
                  <w:tcBorders>
                    <w:tl2br w:val="nil"/>
                    <w:tr2bl w:val="nil"/>
                  </w:tcBorders>
                  <w:noWrap w:val="0"/>
                  <w:vAlign w:val="center"/>
                </w:tcPr>
                <w:p w14:paraId="39559046">
                  <w:pPr>
                    <w:pStyle w:val="177"/>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声源名称</w:t>
                  </w:r>
                </w:p>
              </w:tc>
              <w:tc>
                <w:tcPr>
                  <w:tcW w:w="462" w:type="pct"/>
                  <w:vMerge w:val="restart"/>
                  <w:tcBorders>
                    <w:tl2br w:val="nil"/>
                    <w:tr2bl w:val="nil"/>
                  </w:tcBorders>
                  <w:noWrap w:val="0"/>
                  <w:vAlign w:val="center"/>
                </w:tcPr>
                <w:p w14:paraId="4F07D243">
                  <w:pPr>
                    <w:pStyle w:val="177"/>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声功率级</w:t>
                  </w:r>
                </w:p>
                <w:p w14:paraId="0F05269A">
                  <w:pPr>
                    <w:pStyle w:val="177"/>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/dB</w:t>
                  </w:r>
                  <w:r>
                    <w:rPr>
                      <w:rFonts w:hint="eastAsia"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A</w:t>
                  </w:r>
                  <w:r>
                    <w:rPr>
                      <w:rFonts w:hint="eastAsia" w:ascii="Times New Roman" w:hAnsi="Times New Roman" w:eastAsia="宋体" w:cs="Times New Roman"/>
                      <w:b/>
                      <w:bCs/>
                      <w:color w:val="auto"/>
                      <w:sz w:val="21"/>
                      <w:szCs w:val="21"/>
                      <w:highlight w:val="none"/>
                      <w:lang w:eastAsia="zh-CN"/>
                    </w:rPr>
                    <w:t>）</w:t>
                  </w:r>
                </w:p>
              </w:tc>
              <w:tc>
                <w:tcPr>
                  <w:tcW w:w="526" w:type="pct"/>
                  <w:vMerge w:val="restart"/>
                  <w:tcBorders>
                    <w:tl2br w:val="nil"/>
                    <w:tr2bl w:val="nil"/>
                  </w:tcBorders>
                  <w:noWrap w:val="0"/>
                  <w:vAlign w:val="center"/>
                </w:tcPr>
                <w:p w14:paraId="758A7680">
                  <w:pPr>
                    <w:pStyle w:val="177"/>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声源控制措施</w:t>
                  </w:r>
                </w:p>
              </w:tc>
              <w:tc>
                <w:tcPr>
                  <w:tcW w:w="731" w:type="pct"/>
                  <w:gridSpan w:val="3"/>
                  <w:tcBorders>
                    <w:tl2br w:val="nil"/>
                    <w:tr2bl w:val="nil"/>
                  </w:tcBorders>
                  <w:noWrap w:val="0"/>
                  <w:vAlign w:val="center"/>
                </w:tcPr>
                <w:p w14:paraId="7590436C">
                  <w:pPr>
                    <w:pStyle w:val="177"/>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空间相对位置/m</w:t>
                  </w:r>
                </w:p>
              </w:tc>
              <w:tc>
                <w:tcPr>
                  <w:tcW w:w="305" w:type="pct"/>
                  <w:vMerge w:val="restart"/>
                  <w:tcBorders>
                    <w:tl2br w:val="nil"/>
                    <w:tr2bl w:val="nil"/>
                  </w:tcBorders>
                  <w:noWrap w:val="0"/>
                  <w:vAlign w:val="center"/>
                </w:tcPr>
                <w:p w14:paraId="19AEFCC9">
                  <w:pPr>
                    <w:pStyle w:val="177"/>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运行时段</w:t>
                  </w:r>
                </w:p>
              </w:tc>
              <w:tc>
                <w:tcPr>
                  <w:tcW w:w="305" w:type="pct"/>
                  <w:vMerge w:val="restart"/>
                  <w:tcBorders>
                    <w:tl2br w:val="nil"/>
                    <w:tr2bl w:val="nil"/>
                  </w:tcBorders>
                  <w:noWrap w:val="0"/>
                  <w:vAlign w:val="center"/>
                </w:tcPr>
                <w:p w14:paraId="12A32A7D">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cs="Times New Roman"/>
                      <w:b/>
                      <w:bCs/>
                      <w:color w:val="auto"/>
                      <w:highlight w:val="none"/>
                    </w:rPr>
                  </w:pPr>
                  <w:r>
                    <w:rPr>
                      <w:rFonts w:hint="default" w:ascii="Times New Roman" w:hAnsi="Times New Roman" w:eastAsia="新宋体" w:cs="Times New Roman"/>
                      <w:b/>
                      <w:bCs/>
                      <w:color w:val="auto"/>
                      <w:kern w:val="0"/>
                      <w:sz w:val="21"/>
                      <w:szCs w:val="21"/>
                      <w:highlight w:val="none"/>
                      <w:lang w:val="en-US" w:eastAsia="zh-CN" w:bidi="ar"/>
                    </w:rPr>
                    <w:t>距室内边</w:t>
                  </w:r>
                </w:p>
                <w:p w14:paraId="0F5A4C8C">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eastAsia="新宋体" w:cs="Times New Roman"/>
                      <w:b/>
                      <w:bCs/>
                      <w:color w:val="auto"/>
                      <w:kern w:val="0"/>
                      <w:sz w:val="21"/>
                      <w:szCs w:val="21"/>
                      <w:highlight w:val="none"/>
                      <w:lang w:val="en-US" w:eastAsia="zh-CN" w:bidi="ar"/>
                    </w:rPr>
                    <w:t>界距离</w:t>
                  </w:r>
                  <w:r>
                    <w:rPr>
                      <w:rFonts w:hint="default" w:ascii="Times New Roman" w:hAnsi="Times New Roman" w:eastAsia="宋体" w:cs="Times New Roman"/>
                      <w:b/>
                      <w:bCs/>
                      <w:color w:val="auto"/>
                      <w:kern w:val="0"/>
                      <w:sz w:val="21"/>
                      <w:szCs w:val="21"/>
                      <w:highlight w:val="none"/>
                      <w:lang w:val="en-US" w:eastAsia="zh-CN" w:bidi="ar"/>
                    </w:rPr>
                    <w:t>/m</w:t>
                  </w:r>
                </w:p>
              </w:tc>
              <w:tc>
                <w:tcPr>
                  <w:tcW w:w="359" w:type="pct"/>
                  <w:vMerge w:val="restart"/>
                  <w:tcBorders>
                    <w:tl2br w:val="nil"/>
                    <w:tr2bl w:val="nil"/>
                  </w:tcBorders>
                  <w:noWrap w:val="0"/>
                  <w:vAlign w:val="center"/>
                </w:tcPr>
                <w:p w14:paraId="391E3711">
                  <w:pPr>
                    <w:keepNext w:val="0"/>
                    <w:keepLines w:val="0"/>
                    <w:pageBreakBefore w:val="0"/>
                    <w:widowControl/>
                    <w:suppressLineNumbers w:val="0"/>
                    <w:kinsoku/>
                    <w:wordWrap/>
                    <w:overflowPunct/>
                    <w:topLinePunct w:val="0"/>
                    <w:autoSpaceDE w:val="0"/>
                    <w:autoSpaceDN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b/>
                      <w:bCs/>
                      <w:color w:val="auto"/>
                      <w:kern w:val="0"/>
                      <w:sz w:val="21"/>
                      <w:szCs w:val="21"/>
                      <w:highlight w:val="none"/>
                      <w:lang w:val="en-US" w:eastAsia="zh-CN" w:bidi="ar"/>
                    </w:rPr>
                  </w:pPr>
                  <w:r>
                    <w:rPr>
                      <w:rFonts w:hint="default" w:ascii="Times New Roman" w:hAnsi="Times New Roman" w:eastAsia="新宋体" w:cs="Times New Roman"/>
                      <w:b/>
                      <w:bCs/>
                      <w:color w:val="auto"/>
                      <w:kern w:val="0"/>
                      <w:sz w:val="21"/>
                      <w:szCs w:val="21"/>
                      <w:highlight w:val="none"/>
                      <w:lang w:val="en-US" w:eastAsia="zh-CN" w:bidi="ar"/>
                    </w:rPr>
                    <w:t>室内边界声级</w:t>
                  </w:r>
                </w:p>
                <w:p w14:paraId="2F48F711">
                  <w:pPr>
                    <w:keepNext w:val="0"/>
                    <w:keepLines w:val="0"/>
                    <w:pageBreakBefore w:val="0"/>
                    <w:widowControl/>
                    <w:suppressLineNumbers w:val="0"/>
                    <w:kinsoku/>
                    <w:wordWrap/>
                    <w:overflowPunct/>
                    <w:topLinePunct w:val="0"/>
                    <w:autoSpaceDE w:val="0"/>
                    <w:autoSpaceDN w:val="0"/>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/dB（A）</w:t>
                  </w:r>
                </w:p>
              </w:tc>
              <w:tc>
                <w:tcPr>
                  <w:tcW w:w="359" w:type="pct"/>
                  <w:vMerge w:val="restart"/>
                  <w:tcBorders>
                    <w:tl2br w:val="nil"/>
                    <w:tr2bl w:val="nil"/>
                  </w:tcBorders>
                  <w:noWrap w:val="0"/>
                  <w:vAlign w:val="center"/>
                </w:tcPr>
                <w:p w14:paraId="3E576228">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cs="Times New Roman"/>
                      <w:b/>
                      <w:bCs/>
                      <w:color w:val="auto"/>
                      <w:highlight w:val="none"/>
                    </w:rPr>
                  </w:pPr>
                  <w:r>
                    <w:rPr>
                      <w:rFonts w:hint="default" w:ascii="Times New Roman" w:hAnsi="Times New Roman" w:eastAsia="新宋体" w:cs="Times New Roman"/>
                      <w:b/>
                      <w:bCs/>
                      <w:color w:val="auto"/>
                      <w:kern w:val="0"/>
                      <w:sz w:val="21"/>
                      <w:szCs w:val="21"/>
                      <w:highlight w:val="none"/>
                      <w:lang w:val="en-US" w:eastAsia="zh-CN" w:bidi="ar"/>
                    </w:rPr>
                    <w:t>建筑物插</w:t>
                  </w:r>
                </w:p>
                <w:p w14:paraId="4BD7D677">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新宋体" w:cs="Times New Roman"/>
                      <w:b/>
                      <w:bCs/>
                      <w:color w:val="auto"/>
                      <w:kern w:val="0"/>
                      <w:sz w:val="21"/>
                      <w:szCs w:val="21"/>
                      <w:highlight w:val="none"/>
                      <w:lang w:val="en-US" w:eastAsia="zh-CN" w:bidi="ar"/>
                    </w:rPr>
                    <w:t>入损失</w:t>
                  </w:r>
                  <w:r>
                    <w:rPr>
                      <w:rFonts w:hint="default" w:ascii="Times New Roman" w:hAnsi="Times New Roman" w:eastAsia="宋体" w:cs="Times New Roman"/>
                      <w:b/>
                      <w:bCs/>
                      <w:color w:val="auto"/>
                      <w:kern w:val="0"/>
                      <w:sz w:val="21"/>
                      <w:szCs w:val="21"/>
                      <w:highlight w:val="none"/>
                      <w:lang w:val="en-US" w:eastAsia="zh-CN" w:bidi="ar"/>
                    </w:rPr>
                    <w:t>/</w:t>
                  </w:r>
                </w:p>
                <w:p w14:paraId="02ED9BD1">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dB（A）</w:t>
                  </w:r>
                </w:p>
              </w:tc>
              <w:tc>
                <w:tcPr>
                  <w:tcW w:w="799" w:type="pct"/>
                  <w:gridSpan w:val="2"/>
                  <w:tcBorders>
                    <w:tl2br w:val="nil"/>
                    <w:tr2bl w:val="nil"/>
                  </w:tcBorders>
                  <w:noWrap w:val="0"/>
                  <w:vAlign w:val="center"/>
                </w:tcPr>
                <w:p w14:paraId="16A8850C">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eastAsia="新宋体" w:cs="Times New Roman"/>
                      <w:b/>
                      <w:bCs/>
                      <w:color w:val="auto"/>
                      <w:kern w:val="0"/>
                      <w:sz w:val="21"/>
                      <w:szCs w:val="21"/>
                      <w:highlight w:val="none"/>
                      <w:lang w:val="en-US" w:eastAsia="zh-CN" w:bidi="ar"/>
                    </w:rPr>
                    <w:t>建筑物外噪声</w:t>
                  </w:r>
                </w:p>
              </w:tc>
            </w:tr>
            <w:tr w14:paraId="42BDE8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2" w:type="pct"/>
                  <w:vMerge w:val="continue"/>
                  <w:tcBorders>
                    <w:tl2br w:val="nil"/>
                    <w:tr2bl w:val="nil"/>
                  </w:tcBorders>
                  <w:noWrap w:val="0"/>
                  <w:vAlign w:val="center"/>
                </w:tcPr>
                <w:p w14:paraId="668B520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b/>
                      <w:bCs/>
                      <w:color w:val="auto"/>
                      <w:sz w:val="21"/>
                      <w:szCs w:val="21"/>
                      <w:highlight w:val="none"/>
                    </w:rPr>
                  </w:pPr>
                </w:p>
              </w:tc>
              <w:tc>
                <w:tcPr>
                  <w:tcW w:w="245" w:type="pct"/>
                  <w:vMerge w:val="continue"/>
                  <w:tcBorders>
                    <w:tl2br w:val="nil"/>
                    <w:tr2bl w:val="nil"/>
                  </w:tcBorders>
                  <w:noWrap w:val="0"/>
                  <w:vAlign w:val="center"/>
                </w:tcPr>
                <w:p w14:paraId="7D18040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b/>
                      <w:bCs/>
                      <w:color w:val="auto"/>
                      <w:sz w:val="21"/>
                      <w:szCs w:val="21"/>
                      <w:highlight w:val="none"/>
                    </w:rPr>
                  </w:pPr>
                </w:p>
              </w:tc>
              <w:tc>
                <w:tcPr>
                  <w:tcW w:w="642" w:type="pct"/>
                  <w:vMerge w:val="continue"/>
                  <w:tcBorders>
                    <w:tl2br w:val="nil"/>
                    <w:tr2bl w:val="nil"/>
                  </w:tcBorders>
                  <w:noWrap w:val="0"/>
                  <w:vAlign w:val="center"/>
                </w:tcPr>
                <w:p w14:paraId="34F9C24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b/>
                      <w:bCs/>
                      <w:color w:val="auto"/>
                      <w:sz w:val="21"/>
                      <w:szCs w:val="21"/>
                      <w:highlight w:val="none"/>
                    </w:rPr>
                  </w:pPr>
                </w:p>
              </w:tc>
              <w:tc>
                <w:tcPr>
                  <w:tcW w:w="462" w:type="pct"/>
                  <w:vMerge w:val="continue"/>
                  <w:tcBorders>
                    <w:tl2br w:val="nil"/>
                    <w:tr2bl w:val="nil"/>
                  </w:tcBorders>
                  <w:noWrap w:val="0"/>
                  <w:vAlign w:val="center"/>
                </w:tcPr>
                <w:p w14:paraId="01B99D5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b/>
                      <w:bCs/>
                      <w:color w:val="auto"/>
                      <w:sz w:val="21"/>
                      <w:szCs w:val="21"/>
                      <w:highlight w:val="none"/>
                    </w:rPr>
                  </w:pPr>
                </w:p>
              </w:tc>
              <w:tc>
                <w:tcPr>
                  <w:tcW w:w="526" w:type="pct"/>
                  <w:vMerge w:val="continue"/>
                  <w:tcBorders>
                    <w:tl2br w:val="nil"/>
                    <w:tr2bl w:val="nil"/>
                  </w:tcBorders>
                  <w:noWrap w:val="0"/>
                  <w:vAlign w:val="center"/>
                </w:tcPr>
                <w:p w14:paraId="1818F0D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b/>
                      <w:bCs/>
                      <w:color w:val="auto"/>
                      <w:sz w:val="21"/>
                      <w:szCs w:val="21"/>
                      <w:highlight w:val="none"/>
                    </w:rPr>
                  </w:pPr>
                </w:p>
              </w:tc>
              <w:tc>
                <w:tcPr>
                  <w:tcW w:w="236" w:type="pct"/>
                  <w:tcBorders>
                    <w:tl2br w:val="nil"/>
                    <w:tr2bl w:val="nil"/>
                  </w:tcBorders>
                  <w:noWrap w:val="0"/>
                  <w:vAlign w:val="center"/>
                </w:tcPr>
                <w:p w14:paraId="3D39A169">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b/>
                      <w:bCs/>
                      <w:color w:val="auto"/>
                      <w:kern w:val="0"/>
                      <w:sz w:val="21"/>
                      <w:szCs w:val="21"/>
                      <w:highlight w:val="none"/>
                      <w:lang w:val="en-US" w:eastAsia="zh-CN" w:bidi="ar"/>
                    </w:rPr>
                  </w:pPr>
                  <w:r>
                    <w:rPr>
                      <w:rFonts w:hint="default" w:ascii="Times New Roman" w:hAnsi="Times New Roman" w:eastAsia="新宋体" w:cs="Times New Roman"/>
                      <w:b/>
                      <w:bCs/>
                      <w:color w:val="auto"/>
                      <w:kern w:val="0"/>
                      <w:sz w:val="21"/>
                      <w:szCs w:val="21"/>
                      <w:highlight w:val="none"/>
                      <w:lang w:val="en-US" w:eastAsia="zh-CN" w:bidi="ar"/>
                    </w:rPr>
                    <w:t>X</w:t>
                  </w:r>
                </w:p>
              </w:tc>
              <w:tc>
                <w:tcPr>
                  <w:tcW w:w="247" w:type="pct"/>
                  <w:tcBorders>
                    <w:tl2br w:val="nil"/>
                    <w:tr2bl w:val="nil"/>
                  </w:tcBorders>
                  <w:noWrap w:val="0"/>
                  <w:vAlign w:val="center"/>
                </w:tcPr>
                <w:p w14:paraId="0CE91431">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b/>
                      <w:bCs/>
                      <w:color w:val="auto"/>
                      <w:kern w:val="0"/>
                      <w:sz w:val="21"/>
                      <w:szCs w:val="21"/>
                      <w:highlight w:val="none"/>
                      <w:lang w:val="en-US" w:eastAsia="zh-CN" w:bidi="ar"/>
                    </w:rPr>
                  </w:pPr>
                  <w:r>
                    <w:rPr>
                      <w:rFonts w:hint="default" w:ascii="Times New Roman" w:hAnsi="Times New Roman" w:eastAsia="新宋体" w:cs="Times New Roman"/>
                      <w:b/>
                      <w:bCs/>
                      <w:color w:val="auto"/>
                      <w:kern w:val="0"/>
                      <w:sz w:val="21"/>
                      <w:szCs w:val="21"/>
                      <w:highlight w:val="none"/>
                      <w:lang w:val="en-US" w:eastAsia="zh-CN" w:bidi="ar"/>
                    </w:rPr>
                    <w:t>Y</w:t>
                  </w:r>
                </w:p>
              </w:tc>
              <w:tc>
                <w:tcPr>
                  <w:tcW w:w="248" w:type="pct"/>
                  <w:tcBorders>
                    <w:tl2br w:val="nil"/>
                    <w:tr2bl w:val="nil"/>
                  </w:tcBorders>
                  <w:noWrap w:val="0"/>
                  <w:vAlign w:val="center"/>
                </w:tcPr>
                <w:p w14:paraId="18F04C54">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b/>
                      <w:bCs/>
                      <w:color w:val="auto"/>
                      <w:kern w:val="0"/>
                      <w:sz w:val="21"/>
                      <w:szCs w:val="21"/>
                      <w:highlight w:val="none"/>
                      <w:lang w:val="en-US" w:eastAsia="zh-CN" w:bidi="ar"/>
                    </w:rPr>
                  </w:pPr>
                  <w:r>
                    <w:rPr>
                      <w:rFonts w:hint="default" w:ascii="Times New Roman" w:hAnsi="Times New Roman" w:eastAsia="新宋体" w:cs="Times New Roman"/>
                      <w:b/>
                      <w:bCs/>
                      <w:color w:val="auto"/>
                      <w:kern w:val="0"/>
                      <w:sz w:val="21"/>
                      <w:szCs w:val="21"/>
                      <w:highlight w:val="none"/>
                      <w:lang w:val="en-US" w:eastAsia="zh-CN" w:bidi="ar"/>
                    </w:rPr>
                    <w:t>Z</w:t>
                  </w:r>
                </w:p>
              </w:tc>
              <w:tc>
                <w:tcPr>
                  <w:tcW w:w="305" w:type="pct"/>
                  <w:vMerge w:val="continue"/>
                  <w:tcBorders>
                    <w:tl2br w:val="nil"/>
                    <w:tr2bl w:val="nil"/>
                  </w:tcBorders>
                  <w:noWrap w:val="0"/>
                  <w:vAlign w:val="center"/>
                </w:tcPr>
                <w:p w14:paraId="211CF0F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cs="Times New Roman"/>
                      <w:b/>
                      <w:bCs/>
                      <w:color w:val="auto"/>
                      <w:sz w:val="21"/>
                      <w:szCs w:val="21"/>
                      <w:highlight w:val="none"/>
                    </w:rPr>
                  </w:pPr>
                </w:p>
              </w:tc>
              <w:tc>
                <w:tcPr>
                  <w:tcW w:w="305" w:type="pct"/>
                  <w:vMerge w:val="continue"/>
                  <w:tcBorders>
                    <w:tl2br w:val="nil"/>
                    <w:tr2bl w:val="nil"/>
                  </w:tcBorders>
                  <w:noWrap w:val="0"/>
                  <w:vAlign w:val="center"/>
                </w:tcPr>
                <w:p w14:paraId="711CB7DF">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p>
              </w:tc>
              <w:tc>
                <w:tcPr>
                  <w:tcW w:w="359" w:type="pct"/>
                  <w:vMerge w:val="continue"/>
                  <w:tcBorders>
                    <w:tl2br w:val="nil"/>
                    <w:tr2bl w:val="nil"/>
                  </w:tcBorders>
                  <w:noWrap w:val="0"/>
                  <w:vAlign w:val="center"/>
                </w:tcPr>
                <w:p w14:paraId="46DD5119">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p>
              </w:tc>
              <w:tc>
                <w:tcPr>
                  <w:tcW w:w="359" w:type="pct"/>
                  <w:vMerge w:val="continue"/>
                  <w:tcBorders>
                    <w:tl2br w:val="nil"/>
                    <w:tr2bl w:val="nil"/>
                  </w:tcBorders>
                  <w:noWrap w:val="0"/>
                  <w:vAlign w:val="center"/>
                </w:tcPr>
                <w:p w14:paraId="346B125D">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p>
              </w:tc>
              <w:tc>
                <w:tcPr>
                  <w:tcW w:w="423" w:type="pct"/>
                  <w:tcBorders>
                    <w:tl2br w:val="nil"/>
                    <w:tr2bl w:val="nil"/>
                  </w:tcBorders>
                  <w:noWrap w:val="0"/>
                  <w:vAlign w:val="center"/>
                </w:tcPr>
                <w:p w14:paraId="372572D9">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cs="Times New Roman"/>
                      <w:b/>
                      <w:bCs/>
                      <w:color w:val="auto"/>
                      <w:highlight w:val="none"/>
                    </w:rPr>
                  </w:pPr>
                  <w:r>
                    <w:rPr>
                      <w:rFonts w:hint="default" w:ascii="Times New Roman" w:hAnsi="Times New Roman" w:eastAsia="新宋体" w:cs="Times New Roman"/>
                      <w:b/>
                      <w:bCs/>
                      <w:color w:val="auto"/>
                      <w:kern w:val="0"/>
                      <w:sz w:val="21"/>
                      <w:szCs w:val="21"/>
                      <w:highlight w:val="none"/>
                      <w:lang w:val="en-US" w:eastAsia="zh-CN" w:bidi="ar"/>
                    </w:rPr>
                    <w:t>声压级</w:t>
                  </w:r>
                </w:p>
                <w:p w14:paraId="4721CFFD">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dB（A）</w:t>
                  </w:r>
                </w:p>
              </w:tc>
              <w:tc>
                <w:tcPr>
                  <w:tcW w:w="376" w:type="pct"/>
                  <w:tcBorders>
                    <w:tl2br w:val="nil"/>
                    <w:tr2bl w:val="nil"/>
                  </w:tcBorders>
                  <w:noWrap w:val="0"/>
                  <w:vAlign w:val="center"/>
                </w:tcPr>
                <w:p w14:paraId="34CC8A7C">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eastAsia="新宋体" w:cs="Times New Roman"/>
                      <w:b/>
                      <w:bCs/>
                      <w:color w:val="auto"/>
                      <w:kern w:val="0"/>
                      <w:sz w:val="21"/>
                      <w:szCs w:val="21"/>
                      <w:highlight w:val="none"/>
                      <w:lang w:val="en-US" w:eastAsia="zh-CN" w:bidi="ar"/>
                    </w:rPr>
                    <w:t>建筑物外距离</w:t>
                  </w:r>
                </w:p>
              </w:tc>
            </w:tr>
            <w:tr w14:paraId="311A19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2" w:type="pct"/>
                  <w:vMerge w:val="restart"/>
                  <w:tcBorders>
                    <w:tl2br w:val="nil"/>
                    <w:tr2bl w:val="nil"/>
                  </w:tcBorders>
                  <w:noWrap w:val="0"/>
                  <w:vAlign w:val="center"/>
                </w:tcPr>
                <w:p w14:paraId="411860C0">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default" w:ascii="Times New Roman" w:hAnsi="Times New Roman" w:eastAsia="新宋体" w:cs="Times New Roman"/>
                      <w:color w:val="auto"/>
                      <w:kern w:val="0"/>
                      <w:sz w:val="21"/>
                      <w:szCs w:val="21"/>
                      <w:highlight w:val="none"/>
                      <w:lang w:val="en-US" w:eastAsia="zh-CN" w:bidi="ar"/>
                    </w:rPr>
                    <w:t>1</w:t>
                  </w:r>
                </w:p>
              </w:tc>
              <w:tc>
                <w:tcPr>
                  <w:tcW w:w="245" w:type="pct"/>
                  <w:vMerge w:val="restart"/>
                  <w:tcBorders>
                    <w:tl2br w:val="nil"/>
                    <w:tr2bl w:val="nil"/>
                  </w:tcBorders>
                  <w:noWrap w:val="0"/>
                  <w:vAlign w:val="center"/>
                </w:tcPr>
                <w:p w14:paraId="6437F628">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热源站</w:t>
                  </w:r>
                </w:p>
              </w:tc>
              <w:tc>
                <w:tcPr>
                  <w:tcW w:w="642" w:type="pct"/>
                  <w:tcBorders>
                    <w:tl2br w:val="nil"/>
                    <w:tr2bl w:val="nil"/>
                  </w:tcBorders>
                  <w:noWrap w:val="0"/>
                  <w:vAlign w:val="center"/>
                </w:tcPr>
                <w:p w14:paraId="684C6570">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新宋体" w:cs="Times New Roman"/>
                      <w:color w:val="auto"/>
                      <w:kern w:val="0"/>
                      <w:sz w:val="21"/>
                      <w:szCs w:val="21"/>
                      <w:highlight w:val="none"/>
                      <w:lang w:val="en-US" w:eastAsia="zh-CN" w:bidi="ar"/>
                    </w:rPr>
                  </w:pPr>
                  <w:r>
                    <w:rPr>
                      <w:rFonts w:hint="eastAsia" w:cs="Times New Roman"/>
                      <w:color w:val="auto"/>
                      <w:sz w:val="21"/>
                      <w:szCs w:val="21"/>
                      <w:highlight w:val="none"/>
                      <w:lang w:val="en-US" w:eastAsia="zh-CN"/>
                    </w:rPr>
                    <w:t>锅炉1#</w:t>
                  </w:r>
                </w:p>
              </w:tc>
              <w:tc>
                <w:tcPr>
                  <w:tcW w:w="462" w:type="pct"/>
                  <w:tcBorders>
                    <w:tl2br w:val="nil"/>
                    <w:tr2bl w:val="nil"/>
                  </w:tcBorders>
                  <w:noWrap w:val="0"/>
                  <w:vAlign w:val="center"/>
                </w:tcPr>
                <w:p w14:paraId="2C587760">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70</w:t>
                  </w:r>
                </w:p>
              </w:tc>
              <w:tc>
                <w:tcPr>
                  <w:tcW w:w="526" w:type="pct"/>
                  <w:vMerge w:val="restart"/>
                  <w:tcBorders>
                    <w:tl2br w:val="nil"/>
                    <w:tr2bl w:val="nil"/>
                  </w:tcBorders>
                  <w:noWrap w:val="0"/>
                  <w:vAlign w:val="center"/>
                </w:tcPr>
                <w:p w14:paraId="57AF6E86">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default" w:ascii="Times New Roman" w:hAnsi="Times New Roman" w:eastAsia="新宋体" w:cs="Times New Roman"/>
                      <w:color w:val="auto"/>
                      <w:kern w:val="0"/>
                      <w:sz w:val="21"/>
                      <w:szCs w:val="21"/>
                      <w:highlight w:val="none"/>
                      <w:lang w:val="en-US" w:eastAsia="zh-CN" w:bidi="ar"/>
                    </w:rPr>
                    <w:t>基础减振</w:t>
                  </w:r>
                  <w:r>
                    <w:rPr>
                      <w:rFonts w:hint="eastAsia" w:eastAsia="新宋体" w:cs="Times New Roman"/>
                      <w:color w:val="auto"/>
                      <w:kern w:val="0"/>
                      <w:sz w:val="21"/>
                      <w:szCs w:val="21"/>
                      <w:highlight w:val="none"/>
                      <w:lang w:val="en-US" w:eastAsia="zh-CN" w:bidi="ar"/>
                    </w:rPr>
                    <w:t>、热源站墙壁隔声处理，双层窗等</w:t>
                  </w:r>
                </w:p>
              </w:tc>
              <w:tc>
                <w:tcPr>
                  <w:tcW w:w="236" w:type="pct"/>
                  <w:tcBorders>
                    <w:tl2br w:val="nil"/>
                    <w:tr2bl w:val="nil"/>
                  </w:tcBorders>
                  <w:noWrap w:val="0"/>
                  <w:vAlign w:val="center"/>
                </w:tcPr>
                <w:p w14:paraId="1603FE47">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6</w:t>
                  </w:r>
                </w:p>
              </w:tc>
              <w:tc>
                <w:tcPr>
                  <w:tcW w:w="247" w:type="pct"/>
                  <w:tcBorders>
                    <w:tl2br w:val="nil"/>
                    <w:tr2bl w:val="nil"/>
                  </w:tcBorders>
                  <w:noWrap w:val="0"/>
                  <w:vAlign w:val="center"/>
                </w:tcPr>
                <w:p w14:paraId="371D61D1">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2.5</w:t>
                  </w:r>
                </w:p>
              </w:tc>
              <w:tc>
                <w:tcPr>
                  <w:tcW w:w="248" w:type="pct"/>
                  <w:tcBorders>
                    <w:tl2br w:val="nil"/>
                    <w:tr2bl w:val="nil"/>
                  </w:tcBorders>
                  <w:noWrap w:val="0"/>
                  <w:vAlign w:val="center"/>
                </w:tcPr>
                <w:p w14:paraId="490A5BBF">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0.5</w:t>
                  </w:r>
                </w:p>
              </w:tc>
              <w:tc>
                <w:tcPr>
                  <w:tcW w:w="305" w:type="pct"/>
                  <w:vMerge w:val="restart"/>
                  <w:tcBorders>
                    <w:tl2br w:val="nil"/>
                    <w:tr2bl w:val="nil"/>
                  </w:tcBorders>
                  <w:noWrap w:val="0"/>
                  <w:vAlign w:val="center"/>
                </w:tcPr>
                <w:p w14:paraId="0B0517B8">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eastAsia" w:ascii="Times New Roman" w:hAnsi="Times New Roman" w:eastAsia="新宋体" w:cs="Times New Roman"/>
                      <w:color w:val="auto"/>
                      <w:kern w:val="0"/>
                      <w:sz w:val="21"/>
                      <w:szCs w:val="21"/>
                      <w:highlight w:val="none"/>
                      <w:lang w:val="en-US" w:eastAsia="zh-CN" w:bidi="ar"/>
                    </w:rPr>
                  </w:pPr>
                  <w:r>
                    <w:rPr>
                      <w:rFonts w:hint="eastAsia" w:ascii="Times New Roman" w:hAnsi="Times New Roman" w:eastAsia="新宋体" w:cs="Times New Roman"/>
                      <w:color w:val="auto"/>
                      <w:kern w:val="0"/>
                      <w:sz w:val="21"/>
                      <w:szCs w:val="21"/>
                      <w:highlight w:val="none"/>
                      <w:lang w:val="en-US" w:eastAsia="zh-CN" w:bidi="ar"/>
                    </w:rPr>
                    <w:t>24</w:t>
                  </w:r>
                </w:p>
                <w:p w14:paraId="1E957FEA">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ascii="Times New Roman" w:hAnsi="Times New Roman" w:eastAsia="新宋体" w:cs="Times New Roman"/>
                      <w:color w:val="auto"/>
                      <w:kern w:val="0"/>
                      <w:sz w:val="21"/>
                      <w:szCs w:val="21"/>
                      <w:highlight w:val="none"/>
                      <w:lang w:val="en-US" w:eastAsia="zh-CN" w:bidi="ar"/>
                    </w:rPr>
                    <w:t>小时</w:t>
                  </w:r>
                </w:p>
              </w:tc>
              <w:tc>
                <w:tcPr>
                  <w:tcW w:w="305" w:type="pct"/>
                  <w:tcBorders>
                    <w:tl2br w:val="nil"/>
                    <w:tr2bl w:val="nil"/>
                  </w:tcBorders>
                  <w:noWrap w:val="0"/>
                  <w:vAlign w:val="center"/>
                </w:tcPr>
                <w:p w14:paraId="2C82FC3C">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2.5</w:t>
                  </w:r>
                </w:p>
              </w:tc>
              <w:tc>
                <w:tcPr>
                  <w:tcW w:w="359" w:type="pct"/>
                  <w:tcBorders>
                    <w:tl2br w:val="nil"/>
                    <w:tr2bl w:val="nil"/>
                  </w:tcBorders>
                  <w:noWrap w:val="0"/>
                  <w:vAlign w:val="center"/>
                </w:tcPr>
                <w:p w14:paraId="44353D97">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62</w:t>
                  </w:r>
                </w:p>
              </w:tc>
              <w:tc>
                <w:tcPr>
                  <w:tcW w:w="359" w:type="pct"/>
                  <w:tcBorders>
                    <w:tl2br w:val="nil"/>
                    <w:tr2bl w:val="nil"/>
                  </w:tcBorders>
                  <w:noWrap w:val="0"/>
                  <w:vAlign w:val="center"/>
                </w:tcPr>
                <w:p w14:paraId="46680502">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21</w:t>
                  </w:r>
                </w:p>
              </w:tc>
              <w:tc>
                <w:tcPr>
                  <w:tcW w:w="423" w:type="pct"/>
                  <w:tcBorders>
                    <w:tl2br w:val="nil"/>
                    <w:tr2bl w:val="nil"/>
                  </w:tcBorders>
                  <w:noWrap w:val="0"/>
                  <w:vAlign w:val="center"/>
                </w:tcPr>
                <w:p w14:paraId="28C0CC5D">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41</w:t>
                  </w:r>
                </w:p>
              </w:tc>
              <w:tc>
                <w:tcPr>
                  <w:tcW w:w="376" w:type="pct"/>
                  <w:tcBorders>
                    <w:tl2br w:val="nil"/>
                    <w:tr2bl w:val="nil"/>
                  </w:tcBorders>
                  <w:noWrap w:val="0"/>
                  <w:vAlign w:val="center"/>
                </w:tcPr>
                <w:p w14:paraId="412FCE7E">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1</w:t>
                  </w:r>
                </w:p>
              </w:tc>
            </w:tr>
            <w:tr w14:paraId="1DD77C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262" w:type="pct"/>
                  <w:vMerge w:val="continue"/>
                  <w:tcBorders>
                    <w:tl2br w:val="nil"/>
                    <w:tr2bl w:val="nil"/>
                  </w:tcBorders>
                  <w:noWrap w:val="0"/>
                  <w:vAlign w:val="center"/>
                </w:tcPr>
                <w:p w14:paraId="175E08A0">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p>
              </w:tc>
              <w:tc>
                <w:tcPr>
                  <w:tcW w:w="245" w:type="pct"/>
                  <w:vMerge w:val="continue"/>
                  <w:tcBorders>
                    <w:tl2br w:val="nil"/>
                    <w:tr2bl w:val="nil"/>
                  </w:tcBorders>
                  <w:noWrap w:val="0"/>
                  <w:vAlign w:val="center"/>
                </w:tcPr>
                <w:p w14:paraId="20AF5FC8">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p>
              </w:tc>
              <w:tc>
                <w:tcPr>
                  <w:tcW w:w="642" w:type="pct"/>
                  <w:tcBorders>
                    <w:tl2br w:val="nil"/>
                    <w:tr2bl w:val="nil"/>
                  </w:tcBorders>
                  <w:noWrap w:val="0"/>
                  <w:vAlign w:val="center"/>
                </w:tcPr>
                <w:p w14:paraId="1F042227">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新宋体" w:cs="Times New Roman"/>
                      <w:color w:val="auto"/>
                      <w:kern w:val="0"/>
                      <w:sz w:val="21"/>
                      <w:szCs w:val="21"/>
                      <w:highlight w:val="none"/>
                      <w:lang w:val="en-US" w:eastAsia="zh-CN" w:bidi="ar"/>
                    </w:rPr>
                  </w:pPr>
                  <w:r>
                    <w:rPr>
                      <w:rFonts w:hint="eastAsia" w:cs="Times New Roman"/>
                      <w:color w:val="auto"/>
                      <w:sz w:val="21"/>
                      <w:szCs w:val="21"/>
                      <w:highlight w:val="none"/>
                      <w:lang w:val="en-US" w:eastAsia="zh-CN"/>
                    </w:rPr>
                    <w:t>锅炉2#</w:t>
                  </w:r>
                </w:p>
              </w:tc>
              <w:tc>
                <w:tcPr>
                  <w:tcW w:w="462" w:type="pct"/>
                  <w:tcBorders>
                    <w:tl2br w:val="nil"/>
                    <w:tr2bl w:val="nil"/>
                  </w:tcBorders>
                  <w:noWrap w:val="0"/>
                  <w:vAlign w:val="center"/>
                </w:tcPr>
                <w:p w14:paraId="06A24364">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70</w:t>
                  </w:r>
                </w:p>
              </w:tc>
              <w:tc>
                <w:tcPr>
                  <w:tcW w:w="526" w:type="pct"/>
                  <w:vMerge w:val="continue"/>
                  <w:tcBorders>
                    <w:tl2br w:val="nil"/>
                    <w:tr2bl w:val="nil"/>
                  </w:tcBorders>
                  <w:noWrap w:val="0"/>
                  <w:vAlign w:val="center"/>
                </w:tcPr>
                <w:p w14:paraId="13245E0D">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p>
              </w:tc>
              <w:tc>
                <w:tcPr>
                  <w:tcW w:w="236" w:type="pct"/>
                  <w:tcBorders>
                    <w:tl2br w:val="nil"/>
                    <w:tr2bl w:val="nil"/>
                  </w:tcBorders>
                  <w:noWrap w:val="0"/>
                  <w:vAlign w:val="center"/>
                </w:tcPr>
                <w:p w14:paraId="47AA0BE7">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4.5</w:t>
                  </w:r>
                </w:p>
              </w:tc>
              <w:tc>
                <w:tcPr>
                  <w:tcW w:w="247" w:type="pct"/>
                  <w:tcBorders>
                    <w:tl2br w:val="nil"/>
                    <w:tr2bl w:val="nil"/>
                  </w:tcBorders>
                  <w:noWrap w:val="0"/>
                  <w:vAlign w:val="center"/>
                </w:tcPr>
                <w:p w14:paraId="75BDF5B4">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2.5</w:t>
                  </w:r>
                </w:p>
              </w:tc>
              <w:tc>
                <w:tcPr>
                  <w:tcW w:w="248" w:type="pct"/>
                  <w:tcBorders>
                    <w:tl2br w:val="nil"/>
                    <w:tr2bl w:val="nil"/>
                  </w:tcBorders>
                  <w:noWrap w:val="0"/>
                  <w:vAlign w:val="center"/>
                </w:tcPr>
                <w:p w14:paraId="69E9CFE8">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0.5</w:t>
                  </w:r>
                </w:p>
              </w:tc>
              <w:tc>
                <w:tcPr>
                  <w:tcW w:w="305" w:type="pct"/>
                  <w:vMerge w:val="continue"/>
                  <w:tcBorders>
                    <w:tl2br w:val="nil"/>
                    <w:tr2bl w:val="nil"/>
                  </w:tcBorders>
                  <w:noWrap w:val="0"/>
                  <w:vAlign w:val="center"/>
                </w:tcPr>
                <w:p w14:paraId="15B97C12">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p>
              </w:tc>
              <w:tc>
                <w:tcPr>
                  <w:tcW w:w="305" w:type="pct"/>
                  <w:tcBorders>
                    <w:tl2br w:val="nil"/>
                    <w:tr2bl w:val="nil"/>
                  </w:tcBorders>
                  <w:noWrap w:val="0"/>
                  <w:vAlign w:val="center"/>
                </w:tcPr>
                <w:p w14:paraId="4015EFF7">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2.5</w:t>
                  </w:r>
                </w:p>
              </w:tc>
              <w:tc>
                <w:tcPr>
                  <w:tcW w:w="359" w:type="pct"/>
                  <w:tcBorders>
                    <w:tl2br w:val="nil"/>
                    <w:tr2bl w:val="nil"/>
                  </w:tcBorders>
                  <w:noWrap w:val="0"/>
                  <w:vAlign w:val="center"/>
                </w:tcPr>
                <w:p w14:paraId="461BAF3E">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62</w:t>
                  </w:r>
                </w:p>
              </w:tc>
              <w:tc>
                <w:tcPr>
                  <w:tcW w:w="359" w:type="pct"/>
                  <w:tcBorders>
                    <w:tl2br w:val="nil"/>
                    <w:tr2bl w:val="nil"/>
                  </w:tcBorders>
                  <w:noWrap w:val="0"/>
                  <w:vAlign w:val="center"/>
                </w:tcPr>
                <w:p w14:paraId="47F98FC5">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21</w:t>
                  </w:r>
                </w:p>
              </w:tc>
              <w:tc>
                <w:tcPr>
                  <w:tcW w:w="423" w:type="pct"/>
                  <w:tcBorders>
                    <w:tl2br w:val="nil"/>
                    <w:tr2bl w:val="nil"/>
                  </w:tcBorders>
                  <w:noWrap w:val="0"/>
                  <w:vAlign w:val="center"/>
                </w:tcPr>
                <w:p w14:paraId="4F28549B">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41</w:t>
                  </w:r>
                </w:p>
              </w:tc>
              <w:tc>
                <w:tcPr>
                  <w:tcW w:w="376" w:type="pct"/>
                  <w:tcBorders>
                    <w:tl2br w:val="nil"/>
                    <w:tr2bl w:val="nil"/>
                  </w:tcBorders>
                  <w:noWrap w:val="0"/>
                  <w:vAlign w:val="center"/>
                </w:tcPr>
                <w:p w14:paraId="4FCCEF7C">
                  <w:pPr>
                    <w:keepNext w:val="0"/>
                    <w:keepLines w:val="0"/>
                    <w:pageBreakBefore w:val="0"/>
                    <w:widowControl/>
                    <w:suppressLineNumbers w:val="0"/>
                    <w:kinsoku/>
                    <w:wordWrap/>
                    <w:overflowPunct/>
                    <w:topLinePunct w:val="0"/>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新宋体" w:cs="Times New Roman"/>
                      <w:color w:val="auto"/>
                      <w:kern w:val="0"/>
                      <w:sz w:val="21"/>
                      <w:szCs w:val="21"/>
                      <w:highlight w:val="none"/>
                      <w:lang w:val="en-US" w:eastAsia="zh-CN" w:bidi="ar"/>
                    </w:rPr>
                  </w:pPr>
                  <w:r>
                    <w:rPr>
                      <w:rFonts w:hint="eastAsia" w:eastAsia="新宋体" w:cs="Times New Roman"/>
                      <w:color w:val="auto"/>
                      <w:kern w:val="0"/>
                      <w:sz w:val="21"/>
                      <w:szCs w:val="21"/>
                      <w:highlight w:val="none"/>
                      <w:lang w:val="en-US" w:eastAsia="zh-CN" w:bidi="ar"/>
                    </w:rPr>
                    <w:t>1</w:t>
                  </w:r>
                </w:p>
              </w:tc>
            </w:tr>
          </w:tbl>
          <w:p w14:paraId="4B3A8AB7">
            <w:pPr>
              <w:numPr>
                <w:ilvl w:val="0"/>
                <w:numId w:val="0"/>
              </w:numPr>
              <w:spacing w:line="360" w:lineRule="auto"/>
              <w:ind w:firstLine="482" w:firstLineChars="200"/>
              <w:rPr>
                <w:rFonts w:hint="default"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3.2噪声治理措施</w:t>
            </w:r>
          </w:p>
          <w:p w14:paraId="07C5B792">
            <w:pPr>
              <w:widowControl/>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为确保项目运营期厂界噪声达标，项目采用的噪声治理措施如下：</w:t>
            </w:r>
          </w:p>
          <w:p w14:paraId="7C7916DD">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firstLine="480"/>
              <w:textAlignment w:val="auto"/>
              <w:rPr>
                <w:rFonts w:hint="eastAsia" w:ascii="Times New Roman" w:hAnsi="Times New Roman" w:cs="Times New Roman"/>
                <w:bCs/>
                <w:snapToGrid w:val="0"/>
                <w:color w:val="auto"/>
                <w:kern w:val="0"/>
                <w:sz w:val="24"/>
                <w:szCs w:val="24"/>
                <w:highlight w:val="none"/>
                <w:lang w:eastAsia="zh-CN"/>
              </w:rPr>
            </w:pPr>
            <w:r>
              <w:rPr>
                <w:rFonts w:ascii="Times New Roman" w:hAnsi="Times New Roman" w:cs="Times New Roman"/>
                <w:bCs/>
                <w:snapToGrid w:val="0"/>
                <w:color w:val="auto"/>
                <w:kern w:val="0"/>
                <w:sz w:val="24"/>
                <w:szCs w:val="24"/>
                <w:highlight w:val="none"/>
              </w:rPr>
              <w:t>尽量选用运行噪声低的设备，以从声源上降低设备本身噪声。对高噪声设备须采取减振</w:t>
            </w:r>
            <w:r>
              <w:rPr>
                <w:rFonts w:hint="eastAsia" w:ascii="Times New Roman" w:hAnsi="Times New Roman" w:cs="Times New Roman"/>
                <w:bCs/>
                <w:snapToGrid w:val="0"/>
                <w:color w:val="auto"/>
                <w:kern w:val="0"/>
                <w:sz w:val="24"/>
                <w:szCs w:val="24"/>
                <w:highlight w:val="none"/>
                <w:lang w:eastAsia="zh-CN"/>
              </w:rPr>
              <w:t>；</w:t>
            </w:r>
          </w:p>
          <w:p w14:paraId="20B4CC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bCs/>
                <w:snapToGrid w:val="0"/>
                <w:color w:val="auto"/>
                <w:kern w:val="0"/>
                <w:sz w:val="24"/>
                <w:szCs w:val="24"/>
                <w:highlight w:val="none"/>
                <w:lang w:val="en-US" w:eastAsia="zh-CN"/>
              </w:rPr>
            </w:pPr>
            <w:r>
              <w:rPr>
                <w:rFonts w:hint="eastAsia" w:ascii="Times New Roman" w:hAnsi="Times New Roman" w:eastAsia="宋体" w:cs="Times New Roman"/>
                <w:bCs/>
                <w:snapToGrid w:val="0"/>
                <w:color w:val="auto"/>
                <w:kern w:val="0"/>
                <w:sz w:val="24"/>
                <w:szCs w:val="24"/>
                <w:highlight w:val="none"/>
                <w:lang w:eastAsia="zh-CN"/>
              </w:rPr>
              <w:t>（</w:t>
            </w:r>
            <w:r>
              <w:rPr>
                <w:rFonts w:hint="eastAsia" w:ascii="Times New Roman" w:hAnsi="Times New Roman" w:eastAsia="宋体" w:cs="Times New Roman"/>
                <w:bCs/>
                <w:snapToGrid w:val="0"/>
                <w:color w:val="auto"/>
                <w:kern w:val="0"/>
                <w:sz w:val="24"/>
                <w:szCs w:val="24"/>
                <w:highlight w:val="none"/>
                <w:lang w:val="en-US" w:eastAsia="zh-CN"/>
              </w:rPr>
              <w:t>2</w:t>
            </w:r>
            <w:r>
              <w:rPr>
                <w:rFonts w:hint="eastAsia" w:ascii="Times New Roman" w:hAnsi="Times New Roman" w:eastAsia="宋体" w:cs="Times New Roman"/>
                <w:bCs/>
                <w:snapToGrid w:val="0"/>
                <w:color w:val="auto"/>
                <w:kern w:val="0"/>
                <w:sz w:val="24"/>
                <w:szCs w:val="24"/>
                <w:highlight w:val="none"/>
                <w:lang w:eastAsia="zh-CN"/>
              </w:rPr>
              <w:t>）热源站</w:t>
            </w:r>
            <w:r>
              <w:rPr>
                <w:rFonts w:hint="eastAsia" w:ascii="Times New Roman" w:hAnsi="Times New Roman" w:eastAsia="宋体" w:cs="Times New Roman"/>
                <w:bCs/>
                <w:snapToGrid w:val="0"/>
                <w:color w:val="auto"/>
                <w:kern w:val="0"/>
                <w:sz w:val="24"/>
                <w:szCs w:val="24"/>
                <w:highlight w:val="none"/>
                <w:lang w:val="en-US" w:eastAsia="zh-CN"/>
              </w:rPr>
              <w:t>墙体加装隔音棉等隔声材料；</w:t>
            </w:r>
          </w:p>
          <w:p w14:paraId="22ADD1B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highlight w:val="none"/>
                <w:lang w:val="en-US" w:eastAsia="zh-CN"/>
              </w:rPr>
            </w:pPr>
            <w:r>
              <w:rPr>
                <w:rFonts w:ascii="Times New Roman" w:hAnsi="Times New Roman" w:eastAsia="宋体" w:cs="Times New Roman"/>
                <w:bCs/>
                <w:snapToGrid w:val="0"/>
                <w:color w:val="auto"/>
                <w:kern w:val="0"/>
                <w:sz w:val="24"/>
                <w:szCs w:val="24"/>
                <w:highlight w:val="none"/>
              </w:rPr>
              <w:t>（</w:t>
            </w:r>
            <w:r>
              <w:rPr>
                <w:rFonts w:hint="eastAsia" w:ascii="Times New Roman" w:hAnsi="Times New Roman" w:eastAsia="宋体" w:cs="Times New Roman"/>
                <w:bCs/>
                <w:snapToGrid w:val="0"/>
                <w:color w:val="auto"/>
                <w:kern w:val="0"/>
                <w:sz w:val="24"/>
                <w:szCs w:val="24"/>
                <w:highlight w:val="none"/>
                <w:lang w:val="en-US" w:eastAsia="zh-CN"/>
              </w:rPr>
              <w:t>3</w:t>
            </w:r>
            <w:r>
              <w:rPr>
                <w:rFonts w:ascii="Times New Roman" w:hAnsi="Times New Roman" w:eastAsia="宋体" w:cs="Times New Roman"/>
                <w:bCs/>
                <w:snapToGrid w:val="0"/>
                <w:color w:val="auto"/>
                <w:kern w:val="0"/>
                <w:sz w:val="24"/>
                <w:szCs w:val="24"/>
                <w:highlight w:val="none"/>
              </w:rPr>
              <w:t>）</w:t>
            </w:r>
            <w:r>
              <w:rPr>
                <w:rFonts w:hint="eastAsia" w:ascii="Times New Roman" w:hAnsi="Times New Roman" w:eastAsia="宋体" w:cs="Times New Roman"/>
                <w:bCs/>
                <w:snapToGrid w:val="0"/>
                <w:color w:val="auto"/>
                <w:kern w:val="0"/>
                <w:sz w:val="24"/>
                <w:szCs w:val="24"/>
                <w:highlight w:val="none"/>
              </w:rPr>
              <w:t>热源站</w:t>
            </w:r>
            <w:r>
              <w:rPr>
                <w:rFonts w:hint="eastAsia" w:ascii="Times New Roman" w:hAnsi="Times New Roman" w:eastAsia="宋体" w:cs="Times New Roman"/>
                <w:color w:val="auto"/>
                <w:sz w:val="24"/>
                <w:highlight w:val="none"/>
                <w:lang w:val="en-US" w:eastAsia="zh-CN"/>
              </w:rPr>
              <w:t>窗户尽量不对着敏感点，减少门窗开启次数；</w:t>
            </w:r>
          </w:p>
          <w:p w14:paraId="264680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snapToGrid w:val="0"/>
                <w:color w:val="auto"/>
                <w:kern w:val="0"/>
                <w:sz w:val="24"/>
                <w:szCs w:val="24"/>
                <w:highlight w:val="none"/>
                <w:lang w:val="en-US" w:eastAsia="zh-CN"/>
              </w:rPr>
            </w:pPr>
            <w:r>
              <w:rPr>
                <w:rFonts w:hint="eastAsia" w:cs="Times New Roman"/>
                <w:color w:val="auto"/>
                <w:sz w:val="24"/>
                <w:highlight w:val="none"/>
                <w:lang w:val="en-US" w:eastAsia="zh-CN"/>
              </w:rPr>
              <w:t>（4）</w:t>
            </w:r>
            <w:r>
              <w:rPr>
                <w:rFonts w:hint="eastAsia" w:ascii="Times New Roman" w:hAnsi="Times New Roman" w:eastAsia="宋体" w:cs="Times New Roman"/>
                <w:bCs/>
                <w:snapToGrid w:val="0"/>
                <w:color w:val="auto"/>
                <w:kern w:val="0"/>
                <w:sz w:val="24"/>
                <w:szCs w:val="24"/>
                <w:highlight w:val="none"/>
                <w:lang w:val="en-US" w:eastAsia="zh-CN"/>
              </w:rPr>
              <w:t>水泵与水管采用柔性连接；</w:t>
            </w:r>
          </w:p>
          <w:p w14:paraId="67ED69A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snapToGrid w:val="0"/>
                <w:color w:val="auto"/>
                <w:kern w:val="0"/>
                <w:sz w:val="24"/>
                <w:szCs w:val="24"/>
                <w:highlight w:val="none"/>
                <w:lang w:val="en-US" w:eastAsia="zh-CN"/>
              </w:rPr>
            </w:pPr>
            <w:r>
              <w:rPr>
                <w:rFonts w:hint="eastAsia" w:ascii="Times New Roman" w:hAnsi="Times New Roman" w:eastAsia="宋体" w:cs="Times New Roman"/>
                <w:bCs/>
                <w:snapToGrid w:val="0"/>
                <w:color w:val="auto"/>
                <w:kern w:val="0"/>
                <w:sz w:val="24"/>
                <w:szCs w:val="24"/>
                <w:highlight w:val="none"/>
                <w:lang w:eastAsia="zh-CN"/>
              </w:rPr>
              <w:t>（</w:t>
            </w:r>
            <w:r>
              <w:rPr>
                <w:rFonts w:hint="eastAsia" w:cs="Times New Roman"/>
                <w:bCs/>
                <w:snapToGrid w:val="0"/>
                <w:color w:val="auto"/>
                <w:kern w:val="0"/>
                <w:sz w:val="24"/>
                <w:szCs w:val="24"/>
                <w:highlight w:val="none"/>
                <w:lang w:val="en-US" w:eastAsia="zh-CN"/>
              </w:rPr>
              <w:t>5</w:t>
            </w:r>
            <w:r>
              <w:rPr>
                <w:rFonts w:hint="eastAsia" w:ascii="Times New Roman" w:hAnsi="Times New Roman" w:eastAsia="宋体" w:cs="Times New Roman"/>
                <w:bCs/>
                <w:snapToGrid w:val="0"/>
                <w:color w:val="auto"/>
                <w:kern w:val="0"/>
                <w:sz w:val="24"/>
                <w:szCs w:val="24"/>
                <w:highlight w:val="none"/>
                <w:lang w:eastAsia="zh-CN"/>
              </w:rPr>
              <w:t>）</w:t>
            </w:r>
            <w:r>
              <w:rPr>
                <w:rFonts w:ascii="Times New Roman" w:hAnsi="Times New Roman" w:eastAsia="宋体" w:cs="Times New Roman"/>
                <w:bCs/>
                <w:snapToGrid w:val="0"/>
                <w:color w:val="auto"/>
                <w:kern w:val="0"/>
                <w:sz w:val="24"/>
                <w:szCs w:val="24"/>
                <w:highlight w:val="none"/>
              </w:rPr>
              <w:t>平时生产中需加强对各设备的维修、保养，定期维护设备，确保设备处于良好的运转状态，杜绝因设备不正常运转而产生的高噪声现象，必要时应及时更换。</w:t>
            </w:r>
          </w:p>
          <w:p w14:paraId="571C129A">
            <w:pPr>
              <w:numPr>
                <w:ilvl w:val="0"/>
                <w:numId w:val="0"/>
              </w:numPr>
              <w:spacing w:line="360" w:lineRule="auto"/>
              <w:ind w:firstLine="482" w:firstLineChars="200"/>
              <w:rPr>
                <w:rFonts w:hint="default" w:ascii="Times New Roman" w:hAnsi="Times New Roman"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3.3</w:t>
            </w:r>
            <w:r>
              <w:rPr>
                <w:rFonts w:hint="default" w:ascii="Times New Roman" w:hAnsi="Times New Roman" w:cs="Times New Roman"/>
                <w:b/>
                <w:bCs/>
                <w:color w:val="auto"/>
                <w:sz w:val="24"/>
                <w:szCs w:val="24"/>
                <w:highlight w:val="none"/>
                <w:lang w:val="en-US" w:eastAsia="zh-CN"/>
              </w:rPr>
              <w:t>噪声预测</w:t>
            </w:r>
          </w:p>
          <w:p w14:paraId="7CD55505">
            <w:pPr>
              <w:numPr>
                <w:ilvl w:val="0"/>
                <w:numId w:val="0"/>
              </w:numPr>
              <w:spacing w:line="360" w:lineRule="auto"/>
              <w:ind w:firstLine="480" w:firstLineChars="200"/>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根据项目的噪声排放特点，结合《环境影响评价技术导则 声环境》（HJ2.4-20</w:t>
            </w:r>
            <w:r>
              <w:rPr>
                <w:rFonts w:hint="eastAsia" w:cs="Times New Roman"/>
                <w:color w:val="000000" w:themeColor="text1"/>
                <w:sz w:val="24"/>
                <w:szCs w:val="24"/>
                <w:highlight w:val="none"/>
                <w:lang w:val="en-US" w:eastAsia="zh-CN"/>
                <w14:textFill>
                  <w14:solidFill>
                    <w14:schemeClr w14:val="tx1"/>
                  </w14:solidFill>
                </w14:textFill>
              </w:rPr>
              <w:t>21</w:t>
            </w:r>
            <w:r>
              <w:rPr>
                <w:rFonts w:hint="default" w:ascii="Times New Roman" w:hAnsi="Times New Roman" w:cs="Times New Roman"/>
                <w:color w:val="000000" w:themeColor="text1"/>
                <w:sz w:val="24"/>
                <w:szCs w:val="24"/>
                <w:highlight w:val="none"/>
                <w14:textFill>
                  <w14:solidFill>
                    <w14:schemeClr w14:val="tx1"/>
                  </w14:solidFill>
                </w14:textFill>
              </w:rPr>
              <w:t>）的要求，预测模式采用</w:t>
            </w:r>
            <w:r>
              <w:rPr>
                <w:rFonts w:hint="eastAsia" w:cs="Times New Roman"/>
                <w:color w:val="000000" w:themeColor="text1"/>
                <w:sz w:val="24"/>
                <w:szCs w:val="24"/>
                <w:highlight w:val="none"/>
                <w:lang w:eastAsia="zh-CN"/>
                <w14:textFill>
                  <w14:solidFill>
                    <w14:schemeClr w14:val="tx1"/>
                  </w14:solidFill>
                </w14:textFill>
              </w:rPr>
              <w:t>“B.1工业噪声预测计算模型”</w:t>
            </w:r>
            <w:r>
              <w:rPr>
                <w:rFonts w:hint="default" w:ascii="Times New Roman" w:hAnsi="Times New Roman" w:cs="Times New Roman"/>
                <w:color w:val="000000" w:themeColor="text1"/>
                <w:sz w:val="24"/>
                <w:szCs w:val="24"/>
                <w:highlight w:val="none"/>
                <w14:textFill>
                  <w14:solidFill>
                    <w14:schemeClr w14:val="tx1"/>
                  </w14:solidFill>
                </w14:textFill>
              </w:rPr>
              <w:t>计算模式。</w:t>
            </w:r>
          </w:p>
          <w:p w14:paraId="22A73470">
            <w:pPr>
              <w:widowControl/>
              <w:spacing w:line="360" w:lineRule="auto"/>
              <w:ind w:firstLine="480" w:firstLineChars="200"/>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1）预测方案</w:t>
            </w:r>
          </w:p>
          <w:p w14:paraId="5840B1FD">
            <w:pPr>
              <w:widowControl/>
              <w:spacing w:line="360" w:lineRule="auto"/>
              <w:ind w:firstLine="480" w:firstLineChars="200"/>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①本次评价对厂界昼间</w:t>
            </w:r>
            <w:r>
              <w:rPr>
                <w:rFonts w:hint="eastAsia" w:cs="Times New Roman"/>
                <w:bCs/>
                <w:color w:val="000000" w:themeColor="text1"/>
                <w:sz w:val="24"/>
                <w:szCs w:val="24"/>
                <w:highlight w:val="none"/>
                <w:lang w:eastAsia="zh-CN"/>
                <w14:textFill>
                  <w14:solidFill>
                    <w14:schemeClr w14:val="tx1"/>
                  </w14:solidFill>
                </w14:textFill>
              </w:rPr>
              <w:t>、</w:t>
            </w:r>
            <w:r>
              <w:rPr>
                <w:rFonts w:hint="eastAsia" w:cs="Times New Roman"/>
                <w:bCs/>
                <w:color w:val="000000" w:themeColor="text1"/>
                <w:sz w:val="24"/>
                <w:szCs w:val="24"/>
                <w:highlight w:val="none"/>
                <w:lang w:val="en-US" w:eastAsia="zh-CN"/>
                <w14:textFill>
                  <w14:solidFill>
                    <w14:schemeClr w14:val="tx1"/>
                  </w14:solidFill>
                </w14:textFill>
              </w:rPr>
              <w:t>夜间</w:t>
            </w:r>
            <w:r>
              <w:rPr>
                <w:rFonts w:hint="default" w:ascii="Times New Roman" w:hAnsi="Times New Roman" w:cs="Times New Roman"/>
                <w:bCs/>
                <w:color w:val="000000" w:themeColor="text1"/>
                <w:sz w:val="24"/>
                <w:szCs w:val="24"/>
                <w:highlight w:val="none"/>
                <w14:textFill>
                  <w14:solidFill>
                    <w14:schemeClr w14:val="tx1"/>
                  </w14:solidFill>
                </w14:textFill>
              </w:rPr>
              <w:t>噪声达标性进行预测分析。</w:t>
            </w:r>
          </w:p>
          <w:p w14:paraId="58850B4E">
            <w:pPr>
              <w:widowControl/>
              <w:spacing w:line="360" w:lineRule="auto"/>
              <w:ind w:firstLine="480" w:firstLineChars="200"/>
              <w:rPr>
                <w:rFonts w:hint="default" w:ascii="Times New Roman" w:hAnsi="Times New Roman" w:cs="Times New Roman"/>
                <w:bCs/>
                <w:color w:val="000000" w:themeColor="text1"/>
                <w:sz w:val="24"/>
                <w:szCs w:val="24"/>
                <w:highlight w:val="none"/>
                <w14:textFill>
                  <w14:solidFill>
                    <w14:schemeClr w14:val="tx1"/>
                  </w14:solidFill>
                </w14:textFill>
              </w:rPr>
            </w:pPr>
            <w:r>
              <w:rPr>
                <w:rFonts w:hint="default" w:ascii="Times New Roman" w:hAnsi="Times New Roman" w:cs="Times New Roman"/>
                <w:bCs/>
                <w:color w:val="000000" w:themeColor="text1"/>
                <w:sz w:val="24"/>
                <w:szCs w:val="24"/>
                <w:highlight w:val="none"/>
                <w14:textFill>
                  <w14:solidFill>
                    <w14:schemeClr w14:val="tx1"/>
                  </w14:solidFill>
                </w14:textFill>
              </w:rPr>
              <w:t>②厂界以工程噪声</w:t>
            </w:r>
            <w:r>
              <w:rPr>
                <w:rFonts w:hint="eastAsia" w:cs="Times New Roman"/>
                <w:bCs/>
                <w:color w:val="000000" w:themeColor="text1"/>
                <w:sz w:val="24"/>
                <w:szCs w:val="24"/>
                <w:highlight w:val="none"/>
                <w:lang w:val="en-US" w:eastAsia="zh-CN"/>
                <w14:textFill>
                  <w14:solidFill>
                    <w14:schemeClr w14:val="tx1"/>
                  </w14:solidFill>
                </w14:textFill>
              </w:rPr>
              <w:t>贡献</w:t>
            </w:r>
            <w:r>
              <w:rPr>
                <w:rFonts w:hint="default" w:ascii="Times New Roman" w:hAnsi="Times New Roman" w:cs="Times New Roman"/>
                <w:bCs/>
                <w:color w:val="000000" w:themeColor="text1"/>
                <w:sz w:val="24"/>
                <w:szCs w:val="24"/>
                <w:highlight w:val="none"/>
                <w14:textFill>
                  <w14:solidFill>
                    <w14:schemeClr w14:val="tx1"/>
                  </w14:solidFill>
                </w14:textFill>
              </w:rPr>
              <w:t>值作为评价量。</w:t>
            </w:r>
          </w:p>
          <w:p w14:paraId="5C3BC656">
            <w:pPr>
              <w:widowControl/>
              <w:spacing w:line="360" w:lineRule="auto"/>
              <w:ind w:firstLine="480" w:firstLineChars="200"/>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2）预测模式</w:t>
            </w:r>
          </w:p>
          <w:p w14:paraId="45228BE0">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①室内声源</w:t>
            </w:r>
          </w:p>
          <w:p w14:paraId="75093D37">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对室内噪声源采用等效室外声源声功率级法进行计算。设靠近开口处（或窗户）室内、室外某倍频带的声压级分别为L</w:t>
            </w:r>
            <w:r>
              <w:rPr>
                <w:rFonts w:ascii="Times New Roman" w:hAnsi="Times New Roman" w:eastAsia="宋体"/>
                <w:color w:val="auto"/>
                <w:sz w:val="24"/>
                <w:highlight w:val="none"/>
                <w:vertAlign w:val="subscript"/>
              </w:rPr>
              <w:t>p1</w:t>
            </w:r>
            <w:r>
              <w:rPr>
                <w:rFonts w:ascii="Times New Roman" w:hAnsi="Times New Roman" w:eastAsia="宋体"/>
                <w:color w:val="auto"/>
                <w:sz w:val="24"/>
                <w:highlight w:val="none"/>
              </w:rPr>
              <w:t>和L</w:t>
            </w:r>
            <w:r>
              <w:rPr>
                <w:rFonts w:ascii="Times New Roman" w:hAnsi="Times New Roman" w:eastAsia="宋体"/>
                <w:color w:val="auto"/>
                <w:sz w:val="24"/>
                <w:highlight w:val="none"/>
                <w:vertAlign w:val="subscript"/>
              </w:rPr>
              <w:t>p2</w:t>
            </w:r>
            <w:r>
              <w:rPr>
                <w:rFonts w:ascii="Times New Roman" w:hAnsi="Times New Roman" w:eastAsia="宋体"/>
                <w:color w:val="auto"/>
                <w:sz w:val="24"/>
                <w:highlight w:val="none"/>
              </w:rPr>
              <w:t>。若声源所在室内声场为近似扩散声场，则室外的倍频带声压级可按下式近似求出：</w:t>
            </w:r>
          </w:p>
          <w:p w14:paraId="04FC4795">
            <w:pPr>
              <w:spacing w:line="360" w:lineRule="auto"/>
              <w:jc w:val="center"/>
              <w:rPr>
                <w:rFonts w:ascii="Times New Roman" w:hAnsi="Times New Roman" w:eastAsia="宋体"/>
                <w:color w:val="auto"/>
                <w:sz w:val="24"/>
                <w:highlight w:val="none"/>
              </w:rPr>
            </w:pPr>
            <w:r>
              <w:rPr>
                <w:rFonts w:ascii="Times New Roman" w:hAnsi="Times New Roman" w:eastAsia="宋体"/>
                <w:color w:val="auto"/>
                <w:sz w:val="24"/>
                <w:highlight w:val="none"/>
              </w:rPr>
              <w:drawing>
                <wp:inline distT="0" distB="0" distL="114300" distR="114300">
                  <wp:extent cx="1395730" cy="280670"/>
                  <wp:effectExtent l="0" t="0" r="13970" b="508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5"/>
                          <a:stretch>
                            <a:fillRect/>
                          </a:stretch>
                        </pic:blipFill>
                        <pic:spPr>
                          <a:xfrm>
                            <a:off x="0" y="0"/>
                            <a:ext cx="1395730" cy="280670"/>
                          </a:xfrm>
                          <a:prstGeom prst="rect">
                            <a:avLst/>
                          </a:prstGeom>
                          <a:noFill/>
                          <a:ln>
                            <a:noFill/>
                          </a:ln>
                        </pic:spPr>
                      </pic:pic>
                    </a:graphicData>
                  </a:graphic>
                </wp:inline>
              </w:drawing>
            </w:r>
          </w:p>
          <w:p w14:paraId="7F0E2426">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式中：L</w:t>
            </w:r>
            <w:r>
              <w:rPr>
                <w:rFonts w:ascii="Times New Roman" w:hAnsi="Times New Roman" w:eastAsia="宋体"/>
                <w:color w:val="auto"/>
                <w:sz w:val="24"/>
                <w:highlight w:val="none"/>
                <w:vertAlign w:val="subscript"/>
              </w:rPr>
              <w:t>p1</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靠近开口处（或窗户）室内某倍频带的声压级或A声级，dB；</w:t>
            </w:r>
          </w:p>
          <w:p w14:paraId="7AACE65C">
            <w:pPr>
              <w:spacing w:line="360" w:lineRule="auto"/>
              <w:ind w:firstLine="1200" w:firstLineChars="500"/>
              <w:rPr>
                <w:rFonts w:ascii="Times New Roman" w:hAnsi="Times New Roman" w:eastAsia="宋体"/>
                <w:color w:val="auto"/>
                <w:sz w:val="24"/>
                <w:highlight w:val="none"/>
              </w:rPr>
            </w:pPr>
            <w:r>
              <w:rPr>
                <w:rFonts w:ascii="Times New Roman" w:hAnsi="Times New Roman" w:eastAsia="宋体"/>
                <w:color w:val="auto"/>
                <w:sz w:val="24"/>
                <w:highlight w:val="none"/>
              </w:rPr>
              <w:t>L</w:t>
            </w:r>
            <w:r>
              <w:rPr>
                <w:rFonts w:ascii="Times New Roman" w:hAnsi="Times New Roman" w:eastAsia="宋体"/>
                <w:color w:val="auto"/>
                <w:sz w:val="24"/>
                <w:highlight w:val="none"/>
                <w:vertAlign w:val="subscript"/>
              </w:rPr>
              <w:t>p2</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靠近开口处（或窗户）室外某倍频带的声压级或A声级，dB；</w:t>
            </w:r>
          </w:p>
          <w:p w14:paraId="7716D756">
            <w:pPr>
              <w:spacing w:line="360" w:lineRule="auto"/>
              <w:ind w:firstLine="1200" w:firstLineChars="500"/>
              <w:rPr>
                <w:rFonts w:ascii="Times New Roman" w:hAnsi="Times New Roman" w:eastAsia="宋体"/>
                <w:color w:val="auto"/>
                <w:sz w:val="24"/>
                <w:highlight w:val="none"/>
              </w:rPr>
            </w:pPr>
            <w:r>
              <w:rPr>
                <w:rFonts w:ascii="Times New Roman" w:hAnsi="Times New Roman" w:eastAsia="宋体"/>
                <w:color w:val="auto"/>
                <w:sz w:val="24"/>
                <w:highlight w:val="none"/>
              </w:rPr>
              <w:t>TL</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隔墙（或窗户）倍频带或A声级的隔声量，本项目隔声量为</w:t>
            </w:r>
            <w:r>
              <w:rPr>
                <w:rFonts w:hint="eastAsia" w:ascii="Times New Roman" w:hAnsi="Times New Roman" w:eastAsia="宋体"/>
                <w:color w:val="auto"/>
                <w:sz w:val="24"/>
                <w:highlight w:val="none"/>
              </w:rPr>
              <w:t>15</w:t>
            </w:r>
            <w:r>
              <w:rPr>
                <w:rFonts w:ascii="Times New Roman" w:hAnsi="Times New Roman" w:eastAsia="宋体"/>
                <w:color w:val="auto"/>
                <w:sz w:val="24"/>
                <w:highlight w:val="none"/>
              </w:rPr>
              <w:t>dB。</w:t>
            </w:r>
          </w:p>
          <w:p w14:paraId="2876FBF2">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也可按照下式计算某一室内声源靠近围护结构处产生的倍频带声压级：</w:t>
            </w:r>
          </w:p>
          <w:p w14:paraId="607D6D8E">
            <w:pPr>
              <w:spacing w:line="360" w:lineRule="auto"/>
              <w:ind w:firstLine="480" w:firstLineChars="200"/>
              <w:jc w:val="center"/>
              <w:rPr>
                <w:rFonts w:ascii="Times New Roman" w:hAnsi="Times New Roman" w:eastAsia="宋体"/>
                <w:color w:val="auto"/>
                <w:sz w:val="24"/>
                <w:highlight w:val="none"/>
              </w:rPr>
            </w:pPr>
            <w:r>
              <w:rPr>
                <w:rFonts w:ascii="Times New Roman" w:hAnsi="Times New Roman" w:eastAsia="宋体"/>
                <w:color w:val="auto"/>
                <w:sz w:val="24"/>
                <w:highlight w:val="none"/>
              </w:rPr>
              <w:drawing>
                <wp:inline distT="0" distB="0" distL="114300" distR="114300">
                  <wp:extent cx="1691640" cy="418465"/>
                  <wp:effectExtent l="0" t="0" r="3810" b="63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6"/>
                          <a:srcRect r="36876"/>
                          <a:stretch>
                            <a:fillRect/>
                          </a:stretch>
                        </pic:blipFill>
                        <pic:spPr>
                          <a:xfrm>
                            <a:off x="0" y="0"/>
                            <a:ext cx="1691640" cy="418465"/>
                          </a:xfrm>
                          <a:prstGeom prst="rect">
                            <a:avLst/>
                          </a:prstGeom>
                          <a:noFill/>
                          <a:ln>
                            <a:noFill/>
                          </a:ln>
                        </pic:spPr>
                      </pic:pic>
                    </a:graphicData>
                  </a:graphic>
                </wp:inline>
              </w:drawing>
            </w:r>
          </w:p>
          <w:p w14:paraId="2BD01C27">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式中：Q</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指向性因数；通常对无指向性声源，当声源放在房间中心时，Q=1；当入在一面墙的中心时，Q=2；当放在两面墙夹角处时，Q=4；当放在三面墙夹角处时，Q=8；</w:t>
            </w:r>
          </w:p>
          <w:p w14:paraId="3DFCF458">
            <w:pPr>
              <w:spacing w:line="360" w:lineRule="auto"/>
              <w:ind w:firstLine="1200" w:firstLineChars="500"/>
              <w:rPr>
                <w:rFonts w:ascii="Times New Roman" w:hAnsi="Times New Roman" w:eastAsia="宋体"/>
                <w:color w:val="auto"/>
                <w:sz w:val="24"/>
                <w:highlight w:val="none"/>
              </w:rPr>
            </w:pPr>
            <w:r>
              <w:rPr>
                <w:rFonts w:ascii="Times New Roman" w:hAnsi="Times New Roman" w:eastAsia="宋体"/>
                <w:color w:val="auto"/>
                <w:sz w:val="24"/>
                <w:highlight w:val="none"/>
              </w:rPr>
              <w:t>R</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房间常数；R=Sα/</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1-α</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，S为房间内表面面积，m</w:t>
            </w:r>
            <w:r>
              <w:rPr>
                <w:rFonts w:ascii="Times New Roman" w:hAnsi="Times New Roman" w:eastAsia="宋体"/>
                <w:color w:val="auto"/>
                <w:sz w:val="24"/>
                <w:highlight w:val="none"/>
                <w:vertAlign w:val="superscript"/>
              </w:rPr>
              <w:t>2</w:t>
            </w:r>
            <w:r>
              <w:rPr>
                <w:rFonts w:ascii="Times New Roman" w:hAnsi="Times New Roman" w:eastAsia="宋体"/>
                <w:color w:val="auto"/>
                <w:sz w:val="24"/>
                <w:highlight w:val="none"/>
              </w:rPr>
              <w:t>；α为平均吸声系数，本项目平均吸声系数为0.2；</w:t>
            </w:r>
          </w:p>
          <w:p w14:paraId="2CD30209">
            <w:pPr>
              <w:spacing w:line="360" w:lineRule="auto"/>
              <w:ind w:firstLine="1200" w:firstLineChars="500"/>
              <w:rPr>
                <w:rFonts w:ascii="Times New Roman" w:hAnsi="Times New Roman" w:eastAsia="宋体"/>
                <w:color w:val="auto"/>
                <w:sz w:val="24"/>
                <w:highlight w:val="none"/>
              </w:rPr>
            </w:pPr>
            <w:r>
              <w:rPr>
                <w:rFonts w:ascii="Times New Roman" w:hAnsi="Times New Roman" w:eastAsia="宋体"/>
                <w:color w:val="auto"/>
                <w:sz w:val="24"/>
                <w:highlight w:val="none"/>
              </w:rPr>
              <w:t>R</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声源到靠近围护结构某点处的距离，m。</w:t>
            </w:r>
          </w:p>
          <w:p w14:paraId="7A8D88E0">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所有室内声源在围护结构处产生的i倍频带叠加声压级的计算：</w:t>
            </w:r>
          </w:p>
          <w:p w14:paraId="3DB48BC5">
            <w:pPr>
              <w:spacing w:line="360" w:lineRule="auto"/>
              <w:ind w:firstLine="480" w:firstLineChars="200"/>
              <w:jc w:val="center"/>
              <w:rPr>
                <w:rFonts w:ascii="Times New Roman" w:hAnsi="Times New Roman" w:eastAsia="宋体"/>
                <w:color w:val="auto"/>
                <w:sz w:val="24"/>
                <w:highlight w:val="none"/>
              </w:rPr>
            </w:pPr>
            <w:r>
              <w:rPr>
                <w:rFonts w:ascii="Times New Roman" w:hAnsi="Times New Roman" w:eastAsia="宋体"/>
                <w:color w:val="auto"/>
                <w:sz w:val="24"/>
                <w:highlight w:val="none"/>
              </w:rPr>
              <w:drawing>
                <wp:inline distT="0" distB="0" distL="114300" distR="114300">
                  <wp:extent cx="1748155" cy="500380"/>
                  <wp:effectExtent l="0" t="0" r="4445" b="1397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7"/>
                          <a:stretch>
                            <a:fillRect/>
                          </a:stretch>
                        </pic:blipFill>
                        <pic:spPr>
                          <a:xfrm>
                            <a:off x="0" y="0"/>
                            <a:ext cx="1748155" cy="500380"/>
                          </a:xfrm>
                          <a:prstGeom prst="rect">
                            <a:avLst/>
                          </a:prstGeom>
                          <a:noFill/>
                          <a:ln>
                            <a:noFill/>
                          </a:ln>
                        </pic:spPr>
                      </pic:pic>
                    </a:graphicData>
                  </a:graphic>
                </wp:inline>
              </w:drawing>
            </w:r>
          </w:p>
          <w:p w14:paraId="76280173">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式中：L</w:t>
            </w:r>
            <w:r>
              <w:rPr>
                <w:rFonts w:ascii="Times New Roman" w:hAnsi="Times New Roman" w:eastAsia="宋体"/>
                <w:color w:val="auto"/>
                <w:sz w:val="24"/>
                <w:highlight w:val="none"/>
                <w:vertAlign w:val="subscript"/>
              </w:rPr>
              <w:t>P1i</w:t>
            </w:r>
            <w:r>
              <w:rPr>
                <w:rFonts w:ascii="Times New Roman" w:hAnsi="Times New Roman" w:eastAsia="宋体"/>
                <w:color w:val="auto"/>
                <w:sz w:val="24"/>
                <w:highlight w:val="none"/>
              </w:rPr>
              <w:t>（T）</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靠近围护结构处室内N个声源i倍频带的叠加声压级，dB；</w:t>
            </w:r>
          </w:p>
          <w:p w14:paraId="7C87146E">
            <w:pPr>
              <w:spacing w:line="360" w:lineRule="auto"/>
              <w:ind w:firstLine="1200" w:firstLineChars="500"/>
              <w:rPr>
                <w:rFonts w:ascii="Times New Roman" w:hAnsi="Times New Roman" w:eastAsia="宋体"/>
                <w:color w:val="auto"/>
                <w:sz w:val="24"/>
                <w:highlight w:val="none"/>
              </w:rPr>
            </w:pPr>
            <w:r>
              <w:rPr>
                <w:rFonts w:ascii="Times New Roman" w:hAnsi="Times New Roman" w:eastAsia="宋体"/>
                <w:color w:val="auto"/>
                <w:sz w:val="24"/>
                <w:highlight w:val="none"/>
              </w:rPr>
              <w:t>L</w:t>
            </w:r>
            <w:r>
              <w:rPr>
                <w:rFonts w:ascii="Times New Roman" w:hAnsi="Times New Roman" w:eastAsia="宋体"/>
                <w:color w:val="auto"/>
                <w:sz w:val="24"/>
                <w:highlight w:val="none"/>
                <w:vertAlign w:val="subscript"/>
              </w:rPr>
              <w:t>P1j</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室内j声源i倍频带的声压级，dB；</w:t>
            </w:r>
          </w:p>
          <w:p w14:paraId="0B235E36">
            <w:pPr>
              <w:spacing w:line="360" w:lineRule="auto"/>
              <w:ind w:firstLine="1200" w:firstLineChars="500"/>
              <w:rPr>
                <w:rFonts w:ascii="Times New Roman" w:hAnsi="Times New Roman" w:eastAsia="宋体"/>
                <w:color w:val="auto"/>
                <w:sz w:val="24"/>
                <w:highlight w:val="none"/>
              </w:rPr>
            </w:pPr>
            <w:r>
              <w:rPr>
                <w:rFonts w:ascii="Times New Roman" w:hAnsi="Times New Roman" w:eastAsia="宋体"/>
                <w:color w:val="auto"/>
                <w:sz w:val="24"/>
                <w:highlight w:val="none"/>
              </w:rPr>
              <w:t>N</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室内声源总数；</w:t>
            </w:r>
          </w:p>
          <w:p w14:paraId="42A6004E">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在室内近似为扩散声场时，按下式计算出靠近室外围护结构处的声压级：</w:t>
            </w:r>
          </w:p>
          <w:p w14:paraId="4967EC2A">
            <w:pPr>
              <w:spacing w:line="360" w:lineRule="auto"/>
              <w:ind w:firstLine="480" w:firstLineChars="200"/>
              <w:jc w:val="center"/>
              <w:rPr>
                <w:rFonts w:ascii="Times New Roman" w:hAnsi="Times New Roman" w:eastAsia="宋体"/>
                <w:color w:val="auto"/>
                <w:sz w:val="24"/>
                <w:highlight w:val="none"/>
              </w:rPr>
            </w:pPr>
            <w:r>
              <w:rPr>
                <w:rFonts w:ascii="Times New Roman" w:hAnsi="Times New Roman" w:eastAsia="宋体"/>
                <w:color w:val="auto"/>
                <w:sz w:val="24"/>
                <w:highlight w:val="none"/>
              </w:rPr>
              <w:drawing>
                <wp:inline distT="0" distB="0" distL="114300" distR="114300">
                  <wp:extent cx="1896110" cy="236855"/>
                  <wp:effectExtent l="0" t="0" r="8890" b="1079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8"/>
                          <a:stretch>
                            <a:fillRect/>
                          </a:stretch>
                        </pic:blipFill>
                        <pic:spPr>
                          <a:xfrm>
                            <a:off x="0" y="0"/>
                            <a:ext cx="1896110" cy="236855"/>
                          </a:xfrm>
                          <a:prstGeom prst="rect">
                            <a:avLst/>
                          </a:prstGeom>
                          <a:noFill/>
                          <a:ln>
                            <a:noFill/>
                          </a:ln>
                        </pic:spPr>
                      </pic:pic>
                    </a:graphicData>
                  </a:graphic>
                </wp:inline>
              </w:drawing>
            </w:r>
          </w:p>
          <w:p w14:paraId="4464CDC1">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式中：L</w:t>
            </w:r>
            <w:r>
              <w:rPr>
                <w:rFonts w:ascii="Times New Roman" w:hAnsi="Times New Roman" w:eastAsia="宋体"/>
                <w:color w:val="auto"/>
                <w:sz w:val="24"/>
                <w:highlight w:val="none"/>
                <w:vertAlign w:val="subscript"/>
              </w:rPr>
              <w:t>P2i</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T</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靠近围护结构处室外N个声源i倍频带的叠加声压级，dB；</w:t>
            </w:r>
          </w:p>
          <w:p w14:paraId="3B6F362B">
            <w:pPr>
              <w:spacing w:line="360" w:lineRule="auto"/>
              <w:ind w:firstLine="1200" w:firstLineChars="500"/>
              <w:rPr>
                <w:rFonts w:ascii="Times New Roman" w:hAnsi="Times New Roman" w:eastAsia="宋体"/>
                <w:color w:val="auto"/>
                <w:sz w:val="24"/>
                <w:highlight w:val="none"/>
              </w:rPr>
            </w:pPr>
            <w:r>
              <w:rPr>
                <w:rFonts w:ascii="Times New Roman" w:hAnsi="Times New Roman" w:eastAsia="宋体"/>
                <w:color w:val="auto"/>
                <w:sz w:val="24"/>
                <w:highlight w:val="none"/>
              </w:rPr>
              <w:t>TL</w:t>
            </w:r>
            <w:r>
              <w:rPr>
                <w:rFonts w:ascii="Times New Roman" w:hAnsi="Times New Roman" w:eastAsia="宋体"/>
                <w:color w:val="auto"/>
                <w:sz w:val="24"/>
                <w:highlight w:val="none"/>
                <w:vertAlign w:val="subscript"/>
              </w:rPr>
              <w:t>i</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围护结构i倍频带的隔声量，dB；</w:t>
            </w:r>
          </w:p>
          <w:p w14:paraId="35A2FCC0">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将室外声源的声压级和透过面积换算成等效的室外声源，计算出中心位置于透声面积（S）处的等效声源的倍频带声功率级，见下式：</w:t>
            </w:r>
          </w:p>
          <w:p w14:paraId="71728C3E">
            <w:pPr>
              <w:spacing w:line="360" w:lineRule="auto"/>
              <w:ind w:firstLine="480" w:firstLineChars="200"/>
              <w:jc w:val="center"/>
              <w:rPr>
                <w:rFonts w:ascii="Times New Roman" w:hAnsi="Times New Roman" w:eastAsia="宋体"/>
                <w:color w:val="auto"/>
                <w:sz w:val="24"/>
                <w:highlight w:val="none"/>
              </w:rPr>
            </w:pPr>
            <w:r>
              <w:rPr>
                <w:rFonts w:ascii="Times New Roman" w:hAnsi="Times New Roman" w:eastAsia="宋体"/>
                <w:color w:val="auto"/>
                <w:sz w:val="24"/>
                <w:highlight w:val="none"/>
              </w:rPr>
              <w:drawing>
                <wp:inline distT="0" distB="0" distL="114300" distR="114300">
                  <wp:extent cx="1525270" cy="271780"/>
                  <wp:effectExtent l="0" t="0" r="17780" b="13970"/>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19"/>
                          <a:stretch>
                            <a:fillRect/>
                          </a:stretch>
                        </pic:blipFill>
                        <pic:spPr>
                          <a:xfrm>
                            <a:off x="0" y="0"/>
                            <a:ext cx="1525270" cy="271780"/>
                          </a:xfrm>
                          <a:prstGeom prst="rect">
                            <a:avLst/>
                          </a:prstGeom>
                          <a:noFill/>
                          <a:ln>
                            <a:noFill/>
                          </a:ln>
                        </pic:spPr>
                      </pic:pic>
                    </a:graphicData>
                  </a:graphic>
                </wp:inline>
              </w:drawing>
            </w:r>
          </w:p>
          <w:p w14:paraId="57672682">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然后按室外声源预测方法计算预测点处的A声级。</w:t>
            </w:r>
          </w:p>
          <w:p w14:paraId="595A6D33">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②总声压级</w:t>
            </w:r>
          </w:p>
          <w:p w14:paraId="49ECDC9D">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设第i个室外声源在预测点产生的A声级为L</w:t>
            </w:r>
            <w:r>
              <w:rPr>
                <w:rFonts w:ascii="Times New Roman" w:hAnsi="Times New Roman" w:eastAsia="宋体"/>
                <w:color w:val="auto"/>
                <w:sz w:val="24"/>
                <w:highlight w:val="none"/>
                <w:vertAlign w:val="subscript"/>
              </w:rPr>
              <w:t>Ai</w:t>
            </w:r>
            <w:r>
              <w:rPr>
                <w:rFonts w:ascii="Times New Roman" w:hAnsi="Times New Roman" w:eastAsia="宋体"/>
                <w:color w:val="auto"/>
                <w:sz w:val="24"/>
                <w:highlight w:val="none"/>
              </w:rPr>
              <w:t>，在T时间内该声源工作时间为t</w:t>
            </w:r>
            <w:r>
              <w:rPr>
                <w:rFonts w:ascii="Times New Roman" w:hAnsi="Times New Roman" w:eastAsia="宋体"/>
                <w:color w:val="auto"/>
                <w:sz w:val="24"/>
                <w:highlight w:val="none"/>
                <w:vertAlign w:val="subscript"/>
              </w:rPr>
              <w:t>i</w:t>
            </w:r>
            <w:r>
              <w:rPr>
                <w:rFonts w:ascii="Times New Roman" w:hAnsi="Times New Roman" w:eastAsia="宋体"/>
                <w:color w:val="auto"/>
                <w:sz w:val="24"/>
                <w:highlight w:val="none"/>
              </w:rPr>
              <w:t>；第j个等效室外声源在预测点产生的A声级为L</w:t>
            </w:r>
            <w:r>
              <w:rPr>
                <w:rFonts w:ascii="Times New Roman" w:hAnsi="Times New Roman" w:eastAsia="宋体"/>
                <w:color w:val="auto"/>
                <w:sz w:val="24"/>
                <w:highlight w:val="none"/>
                <w:vertAlign w:val="subscript"/>
              </w:rPr>
              <w:t>Aj</w:t>
            </w:r>
            <w:r>
              <w:rPr>
                <w:rFonts w:ascii="Times New Roman" w:hAnsi="Times New Roman" w:eastAsia="宋体"/>
                <w:color w:val="auto"/>
                <w:sz w:val="24"/>
                <w:highlight w:val="none"/>
              </w:rPr>
              <w:t>，在T时间内该声源工作时间为t</w:t>
            </w:r>
            <w:r>
              <w:rPr>
                <w:rFonts w:ascii="Times New Roman" w:hAnsi="Times New Roman" w:eastAsia="宋体"/>
                <w:color w:val="auto"/>
                <w:sz w:val="24"/>
                <w:highlight w:val="none"/>
                <w:vertAlign w:val="subscript"/>
              </w:rPr>
              <w:t>j</w:t>
            </w:r>
            <w:r>
              <w:rPr>
                <w:rFonts w:ascii="Times New Roman" w:hAnsi="Times New Roman" w:eastAsia="宋体"/>
                <w:color w:val="auto"/>
                <w:sz w:val="24"/>
                <w:highlight w:val="none"/>
              </w:rPr>
              <w:t>，则拟建工程声源在T时间内对预测点产生的贡献值L</w:t>
            </w:r>
            <w:r>
              <w:rPr>
                <w:rFonts w:ascii="Times New Roman" w:hAnsi="Times New Roman" w:eastAsia="宋体"/>
                <w:color w:val="auto"/>
                <w:sz w:val="24"/>
                <w:highlight w:val="none"/>
                <w:vertAlign w:val="subscript"/>
              </w:rPr>
              <w:t>eq</w:t>
            </w:r>
            <w:r>
              <w:rPr>
                <w:rFonts w:ascii="Times New Roman" w:hAnsi="Times New Roman" w:eastAsia="宋体"/>
                <w:color w:val="auto"/>
                <w:sz w:val="24"/>
                <w:highlight w:val="none"/>
              </w:rPr>
              <w:t>（T）为：</w:t>
            </w:r>
          </w:p>
          <w:p w14:paraId="44C455B3">
            <w:pPr>
              <w:spacing w:line="360" w:lineRule="auto"/>
              <w:ind w:firstLine="420" w:firstLineChars="200"/>
              <w:jc w:val="center"/>
              <w:rPr>
                <w:rFonts w:ascii="Times New Roman" w:hAnsi="Times New Roman" w:eastAsia="宋体"/>
                <w:color w:val="auto"/>
                <w:sz w:val="24"/>
                <w:highlight w:val="none"/>
              </w:rPr>
            </w:pPr>
            <w:r>
              <w:rPr>
                <w:color w:val="auto"/>
                <w:highlight w:val="none"/>
              </w:rPr>
              <w:drawing>
                <wp:inline distT="0" distB="0" distL="114300" distR="114300">
                  <wp:extent cx="2470150" cy="457835"/>
                  <wp:effectExtent l="0" t="0" r="6350" b="18415"/>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20"/>
                          <a:stretch>
                            <a:fillRect/>
                          </a:stretch>
                        </pic:blipFill>
                        <pic:spPr>
                          <a:xfrm>
                            <a:off x="0" y="0"/>
                            <a:ext cx="2470150" cy="457835"/>
                          </a:xfrm>
                          <a:prstGeom prst="rect">
                            <a:avLst/>
                          </a:prstGeom>
                          <a:noFill/>
                          <a:ln>
                            <a:noFill/>
                          </a:ln>
                        </pic:spPr>
                      </pic:pic>
                    </a:graphicData>
                  </a:graphic>
                </wp:inline>
              </w:drawing>
            </w:r>
          </w:p>
          <w:p w14:paraId="2B105EF9">
            <w:pPr>
              <w:spacing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式中：L</w:t>
            </w:r>
            <w:r>
              <w:rPr>
                <w:rFonts w:ascii="Times New Roman" w:hAnsi="Times New Roman" w:eastAsia="宋体"/>
                <w:color w:val="auto"/>
                <w:sz w:val="24"/>
                <w:highlight w:val="none"/>
                <w:vertAlign w:val="subscript"/>
              </w:rPr>
              <w:t>eq</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建设项目声源在预测点产生的噪声贡献值，dB；</w:t>
            </w:r>
          </w:p>
          <w:p w14:paraId="2BF0C1C6">
            <w:pPr>
              <w:spacing w:line="360" w:lineRule="auto"/>
              <w:ind w:firstLine="1200" w:firstLineChars="500"/>
              <w:rPr>
                <w:rFonts w:ascii="Times New Roman" w:hAnsi="Times New Roman" w:eastAsia="宋体"/>
                <w:color w:val="auto"/>
                <w:sz w:val="24"/>
                <w:highlight w:val="none"/>
              </w:rPr>
            </w:pPr>
            <w:r>
              <w:rPr>
                <w:rFonts w:ascii="Times New Roman" w:hAnsi="Times New Roman" w:eastAsia="宋体"/>
                <w:color w:val="auto"/>
                <w:sz w:val="24"/>
                <w:highlight w:val="none"/>
              </w:rPr>
              <w:t>T</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用于计算等效声级的时间，s；</w:t>
            </w:r>
          </w:p>
          <w:p w14:paraId="3E497F27">
            <w:pPr>
              <w:spacing w:line="360" w:lineRule="auto"/>
              <w:ind w:firstLine="1200" w:firstLineChars="500"/>
              <w:rPr>
                <w:rFonts w:ascii="Times New Roman" w:hAnsi="Times New Roman" w:eastAsia="宋体"/>
                <w:color w:val="auto"/>
                <w:sz w:val="24"/>
                <w:highlight w:val="none"/>
              </w:rPr>
            </w:pPr>
            <w:r>
              <w:rPr>
                <w:rFonts w:ascii="Times New Roman" w:hAnsi="Times New Roman" w:eastAsia="宋体"/>
                <w:color w:val="auto"/>
                <w:sz w:val="24"/>
                <w:highlight w:val="none"/>
              </w:rPr>
              <w:t>N</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室外声源个数；</w:t>
            </w:r>
          </w:p>
          <w:p w14:paraId="11A60B97">
            <w:pPr>
              <w:spacing w:line="360" w:lineRule="auto"/>
              <w:ind w:firstLine="1200" w:firstLineChars="500"/>
              <w:rPr>
                <w:rFonts w:ascii="Times New Roman" w:hAnsi="Times New Roman" w:eastAsia="宋体"/>
                <w:color w:val="auto"/>
                <w:sz w:val="24"/>
                <w:highlight w:val="none"/>
              </w:rPr>
            </w:pPr>
            <w:r>
              <w:rPr>
                <w:rFonts w:ascii="Times New Roman" w:hAnsi="Times New Roman" w:eastAsia="宋体"/>
                <w:color w:val="auto"/>
                <w:sz w:val="24"/>
                <w:highlight w:val="none"/>
              </w:rPr>
              <w:t>t</w:t>
            </w:r>
            <w:r>
              <w:rPr>
                <w:rFonts w:ascii="Times New Roman" w:hAnsi="Times New Roman" w:eastAsia="宋体"/>
                <w:color w:val="auto"/>
                <w:sz w:val="24"/>
                <w:highlight w:val="none"/>
                <w:vertAlign w:val="subscript"/>
              </w:rPr>
              <w:t>i</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在T时间内i声源工作时间，s；</w:t>
            </w:r>
          </w:p>
          <w:p w14:paraId="65E84836">
            <w:pPr>
              <w:spacing w:line="360" w:lineRule="auto"/>
              <w:ind w:firstLine="1200" w:firstLineChars="500"/>
              <w:rPr>
                <w:rFonts w:ascii="Times New Roman" w:hAnsi="Times New Roman" w:eastAsia="宋体"/>
                <w:color w:val="auto"/>
                <w:sz w:val="24"/>
                <w:highlight w:val="none"/>
              </w:rPr>
            </w:pPr>
            <w:r>
              <w:rPr>
                <w:rFonts w:ascii="Times New Roman" w:hAnsi="Times New Roman" w:eastAsia="宋体"/>
                <w:color w:val="auto"/>
                <w:sz w:val="24"/>
                <w:highlight w:val="none"/>
              </w:rPr>
              <w:t>M—等效室外声源个数；</w:t>
            </w:r>
          </w:p>
          <w:p w14:paraId="345B41EC">
            <w:pPr>
              <w:spacing w:line="360" w:lineRule="auto"/>
              <w:ind w:firstLine="1200" w:firstLineChars="500"/>
              <w:rPr>
                <w:rFonts w:ascii="Times New Roman" w:hAnsi="Times New Roman" w:eastAsia="宋体"/>
                <w:color w:val="auto"/>
                <w:sz w:val="24"/>
                <w:highlight w:val="none"/>
              </w:rPr>
            </w:pPr>
            <w:r>
              <w:rPr>
                <w:rFonts w:ascii="Times New Roman" w:hAnsi="Times New Roman" w:eastAsia="宋体"/>
                <w:color w:val="auto"/>
                <w:sz w:val="24"/>
                <w:highlight w:val="none"/>
              </w:rPr>
              <w:t>t</w:t>
            </w:r>
            <w:r>
              <w:rPr>
                <w:rFonts w:ascii="Times New Roman" w:hAnsi="Times New Roman" w:eastAsia="宋体"/>
                <w:color w:val="auto"/>
                <w:sz w:val="24"/>
                <w:highlight w:val="none"/>
                <w:vertAlign w:val="subscript"/>
              </w:rPr>
              <w:t>j</w:t>
            </w:r>
            <w:r>
              <w:rPr>
                <w:rFonts w:hint="eastAsia" w:ascii="Times New Roman" w:hAnsi="Times New Roman" w:eastAsia="宋体"/>
                <w:color w:val="auto"/>
                <w:sz w:val="24"/>
                <w:highlight w:val="none"/>
              </w:rPr>
              <w:t>-</w:t>
            </w:r>
            <w:r>
              <w:rPr>
                <w:rFonts w:ascii="Times New Roman" w:hAnsi="Times New Roman" w:eastAsia="宋体"/>
                <w:color w:val="auto"/>
                <w:sz w:val="24"/>
                <w:highlight w:val="none"/>
              </w:rPr>
              <w:t>在T时间内j声源工作时间，s。</w:t>
            </w:r>
          </w:p>
          <w:p w14:paraId="2D965644">
            <w:pPr>
              <w:widowControl/>
              <w:spacing w:line="360" w:lineRule="auto"/>
              <w:ind w:firstLine="482" w:firstLineChars="200"/>
              <w:rPr>
                <w:rFonts w:hint="default" w:ascii="Times New Roman" w:hAnsi="Times New Roman" w:eastAsia="宋体" w:cs="Times New Roman"/>
                <w:b/>
                <w:bCs/>
                <w:color w:val="auto"/>
                <w:sz w:val="24"/>
                <w:szCs w:val="24"/>
                <w:highlight w:val="none"/>
                <w:lang w:val="en-US" w:eastAsia="zh-CN" w:bidi="ar"/>
              </w:rPr>
            </w:pPr>
            <w:r>
              <w:rPr>
                <w:rFonts w:hint="eastAsia" w:cs="Times New Roman"/>
                <w:b/>
                <w:bCs/>
                <w:color w:val="auto"/>
                <w:sz w:val="24"/>
                <w:szCs w:val="24"/>
                <w:highlight w:val="none"/>
                <w:lang w:val="en-US" w:eastAsia="zh-CN" w:bidi="ar"/>
              </w:rPr>
              <w:t>3.4</w:t>
            </w:r>
            <w:r>
              <w:rPr>
                <w:rFonts w:hint="default" w:ascii="Times New Roman" w:hAnsi="Times New Roman" w:eastAsia="宋体" w:cs="Times New Roman"/>
                <w:b/>
                <w:bCs/>
                <w:color w:val="auto"/>
                <w:sz w:val="24"/>
                <w:szCs w:val="24"/>
                <w:highlight w:val="none"/>
                <w:lang w:val="en-US" w:eastAsia="zh-CN" w:bidi="ar"/>
              </w:rPr>
              <w:t>预测结果</w:t>
            </w:r>
          </w:p>
          <w:p w14:paraId="55277B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kern w:val="0"/>
                <w:sz w:val="24"/>
                <w:szCs w:val="24"/>
                <w:highlight w:val="none"/>
                <w:lang w:eastAsia="zh-CN" w:bidi="ar"/>
              </w:rPr>
            </w:pPr>
            <w:r>
              <w:rPr>
                <w:rFonts w:hint="default" w:ascii="Times New Roman" w:hAnsi="Times New Roman" w:cs="Times New Roman"/>
                <w:color w:val="auto"/>
                <w:sz w:val="24"/>
                <w:szCs w:val="24"/>
                <w:highlight w:val="none"/>
                <w:lang w:val="en-US" w:eastAsia="zh-CN"/>
              </w:rPr>
              <w:t>锅炉</w:t>
            </w:r>
            <w:r>
              <w:rPr>
                <w:rFonts w:hint="eastAsia" w:cs="Times New Roman"/>
                <w:color w:val="auto"/>
                <w:sz w:val="24"/>
                <w:szCs w:val="24"/>
                <w:highlight w:val="none"/>
                <w:lang w:val="en-US" w:eastAsia="zh-CN"/>
              </w:rPr>
              <w:t>年运行130天</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每天最大运行时间为24h，因此，分别对</w:t>
            </w:r>
            <w:r>
              <w:rPr>
                <w:rFonts w:hint="eastAsia" w:cs="Times New Roman"/>
                <w:color w:val="auto"/>
                <w:sz w:val="24"/>
                <w:szCs w:val="24"/>
                <w:highlight w:val="none"/>
                <w:lang w:val="en-US" w:eastAsia="zh-CN"/>
              </w:rPr>
              <w:t>热源站</w:t>
            </w:r>
            <w:r>
              <w:rPr>
                <w:rFonts w:hint="default" w:ascii="Times New Roman" w:hAnsi="Times New Roman" w:cs="Times New Roman"/>
                <w:color w:val="auto"/>
                <w:sz w:val="24"/>
                <w:szCs w:val="24"/>
                <w:highlight w:val="none"/>
                <w:lang w:val="en-US" w:eastAsia="zh-CN"/>
              </w:rPr>
              <w:t>昼间、夜间噪声进行预测</w:t>
            </w:r>
            <w:r>
              <w:rPr>
                <w:rFonts w:hint="default" w:ascii="Times New Roman" w:hAnsi="Times New Roman" w:cs="Times New Roman"/>
                <w:color w:val="auto"/>
                <w:kern w:val="0"/>
                <w:sz w:val="24"/>
                <w:szCs w:val="24"/>
                <w:highlight w:val="none"/>
                <w:lang w:eastAsia="zh-CN" w:bidi="ar"/>
              </w:rPr>
              <w:t>。</w:t>
            </w:r>
          </w:p>
          <w:p w14:paraId="5B76FFA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kern w:val="0"/>
                <w:sz w:val="24"/>
                <w:szCs w:val="24"/>
                <w:highlight w:val="none"/>
                <w:lang w:val="en-US" w:eastAsia="zh-CN" w:bidi="ar"/>
              </w:rPr>
              <w:t>本项目噪声预测</w:t>
            </w:r>
            <w:r>
              <w:rPr>
                <w:rFonts w:hint="default" w:ascii="Times New Roman" w:hAnsi="Times New Roman" w:cs="Times New Roman"/>
                <w:color w:val="auto"/>
                <w:kern w:val="0"/>
                <w:sz w:val="24"/>
                <w:szCs w:val="24"/>
                <w:highlight w:val="none"/>
                <w:lang w:bidi="ar"/>
              </w:rPr>
              <w:t>结果</w:t>
            </w:r>
            <w:r>
              <w:rPr>
                <w:rFonts w:hint="default" w:ascii="Times New Roman" w:hAnsi="Times New Roman" w:cs="Times New Roman"/>
                <w:color w:val="auto"/>
                <w:kern w:val="0"/>
                <w:sz w:val="24"/>
                <w:szCs w:val="24"/>
                <w:highlight w:val="none"/>
                <w:lang w:val="en-US" w:eastAsia="zh-CN" w:bidi="ar"/>
              </w:rPr>
              <w:t>详</w:t>
            </w:r>
            <w:r>
              <w:rPr>
                <w:rFonts w:hint="default" w:ascii="Times New Roman" w:hAnsi="Times New Roman" w:cs="Times New Roman"/>
                <w:color w:val="auto"/>
                <w:kern w:val="0"/>
                <w:sz w:val="24"/>
                <w:szCs w:val="24"/>
                <w:highlight w:val="none"/>
                <w:lang w:bidi="ar"/>
              </w:rPr>
              <w:t>见</w:t>
            </w:r>
            <w:r>
              <w:rPr>
                <w:rFonts w:hint="default" w:ascii="Times New Roman" w:hAnsi="Times New Roman" w:cs="Times New Roman"/>
                <w:color w:val="auto"/>
                <w:sz w:val="24"/>
                <w:szCs w:val="24"/>
                <w:highlight w:val="none"/>
              </w:rPr>
              <w:t>表</w:t>
            </w:r>
            <w:r>
              <w:rPr>
                <w:rFonts w:hint="eastAsia" w:cs="Times New Roman"/>
                <w:color w:val="auto"/>
                <w:sz w:val="24"/>
                <w:szCs w:val="24"/>
                <w:highlight w:val="none"/>
                <w:lang w:val="en-US" w:eastAsia="zh-CN"/>
              </w:rPr>
              <w:t>4-8</w:t>
            </w:r>
            <w:r>
              <w:rPr>
                <w:rFonts w:hint="default" w:ascii="Times New Roman" w:hAnsi="Times New Roman" w:cs="Times New Roman"/>
                <w:color w:val="auto"/>
                <w:sz w:val="24"/>
                <w:szCs w:val="24"/>
                <w:highlight w:val="none"/>
              </w:rPr>
              <w:t>。</w:t>
            </w:r>
          </w:p>
          <w:p w14:paraId="72DA508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color w:val="auto"/>
                <w:sz w:val="24"/>
                <w:szCs w:val="24"/>
                <w:highlight w:val="green"/>
              </w:rPr>
            </w:pPr>
            <w:r>
              <w:rPr>
                <w:rFonts w:hint="default" w:ascii="Times New Roman" w:hAnsi="Times New Roman" w:cs="Times New Roman"/>
                <w:b/>
                <w:color w:val="auto"/>
                <w:sz w:val="24"/>
                <w:szCs w:val="24"/>
                <w:highlight w:val="none"/>
              </w:rPr>
              <w:t>表4-</w:t>
            </w:r>
            <w:r>
              <w:rPr>
                <w:rFonts w:hint="eastAsia" w:cs="Times New Roman"/>
                <w:b/>
                <w:color w:val="auto"/>
                <w:sz w:val="24"/>
                <w:szCs w:val="24"/>
                <w:highlight w:val="none"/>
                <w:lang w:val="en-US" w:eastAsia="zh-CN"/>
              </w:rPr>
              <w:t>8</w:t>
            </w:r>
            <w:r>
              <w:rPr>
                <w:rFonts w:hint="default" w:ascii="Times New Roman" w:hAnsi="Times New Roman" w:cs="Times New Roman"/>
                <w:b/>
                <w:color w:val="auto"/>
                <w:sz w:val="24"/>
                <w:szCs w:val="24"/>
                <w:highlight w:val="none"/>
              </w:rPr>
              <w:t xml:space="preserve">   噪声预测结果一览表  单位：dB（A）</w:t>
            </w:r>
          </w:p>
          <w:tbl>
            <w:tblPr>
              <w:tblStyle w:val="37"/>
              <w:tblW w:w="8690"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66"/>
              <w:gridCol w:w="924"/>
              <w:gridCol w:w="937"/>
              <w:gridCol w:w="764"/>
              <w:gridCol w:w="857"/>
              <w:gridCol w:w="857"/>
              <w:gridCol w:w="871"/>
              <w:gridCol w:w="790"/>
              <w:gridCol w:w="924"/>
            </w:tblGrid>
            <w:tr w14:paraId="04E3CD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6" w:type="pct"/>
                  <w:tcBorders>
                    <w:tl2br w:val="nil"/>
                    <w:tr2bl w:val="nil"/>
                  </w:tcBorders>
                  <w:noWrap w:val="0"/>
                  <w:vAlign w:val="center"/>
                </w:tcPr>
                <w:p w14:paraId="513AEF56">
                  <w:pPr>
                    <w:pStyle w:val="194"/>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位置</w:t>
                  </w:r>
                </w:p>
              </w:tc>
              <w:tc>
                <w:tcPr>
                  <w:tcW w:w="1070" w:type="pct"/>
                  <w:gridSpan w:val="2"/>
                  <w:tcBorders>
                    <w:tl2br w:val="nil"/>
                    <w:tr2bl w:val="nil"/>
                  </w:tcBorders>
                  <w:noWrap w:val="0"/>
                  <w:vAlign w:val="center"/>
                </w:tcPr>
                <w:p w14:paraId="70B222C5">
                  <w:pPr>
                    <w:pStyle w:val="194"/>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vertAlign w:val="baseline"/>
                      <w:lang w:val="en-US" w:eastAsia="zh-CN"/>
                    </w:rPr>
                    <w:t>供热站东厂界</w:t>
                  </w:r>
                </w:p>
              </w:tc>
              <w:tc>
                <w:tcPr>
                  <w:tcW w:w="932" w:type="pct"/>
                  <w:gridSpan w:val="2"/>
                  <w:tcBorders>
                    <w:tl2br w:val="nil"/>
                    <w:tr2bl w:val="nil"/>
                  </w:tcBorders>
                  <w:noWrap w:val="0"/>
                  <w:vAlign w:val="center"/>
                </w:tcPr>
                <w:p w14:paraId="4F516075">
                  <w:pPr>
                    <w:pStyle w:val="194"/>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vertAlign w:val="baseline"/>
                      <w:lang w:val="en-US" w:eastAsia="zh-CN"/>
                    </w:rPr>
                    <w:t>供热站南厂界</w:t>
                  </w:r>
                </w:p>
              </w:tc>
              <w:tc>
                <w:tcPr>
                  <w:tcW w:w="994" w:type="pct"/>
                  <w:gridSpan w:val="2"/>
                  <w:tcBorders>
                    <w:tl2br w:val="nil"/>
                    <w:tr2bl w:val="nil"/>
                  </w:tcBorders>
                  <w:noWrap w:val="0"/>
                  <w:vAlign w:val="center"/>
                </w:tcPr>
                <w:p w14:paraId="47AE215E">
                  <w:pPr>
                    <w:pStyle w:val="194"/>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vertAlign w:val="baseline"/>
                      <w:lang w:val="en-US" w:eastAsia="zh-CN"/>
                    </w:rPr>
                    <w:t>供热站西厂界</w:t>
                  </w:r>
                </w:p>
              </w:tc>
              <w:tc>
                <w:tcPr>
                  <w:tcW w:w="986" w:type="pct"/>
                  <w:gridSpan w:val="2"/>
                  <w:tcBorders>
                    <w:tl2br w:val="nil"/>
                    <w:tr2bl w:val="nil"/>
                  </w:tcBorders>
                  <w:noWrap w:val="0"/>
                  <w:vAlign w:val="center"/>
                </w:tcPr>
                <w:p w14:paraId="33D02213">
                  <w:pPr>
                    <w:pStyle w:val="194"/>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vertAlign w:val="baseline"/>
                      <w:lang w:val="en-US" w:eastAsia="zh-CN"/>
                    </w:rPr>
                    <w:t>供热站北厂界</w:t>
                  </w:r>
                </w:p>
              </w:tc>
            </w:tr>
            <w:tr w14:paraId="45301C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6" w:type="pct"/>
                  <w:tcBorders>
                    <w:tl2br w:val="nil"/>
                    <w:tr2bl w:val="nil"/>
                  </w:tcBorders>
                  <w:noWrap w:val="0"/>
                  <w:vAlign w:val="center"/>
                </w:tcPr>
                <w:p w14:paraId="25AB4467">
                  <w:pPr>
                    <w:pStyle w:val="194"/>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预测时间段</w:t>
                  </w:r>
                </w:p>
              </w:tc>
              <w:tc>
                <w:tcPr>
                  <w:tcW w:w="531" w:type="pct"/>
                  <w:tcBorders>
                    <w:tl2br w:val="nil"/>
                    <w:tr2bl w:val="nil"/>
                  </w:tcBorders>
                  <w:noWrap w:val="0"/>
                  <w:vAlign w:val="center"/>
                </w:tcPr>
                <w:p w14:paraId="1B6F8741">
                  <w:pPr>
                    <w:pStyle w:val="194"/>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昼间</w:t>
                  </w:r>
                </w:p>
              </w:tc>
              <w:tc>
                <w:tcPr>
                  <w:tcW w:w="539" w:type="pct"/>
                  <w:tcBorders>
                    <w:tl2br w:val="nil"/>
                    <w:tr2bl w:val="nil"/>
                  </w:tcBorders>
                  <w:noWrap w:val="0"/>
                  <w:vAlign w:val="center"/>
                </w:tcPr>
                <w:p w14:paraId="71B8C30E">
                  <w:pPr>
                    <w:pStyle w:val="194"/>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夜间</w:t>
                  </w:r>
                </w:p>
              </w:tc>
              <w:tc>
                <w:tcPr>
                  <w:tcW w:w="439" w:type="pct"/>
                  <w:tcBorders>
                    <w:tl2br w:val="nil"/>
                    <w:tr2bl w:val="nil"/>
                  </w:tcBorders>
                  <w:noWrap w:val="0"/>
                  <w:vAlign w:val="center"/>
                </w:tcPr>
                <w:p w14:paraId="69AA2A4F">
                  <w:pPr>
                    <w:pStyle w:val="194"/>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昼间</w:t>
                  </w:r>
                </w:p>
              </w:tc>
              <w:tc>
                <w:tcPr>
                  <w:tcW w:w="493" w:type="pct"/>
                  <w:tcBorders>
                    <w:tl2br w:val="nil"/>
                    <w:tr2bl w:val="nil"/>
                  </w:tcBorders>
                  <w:noWrap w:val="0"/>
                  <w:vAlign w:val="center"/>
                </w:tcPr>
                <w:p w14:paraId="0FB1D9DA">
                  <w:pPr>
                    <w:pStyle w:val="194"/>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夜间</w:t>
                  </w:r>
                </w:p>
              </w:tc>
              <w:tc>
                <w:tcPr>
                  <w:tcW w:w="493" w:type="pct"/>
                  <w:tcBorders>
                    <w:tl2br w:val="nil"/>
                    <w:tr2bl w:val="nil"/>
                  </w:tcBorders>
                  <w:noWrap w:val="0"/>
                  <w:vAlign w:val="center"/>
                </w:tcPr>
                <w:p w14:paraId="72E76A96">
                  <w:pPr>
                    <w:pStyle w:val="194"/>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昼间</w:t>
                  </w:r>
                </w:p>
              </w:tc>
              <w:tc>
                <w:tcPr>
                  <w:tcW w:w="501" w:type="pct"/>
                  <w:tcBorders>
                    <w:tl2br w:val="nil"/>
                    <w:tr2bl w:val="nil"/>
                  </w:tcBorders>
                  <w:noWrap w:val="0"/>
                  <w:vAlign w:val="center"/>
                </w:tcPr>
                <w:p w14:paraId="6AE75ABC">
                  <w:pPr>
                    <w:pStyle w:val="194"/>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夜间</w:t>
                  </w:r>
                </w:p>
              </w:tc>
              <w:tc>
                <w:tcPr>
                  <w:tcW w:w="454" w:type="pct"/>
                  <w:tcBorders>
                    <w:tl2br w:val="nil"/>
                    <w:tr2bl w:val="nil"/>
                  </w:tcBorders>
                  <w:noWrap w:val="0"/>
                  <w:vAlign w:val="center"/>
                </w:tcPr>
                <w:p w14:paraId="2B25BCA3">
                  <w:pPr>
                    <w:pStyle w:val="194"/>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昼间</w:t>
                  </w:r>
                </w:p>
              </w:tc>
              <w:tc>
                <w:tcPr>
                  <w:tcW w:w="531" w:type="pct"/>
                  <w:tcBorders>
                    <w:tl2br w:val="nil"/>
                    <w:tr2bl w:val="nil"/>
                  </w:tcBorders>
                  <w:noWrap w:val="0"/>
                  <w:vAlign w:val="center"/>
                </w:tcPr>
                <w:p w14:paraId="21B457EA">
                  <w:pPr>
                    <w:pStyle w:val="194"/>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夜间</w:t>
                  </w:r>
                </w:p>
              </w:tc>
            </w:tr>
            <w:tr w14:paraId="165952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6" w:type="pct"/>
                  <w:tcBorders>
                    <w:tl2br w:val="nil"/>
                    <w:tr2bl w:val="nil"/>
                  </w:tcBorders>
                  <w:noWrap w:val="0"/>
                  <w:vAlign w:val="center"/>
                </w:tcPr>
                <w:p w14:paraId="27F2155F">
                  <w:pPr>
                    <w:pStyle w:val="194"/>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贡献</w:t>
                  </w:r>
                  <w:r>
                    <w:rPr>
                      <w:rFonts w:hint="default" w:ascii="Times New Roman" w:hAnsi="Times New Roman" w:cs="Times New Roman"/>
                      <w:color w:val="auto"/>
                      <w:sz w:val="21"/>
                      <w:szCs w:val="21"/>
                      <w:highlight w:val="none"/>
                    </w:rPr>
                    <w:t>值</w:t>
                  </w:r>
                </w:p>
              </w:tc>
              <w:tc>
                <w:tcPr>
                  <w:tcW w:w="1070" w:type="pct"/>
                  <w:gridSpan w:val="2"/>
                  <w:tcBorders>
                    <w:tl2br w:val="nil"/>
                    <w:tr2bl w:val="nil"/>
                  </w:tcBorders>
                  <w:noWrap w:val="0"/>
                  <w:vAlign w:val="center"/>
                </w:tcPr>
                <w:p w14:paraId="4D5992D2">
                  <w:pPr>
                    <w:pStyle w:val="194"/>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47</w:t>
                  </w:r>
                </w:p>
              </w:tc>
              <w:tc>
                <w:tcPr>
                  <w:tcW w:w="932" w:type="pct"/>
                  <w:gridSpan w:val="2"/>
                  <w:tcBorders>
                    <w:tl2br w:val="nil"/>
                    <w:tr2bl w:val="nil"/>
                  </w:tcBorders>
                  <w:noWrap w:val="0"/>
                  <w:vAlign w:val="center"/>
                </w:tcPr>
                <w:p w14:paraId="2D6DEAEE">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c>
                <w:tcPr>
                  <w:tcW w:w="994" w:type="pct"/>
                  <w:gridSpan w:val="2"/>
                  <w:tcBorders>
                    <w:tl2br w:val="nil"/>
                    <w:tr2bl w:val="nil"/>
                  </w:tcBorders>
                  <w:noWrap w:val="0"/>
                  <w:vAlign w:val="center"/>
                </w:tcPr>
                <w:p w14:paraId="54C4A01B">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c>
                <w:tcPr>
                  <w:tcW w:w="986" w:type="pct"/>
                  <w:gridSpan w:val="2"/>
                  <w:tcBorders>
                    <w:tl2br w:val="nil"/>
                    <w:tr2bl w:val="nil"/>
                  </w:tcBorders>
                  <w:noWrap w:val="0"/>
                  <w:vAlign w:val="center"/>
                </w:tcPr>
                <w:p w14:paraId="56240923">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48</w:t>
                  </w:r>
                </w:p>
              </w:tc>
            </w:tr>
            <w:tr w14:paraId="79DF1E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6" w:type="pct"/>
                  <w:tcBorders>
                    <w:tl2br w:val="nil"/>
                    <w:tr2bl w:val="nil"/>
                  </w:tcBorders>
                  <w:noWrap w:val="0"/>
                  <w:vAlign w:val="center"/>
                </w:tcPr>
                <w:p w14:paraId="5F302C8B">
                  <w:pPr>
                    <w:pStyle w:val="194"/>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背景</w:t>
                  </w:r>
                  <w:r>
                    <w:rPr>
                      <w:rFonts w:hint="default" w:ascii="Times New Roman" w:hAnsi="Times New Roman" w:cs="Times New Roman"/>
                      <w:color w:val="auto"/>
                      <w:sz w:val="21"/>
                      <w:szCs w:val="21"/>
                      <w:highlight w:val="none"/>
                    </w:rPr>
                    <w:t>值</w:t>
                  </w:r>
                </w:p>
              </w:tc>
              <w:tc>
                <w:tcPr>
                  <w:tcW w:w="1070" w:type="pct"/>
                  <w:gridSpan w:val="2"/>
                  <w:tcBorders>
                    <w:tl2br w:val="nil"/>
                    <w:tr2bl w:val="nil"/>
                  </w:tcBorders>
                  <w:noWrap w:val="0"/>
                  <w:vAlign w:val="center"/>
                </w:tcPr>
                <w:p w14:paraId="22C690FD">
                  <w:pPr>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932" w:type="pct"/>
                  <w:gridSpan w:val="2"/>
                  <w:tcBorders>
                    <w:tl2br w:val="nil"/>
                    <w:tr2bl w:val="nil"/>
                  </w:tcBorders>
                  <w:noWrap w:val="0"/>
                  <w:vAlign w:val="center"/>
                </w:tcPr>
                <w:p w14:paraId="5C564D4D">
                  <w:pPr>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994" w:type="pct"/>
                  <w:gridSpan w:val="2"/>
                  <w:tcBorders>
                    <w:tl2br w:val="nil"/>
                    <w:tr2bl w:val="nil"/>
                  </w:tcBorders>
                  <w:noWrap w:val="0"/>
                  <w:vAlign w:val="center"/>
                </w:tcPr>
                <w:p w14:paraId="08703549">
                  <w:pPr>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986" w:type="pct"/>
                  <w:gridSpan w:val="2"/>
                  <w:tcBorders>
                    <w:tl2br w:val="nil"/>
                    <w:tr2bl w:val="nil"/>
                  </w:tcBorders>
                  <w:noWrap w:val="0"/>
                  <w:vAlign w:val="center"/>
                </w:tcPr>
                <w:p w14:paraId="4F4F61F4">
                  <w:pPr>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322BFD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6" w:type="pct"/>
                  <w:tcBorders>
                    <w:tl2br w:val="nil"/>
                    <w:tr2bl w:val="nil"/>
                  </w:tcBorders>
                  <w:noWrap w:val="0"/>
                  <w:vAlign w:val="center"/>
                </w:tcPr>
                <w:p w14:paraId="14590364">
                  <w:pPr>
                    <w:pStyle w:val="194"/>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预测叠</w:t>
                  </w:r>
                </w:p>
                <w:p w14:paraId="4B3B2939">
                  <w:pPr>
                    <w:pStyle w:val="194"/>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加值</w:t>
                  </w:r>
                </w:p>
              </w:tc>
              <w:tc>
                <w:tcPr>
                  <w:tcW w:w="1070" w:type="pct"/>
                  <w:gridSpan w:val="2"/>
                  <w:tcBorders>
                    <w:tl2br w:val="nil"/>
                    <w:tr2bl w:val="nil"/>
                  </w:tcBorders>
                  <w:noWrap w:val="0"/>
                  <w:vAlign w:val="center"/>
                </w:tcPr>
                <w:p w14:paraId="368E1878">
                  <w:pPr>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932" w:type="pct"/>
                  <w:gridSpan w:val="2"/>
                  <w:tcBorders>
                    <w:tl2br w:val="nil"/>
                    <w:tr2bl w:val="nil"/>
                  </w:tcBorders>
                  <w:noWrap w:val="0"/>
                  <w:vAlign w:val="center"/>
                </w:tcPr>
                <w:p w14:paraId="38912933">
                  <w:pPr>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994" w:type="pct"/>
                  <w:gridSpan w:val="2"/>
                  <w:tcBorders>
                    <w:tl2br w:val="nil"/>
                    <w:tr2bl w:val="nil"/>
                  </w:tcBorders>
                  <w:noWrap w:val="0"/>
                  <w:vAlign w:val="center"/>
                </w:tcPr>
                <w:p w14:paraId="569C89C5">
                  <w:pPr>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986" w:type="pct"/>
                  <w:gridSpan w:val="2"/>
                  <w:tcBorders>
                    <w:tl2br w:val="nil"/>
                    <w:tr2bl w:val="nil"/>
                  </w:tcBorders>
                  <w:noWrap w:val="0"/>
                  <w:vAlign w:val="center"/>
                </w:tcPr>
                <w:p w14:paraId="66AB70B6">
                  <w:pPr>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4475DF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6" w:type="pct"/>
                  <w:tcBorders>
                    <w:tl2br w:val="nil"/>
                    <w:tr2bl w:val="nil"/>
                  </w:tcBorders>
                  <w:noWrap w:val="0"/>
                  <w:vAlign w:val="center"/>
                </w:tcPr>
                <w:p w14:paraId="67B34DB8">
                  <w:pPr>
                    <w:pStyle w:val="194"/>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标准值</w:t>
                  </w:r>
                </w:p>
              </w:tc>
              <w:tc>
                <w:tcPr>
                  <w:tcW w:w="531" w:type="pct"/>
                  <w:tcBorders>
                    <w:tl2br w:val="nil"/>
                    <w:tr2bl w:val="nil"/>
                  </w:tcBorders>
                  <w:noWrap w:val="0"/>
                  <w:vAlign w:val="center"/>
                </w:tcPr>
                <w:p w14:paraId="5A42120F">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539" w:type="pct"/>
                  <w:tcBorders>
                    <w:tl2br w:val="nil"/>
                    <w:tr2bl w:val="nil"/>
                  </w:tcBorders>
                  <w:noWrap w:val="0"/>
                  <w:vAlign w:val="center"/>
                </w:tcPr>
                <w:p w14:paraId="3D822191">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439" w:type="pct"/>
                  <w:tcBorders>
                    <w:tl2br w:val="nil"/>
                    <w:tr2bl w:val="nil"/>
                  </w:tcBorders>
                  <w:noWrap w:val="0"/>
                  <w:vAlign w:val="center"/>
                </w:tcPr>
                <w:p w14:paraId="3AF59208">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493" w:type="pct"/>
                  <w:tcBorders>
                    <w:tl2br w:val="nil"/>
                    <w:tr2bl w:val="nil"/>
                  </w:tcBorders>
                  <w:noWrap w:val="0"/>
                  <w:vAlign w:val="center"/>
                </w:tcPr>
                <w:p w14:paraId="3E15AD6E">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493" w:type="pct"/>
                  <w:tcBorders>
                    <w:tl2br w:val="nil"/>
                    <w:tr2bl w:val="nil"/>
                  </w:tcBorders>
                  <w:noWrap w:val="0"/>
                  <w:vAlign w:val="center"/>
                </w:tcPr>
                <w:p w14:paraId="4D90781F">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501" w:type="pct"/>
                  <w:tcBorders>
                    <w:tl2br w:val="nil"/>
                    <w:tr2bl w:val="nil"/>
                  </w:tcBorders>
                  <w:noWrap w:val="0"/>
                  <w:vAlign w:val="center"/>
                </w:tcPr>
                <w:p w14:paraId="1D79F4D5">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454" w:type="pct"/>
                  <w:tcBorders>
                    <w:tl2br w:val="nil"/>
                    <w:tr2bl w:val="nil"/>
                  </w:tcBorders>
                  <w:noWrap w:val="0"/>
                  <w:vAlign w:val="center"/>
                </w:tcPr>
                <w:p w14:paraId="043C3850">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531" w:type="pct"/>
                  <w:tcBorders>
                    <w:tl2br w:val="nil"/>
                    <w:tr2bl w:val="nil"/>
                  </w:tcBorders>
                  <w:noWrap w:val="0"/>
                  <w:vAlign w:val="center"/>
                </w:tcPr>
                <w:p w14:paraId="2B020475">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r>
            <w:tr w14:paraId="27E65D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6" w:type="pct"/>
                  <w:tcBorders>
                    <w:tl2br w:val="nil"/>
                    <w:tr2bl w:val="nil"/>
                  </w:tcBorders>
                  <w:noWrap w:val="0"/>
                  <w:vAlign w:val="center"/>
                </w:tcPr>
                <w:p w14:paraId="215B6BDE">
                  <w:pPr>
                    <w:pStyle w:val="194"/>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是否达标</w:t>
                  </w:r>
                </w:p>
              </w:tc>
              <w:tc>
                <w:tcPr>
                  <w:tcW w:w="1070" w:type="pct"/>
                  <w:gridSpan w:val="2"/>
                  <w:tcBorders>
                    <w:tl2br w:val="nil"/>
                    <w:tr2bl w:val="nil"/>
                  </w:tcBorders>
                  <w:noWrap w:val="0"/>
                  <w:vAlign w:val="center"/>
                </w:tcPr>
                <w:p w14:paraId="7CB7F49F">
                  <w:pPr>
                    <w:pStyle w:val="194"/>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c>
                <w:tcPr>
                  <w:tcW w:w="932" w:type="pct"/>
                  <w:gridSpan w:val="2"/>
                  <w:tcBorders>
                    <w:tl2br w:val="nil"/>
                    <w:tr2bl w:val="nil"/>
                  </w:tcBorders>
                  <w:noWrap w:val="0"/>
                  <w:vAlign w:val="center"/>
                </w:tcPr>
                <w:p w14:paraId="339FF4E4">
                  <w:pPr>
                    <w:pStyle w:val="194"/>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c>
                <w:tcPr>
                  <w:tcW w:w="994" w:type="pct"/>
                  <w:gridSpan w:val="2"/>
                  <w:tcBorders>
                    <w:tl2br w:val="nil"/>
                    <w:tr2bl w:val="nil"/>
                  </w:tcBorders>
                  <w:noWrap w:val="0"/>
                  <w:vAlign w:val="center"/>
                </w:tcPr>
                <w:p w14:paraId="629D4FC0">
                  <w:pPr>
                    <w:pStyle w:val="194"/>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c>
                <w:tcPr>
                  <w:tcW w:w="986" w:type="pct"/>
                  <w:gridSpan w:val="2"/>
                  <w:tcBorders>
                    <w:tl2br w:val="nil"/>
                    <w:tr2bl w:val="nil"/>
                  </w:tcBorders>
                  <w:noWrap w:val="0"/>
                  <w:vAlign w:val="center"/>
                </w:tcPr>
                <w:p w14:paraId="46A1DCD9">
                  <w:pPr>
                    <w:pStyle w:val="194"/>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达标</w:t>
                  </w:r>
                </w:p>
              </w:tc>
            </w:tr>
          </w:tbl>
          <w:p w14:paraId="0F7C6EDE">
            <w:pPr>
              <w:adjustRightInd w:val="0"/>
              <w:spacing w:line="360" w:lineRule="auto"/>
              <w:ind w:firstLine="480" w:firstLineChars="200"/>
              <w:jc w:val="left"/>
              <w:rPr>
                <w:rFonts w:hint="default" w:ascii="Times New Roman" w:hAnsi="Times New Roman" w:cs="Times New Roman"/>
                <w:bCs/>
                <w:color w:val="auto"/>
                <w:kern w:val="0"/>
                <w:sz w:val="24"/>
                <w:szCs w:val="24"/>
                <w:highlight w:val="none"/>
              </w:rPr>
            </w:pPr>
            <w:r>
              <w:rPr>
                <w:rFonts w:hint="default" w:ascii="Times New Roman" w:hAnsi="Times New Roman" w:cs="Times New Roman"/>
                <w:color w:val="auto"/>
                <w:kern w:val="0"/>
                <w:sz w:val="24"/>
                <w:szCs w:val="24"/>
                <w:highlight w:val="none"/>
              </w:rPr>
              <w:t>从上表可知，</w:t>
            </w:r>
            <w:r>
              <w:rPr>
                <w:rFonts w:hint="eastAsia" w:cs="Times New Roman"/>
                <w:color w:val="auto"/>
                <w:kern w:val="0"/>
                <w:sz w:val="24"/>
                <w:szCs w:val="24"/>
                <w:highlight w:val="none"/>
                <w:lang w:val="en-US" w:eastAsia="zh-CN"/>
              </w:rPr>
              <w:t>厂界</w:t>
            </w:r>
            <w:r>
              <w:rPr>
                <w:rFonts w:hint="default" w:ascii="Times New Roman" w:hAnsi="Times New Roman" w:cs="Times New Roman"/>
                <w:color w:val="auto"/>
                <w:kern w:val="0"/>
                <w:sz w:val="24"/>
                <w:szCs w:val="24"/>
                <w:highlight w:val="none"/>
              </w:rPr>
              <w:t>噪声</w:t>
            </w:r>
            <w:r>
              <w:rPr>
                <w:rFonts w:hint="eastAsia" w:cs="Times New Roman"/>
                <w:color w:val="auto"/>
                <w:kern w:val="0"/>
                <w:sz w:val="24"/>
                <w:szCs w:val="24"/>
                <w:highlight w:val="none"/>
                <w:lang w:val="en-US" w:eastAsia="zh-CN"/>
              </w:rPr>
              <w:t>贡献</w:t>
            </w:r>
            <w:r>
              <w:rPr>
                <w:rFonts w:hint="default" w:ascii="Times New Roman" w:hAnsi="Times New Roman" w:cs="Times New Roman"/>
                <w:color w:val="auto"/>
                <w:kern w:val="0"/>
                <w:sz w:val="24"/>
                <w:szCs w:val="24"/>
                <w:highlight w:val="none"/>
              </w:rPr>
              <w:t>值可以满足《工业企业厂界环境噪声排放标准》（GB12348-2008）</w:t>
            </w:r>
            <w:r>
              <w:rPr>
                <w:rFonts w:hint="eastAsia" w:cs="Times New Roman"/>
                <w:color w:val="auto"/>
                <w:kern w:val="0"/>
                <w:sz w:val="24"/>
                <w:szCs w:val="24"/>
                <w:highlight w:val="none"/>
                <w:lang w:val="en-US" w:eastAsia="zh-CN"/>
              </w:rPr>
              <w:t>2</w:t>
            </w:r>
            <w:r>
              <w:rPr>
                <w:rFonts w:hint="default" w:ascii="Times New Roman" w:hAnsi="Times New Roman" w:cs="Times New Roman"/>
                <w:color w:val="auto"/>
                <w:kern w:val="0"/>
                <w:sz w:val="24"/>
                <w:szCs w:val="24"/>
                <w:highlight w:val="none"/>
              </w:rPr>
              <w:t>类标准要求</w:t>
            </w:r>
            <w:r>
              <w:rPr>
                <w:rFonts w:hint="default" w:ascii="Times New Roman" w:hAnsi="Times New Roman" w:cs="Times New Roman"/>
                <w:bCs/>
                <w:color w:val="auto"/>
                <w:kern w:val="0"/>
                <w:sz w:val="24"/>
                <w:szCs w:val="24"/>
                <w:highlight w:val="none"/>
              </w:rPr>
              <w:t>。</w:t>
            </w:r>
          </w:p>
          <w:p w14:paraId="74651C1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bCs/>
                <w:color w:val="auto"/>
                <w:kern w:val="0"/>
                <w:sz w:val="21"/>
                <w:szCs w:val="21"/>
                <w:highlight w:val="green"/>
              </w:rPr>
            </w:pPr>
            <w:r>
              <w:rPr>
                <w:rFonts w:hint="default" w:ascii="Times New Roman" w:hAnsi="Times New Roman" w:cs="Times New Roman"/>
                <w:bCs/>
                <w:color w:val="auto"/>
                <w:kern w:val="0"/>
                <w:sz w:val="24"/>
                <w:szCs w:val="24"/>
                <w:highlight w:val="none"/>
                <w:lang w:bidi="ar"/>
              </w:rPr>
              <w:t>因此，噪声排放对周围声环境影响较小。</w:t>
            </w:r>
          </w:p>
          <w:p w14:paraId="53D9807B">
            <w:pPr>
              <w:spacing w:line="360" w:lineRule="auto"/>
              <w:ind w:firstLine="482" w:firstLineChars="200"/>
              <w:rPr>
                <w:b/>
                <w:bCs w:val="0"/>
                <w:color w:val="auto"/>
                <w:sz w:val="24"/>
                <w:szCs w:val="24"/>
                <w:highlight w:val="none"/>
              </w:rPr>
            </w:pPr>
            <w:r>
              <w:rPr>
                <w:b/>
                <w:bCs w:val="0"/>
                <w:color w:val="auto"/>
                <w:sz w:val="24"/>
                <w:szCs w:val="24"/>
                <w:highlight w:val="none"/>
              </w:rPr>
              <w:t>3.</w:t>
            </w:r>
            <w:r>
              <w:rPr>
                <w:rFonts w:hint="eastAsia"/>
                <w:b/>
                <w:bCs w:val="0"/>
                <w:color w:val="auto"/>
                <w:sz w:val="24"/>
                <w:szCs w:val="24"/>
                <w:highlight w:val="none"/>
                <w:lang w:val="en-US" w:eastAsia="zh-CN"/>
              </w:rPr>
              <w:t>5</w:t>
            </w:r>
            <w:r>
              <w:rPr>
                <w:rFonts w:hint="eastAsia"/>
                <w:b/>
                <w:bCs w:val="0"/>
                <w:color w:val="auto"/>
                <w:sz w:val="24"/>
                <w:szCs w:val="24"/>
                <w:highlight w:val="none"/>
              </w:rPr>
              <w:t>噪声自行监测计划</w:t>
            </w:r>
          </w:p>
          <w:p w14:paraId="1A644C32">
            <w:pPr>
              <w:spacing w:line="360" w:lineRule="auto"/>
              <w:ind w:firstLine="470" w:firstLineChars="196"/>
              <w:rPr>
                <w:b w:val="0"/>
                <w:bCs/>
                <w:color w:val="auto"/>
                <w:sz w:val="24"/>
                <w:szCs w:val="24"/>
                <w:highlight w:val="none"/>
              </w:rPr>
            </w:pPr>
            <w:r>
              <w:rPr>
                <w:rFonts w:hint="eastAsia"/>
                <w:b w:val="0"/>
                <w:bCs/>
                <w:color w:val="auto"/>
                <w:sz w:val="24"/>
                <w:szCs w:val="24"/>
                <w:highlight w:val="none"/>
                <w:lang w:val="en-US" w:eastAsia="zh-CN"/>
              </w:rPr>
              <w:t>项目供热站</w:t>
            </w:r>
            <w:r>
              <w:rPr>
                <w:rFonts w:hint="eastAsia"/>
                <w:b w:val="0"/>
                <w:bCs/>
                <w:color w:val="auto"/>
                <w:sz w:val="24"/>
                <w:szCs w:val="24"/>
                <w:highlight w:val="none"/>
              </w:rPr>
              <w:t>噪声监测要求见表4</w:t>
            </w:r>
            <w:r>
              <w:rPr>
                <w:b w:val="0"/>
                <w:bCs/>
                <w:color w:val="auto"/>
                <w:sz w:val="24"/>
                <w:szCs w:val="24"/>
                <w:highlight w:val="none"/>
              </w:rPr>
              <w:t>-</w:t>
            </w:r>
            <w:r>
              <w:rPr>
                <w:rFonts w:hint="eastAsia"/>
                <w:b w:val="0"/>
                <w:bCs/>
                <w:color w:val="auto"/>
                <w:sz w:val="24"/>
                <w:szCs w:val="24"/>
                <w:highlight w:val="none"/>
                <w:lang w:val="en-US" w:eastAsia="zh-CN"/>
              </w:rPr>
              <w:t>9</w:t>
            </w:r>
            <w:r>
              <w:rPr>
                <w:rFonts w:hint="eastAsia"/>
                <w:b w:val="0"/>
                <w:bCs/>
                <w:color w:val="auto"/>
                <w:sz w:val="24"/>
                <w:szCs w:val="24"/>
                <w:highlight w:val="none"/>
              </w:rPr>
              <w:t>。</w:t>
            </w:r>
          </w:p>
          <w:p w14:paraId="0AEE7D32">
            <w:pPr>
              <w:jc w:val="center"/>
              <w:rPr>
                <w:b/>
                <w:bCs w:val="0"/>
                <w:color w:val="auto"/>
                <w:sz w:val="24"/>
                <w:szCs w:val="24"/>
                <w:highlight w:val="none"/>
              </w:rPr>
            </w:pPr>
            <w:r>
              <w:rPr>
                <w:rFonts w:hint="eastAsia"/>
                <w:b/>
                <w:bCs w:val="0"/>
                <w:color w:val="auto"/>
                <w:sz w:val="24"/>
                <w:szCs w:val="24"/>
                <w:highlight w:val="none"/>
              </w:rPr>
              <w:t>表</w:t>
            </w:r>
            <w:r>
              <w:rPr>
                <w:b/>
                <w:bCs w:val="0"/>
                <w:color w:val="auto"/>
                <w:sz w:val="24"/>
                <w:szCs w:val="24"/>
                <w:highlight w:val="none"/>
              </w:rPr>
              <w:t>4-</w:t>
            </w:r>
            <w:r>
              <w:rPr>
                <w:rFonts w:hint="eastAsia"/>
                <w:b/>
                <w:bCs w:val="0"/>
                <w:color w:val="auto"/>
                <w:sz w:val="24"/>
                <w:szCs w:val="24"/>
                <w:highlight w:val="none"/>
                <w:lang w:val="en-US" w:eastAsia="zh-CN"/>
              </w:rPr>
              <w:t>9</w:t>
            </w:r>
            <w:r>
              <w:rPr>
                <w:rFonts w:hint="eastAsia"/>
                <w:b/>
                <w:bCs w:val="0"/>
                <w:color w:val="auto"/>
                <w:sz w:val="24"/>
                <w:szCs w:val="24"/>
                <w:highlight w:val="none"/>
              </w:rPr>
              <w:t xml:space="preserve">   噪声监测计划表</w:t>
            </w:r>
          </w:p>
          <w:tbl>
            <w:tblPr>
              <w:tblStyle w:val="37"/>
              <w:tblW w:w="0" w:type="auto"/>
              <w:tblInd w:w="4"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47"/>
              <w:gridCol w:w="2218"/>
              <w:gridCol w:w="1234"/>
              <w:gridCol w:w="2548"/>
            </w:tblGrid>
            <w:tr w14:paraId="796B10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7" w:type="dxa"/>
                  <w:tcBorders>
                    <w:tl2br w:val="nil"/>
                    <w:tr2bl w:val="nil"/>
                  </w:tcBorders>
                  <w:noWrap w:val="0"/>
                  <w:vAlign w:val="center"/>
                </w:tcPr>
                <w:p w14:paraId="35EEA817">
                  <w:pPr>
                    <w:adjustRightInd w:val="0"/>
                    <w:snapToGrid w:val="0"/>
                    <w:jc w:val="center"/>
                    <w:rPr>
                      <w:b/>
                      <w:bCs w:val="0"/>
                      <w:color w:val="auto"/>
                      <w:kern w:val="0"/>
                      <w:sz w:val="21"/>
                      <w:szCs w:val="21"/>
                      <w:highlight w:val="none"/>
                    </w:rPr>
                  </w:pPr>
                  <w:r>
                    <w:rPr>
                      <w:rFonts w:hint="eastAsia"/>
                      <w:b/>
                      <w:bCs w:val="0"/>
                      <w:color w:val="auto"/>
                      <w:kern w:val="0"/>
                      <w:sz w:val="21"/>
                      <w:szCs w:val="21"/>
                      <w:highlight w:val="none"/>
                    </w:rPr>
                    <w:t>监测点</w:t>
                  </w:r>
                </w:p>
              </w:tc>
              <w:tc>
                <w:tcPr>
                  <w:tcW w:w="2218" w:type="dxa"/>
                  <w:tcBorders>
                    <w:tl2br w:val="nil"/>
                    <w:tr2bl w:val="nil"/>
                  </w:tcBorders>
                  <w:noWrap w:val="0"/>
                  <w:vAlign w:val="center"/>
                </w:tcPr>
                <w:p w14:paraId="5CF64D6B">
                  <w:pPr>
                    <w:adjustRightInd w:val="0"/>
                    <w:snapToGrid w:val="0"/>
                    <w:jc w:val="center"/>
                    <w:rPr>
                      <w:b/>
                      <w:bCs w:val="0"/>
                      <w:color w:val="auto"/>
                      <w:kern w:val="0"/>
                      <w:sz w:val="21"/>
                      <w:szCs w:val="21"/>
                      <w:highlight w:val="none"/>
                    </w:rPr>
                  </w:pPr>
                  <w:r>
                    <w:rPr>
                      <w:rFonts w:hint="eastAsia"/>
                      <w:b/>
                      <w:bCs w:val="0"/>
                      <w:color w:val="auto"/>
                      <w:kern w:val="0"/>
                      <w:sz w:val="21"/>
                      <w:szCs w:val="21"/>
                      <w:highlight w:val="none"/>
                    </w:rPr>
                    <w:t>监测指标</w:t>
                  </w:r>
                </w:p>
              </w:tc>
              <w:tc>
                <w:tcPr>
                  <w:tcW w:w="1234" w:type="dxa"/>
                  <w:tcBorders>
                    <w:tl2br w:val="nil"/>
                    <w:tr2bl w:val="nil"/>
                  </w:tcBorders>
                  <w:noWrap w:val="0"/>
                  <w:vAlign w:val="center"/>
                </w:tcPr>
                <w:p w14:paraId="1BE66C9A">
                  <w:pPr>
                    <w:adjustRightInd w:val="0"/>
                    <w:snapToGrid w:val="0"/>
                    <w:jc w:val="center"/>
                    <w:rPr>
                      <w:b/>
                      <w:bCs w:val="0"/>
                      <w:color w:val="auto"/>
                      <w:kern w:val="0"/>
                      <w:sz w:val="21"/>
                      <w:szCs w:val="21"/>
                      <w:highlight w:val="none"/>
                    </w:rPr>
                  </w:pPr>
                  <w:r>
                    <w:rPr>
                      <w:rFonts w:hint="eastAsia"/>
                      <w:b/>
                      <w:bCs w:val="0"/>
                      <w:color w:val="auto"/>
                      <w:kern w:val="0"/>
                      <w:sz w:val="21"/>
                      <w:szCs w:val="21"/>
                      <w:highlight w:val="none"/>
                    </w:rPr>
                    <w:t>监测频次</w:t>
                  </w:r>
                </w:p>
              </w:tc>
              <w:tc>
                <w:tcPr>
                  <w:tcW w:w="2548" w:type="dxa"/>
                  <w:tcBorders>
                    <w:tl2br w:val="nil"/>
                    <w:tr2bl w:val="nil"/>
                  </w:tcBorders>
                  <w:noWrap w:val="0"/>
                  <w:vAlign w:val="center"/>
                </w:tcPr>
                <w:p w14:paraId="3E7B2A1B">
                  <w:pPr>
                    <w:adjustRightInd w:val="0"/>
                    <w:snapToGrid w:val="0"/>
                    <w:jc w:val="center"/>
                    <w:rPr>
                      <w:b/>
                      <w:bCs w:val="0"/>
                      <w:color w:val="auto"/>
                      <w:kern w:val="0"/>
                      <w:sz w:val="21"/>
                      <w:szCs w:val="21"/>
                      <w:highlight w:val="none"/>
                    </w:rPr>
                  </w:pPr>
                  <w:r>
                    <w:rPr>
                      <w:rFonts w:hint="eastAsia"/>
                      <w:b/>
                      <w:bCs w:val="0"/>
                      <w:color w:val="auto"/>
                      <w:kern w:val="0"/>
                      <w:sz w:val="21"/>
                      <w:szCs w:val="21"/>
                      <w:highlight w:val="none"/>
                    </w:rPr>
                    <w:t>执行排放标准</w:t>
                  </w:r>
                </w:p>
              </w:tc>
            </w:tr>
            <w:tr w14:paraId="7917F6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7" w:type="dxa"/>
                  <w:tcBorders>
                    <w:tl2br w:val="nil"/>
                    <w:tr2bl w:val="nil"/>
                  </w:tcBorders>
                  <w:noWrap w:val="0"/>
                  <w:vAlign w:val="center"/>
                </w:tcPr>
                <w:p w14:paraId="2C0DE226">
                  <w:pPr>
                    <w:adjustRightInd w:val="0"/>
                    <w:snapToGrid w:val="0"/>
                    <w:jc w:val="center"/>
                    <w:rPr>
                      <w:rFonts w:hint="eastAsia"/>
                      <w:b w:val="0"/>
                      <w:bCs/>
                      <w:color w:val="auto"/>
                      <w:kern w:val="0"/>
                      <w:sz w:val="21"/>
                      <w:szCs w:val="21"/>
                      <w:highlight w:val="none"/>
                    </w:rPr>
                  </w:pPr>
                  <w:r>
                    <w:rPr>
                      <w:rFonts w:hint="eastAsia"/>
                      <w:color w:val="auto"/>
                      <w:kern w:val="0"/>
                      <w:sz w:val="21"/>
                      <w:szCs w:val="21"/>
                      <w:highlight w:val="none"/>
                      <w:lang w:val="en-US" w:eastAsia="zh-CN"/>
                    </w:rPr>
                    <w:t>供热站</w:t>
                  </w:r>
                  <w:r>
                    <w:rPr>
                      <w:rFonts w:hint="eastAsia"/>
                      <w:color w:val="auto"/>
                      <w:kern w:val="0"/>
                      <w:sz w:val="21"/>
                      <w:szCs w:val="21"/>
                      <w:highlight w:val="none"/>
                    </w:rPr>
                    <w:t>四周</w:t>
                  </w:r>
                </w:p>
              </w:tc>
              <w:tc>
                <w:tcPr>
                  <w:tcW w:w="2218" w:type="dxa"/>
                  <w:tcBorders>
                    <w:tl2br w:val="nil"/>
                    <w:tr2bl w:val="nil"/>
                  </w:tcBorders>
                  <w:noWrap w:val="0"/>
                  <w:vAlign w:val="center"/>
                </w:tcPr>
                <w:p w14:paraId="3825F06A">
                  <w:pPr>
                    <w:autoSpaceDE w:val="0"/>
                    <w:autoSpaceDN w:val="0"/>
                    <w:adjustRightInd w:val="0"/>
                    <w:snapToGrid w:val="0"/>
                    <w:jc w:val="center"/>
                    <w:rPr>
                      <w:rFonts w:hint="eastAsia"/>
                      <w:b w:val="0"/>
                      <w:bCs/>
                      <w:color w:val="auto"/>
                      <w:kern w:val="0"/>
                      <w:sz w:val="21"/>
                      <w:szCs w:val="21"/>
                      <w:highlight w:val="none"/>
                      <w:lang w:val="en-US" w:eastAsia="zh-CN" w:bidi="ar-SA"/>
                    </w:rPr>
                  </w:pPr>
                  <w:r>
                    <w:rPr>
                      <w:rFonts w:hint="eastAsia"/>
                      <w:b w:val="0"/>
                      <w:bCs/>
                      <w:color w:val="auto"/>
                      <w:kern w:val="0"/>
                      <w:sz w:val="21"/>
                      <w:szCs w:val="21"/>
                      <w:highlight w:val="none"/>
                    </w:rPr>
                    <w:t>等效连续</w:t>
                  </w:r>
                  <w:r>
                    <w:rPr>
                      <w:b w:val="0"/>
                      <w:bCs/>
                      <w:color w:val="auto"/>
                      <w:kern w:val="0"/>
                      <w:sz w:val="21"/>
                      <w:szCs w:val="21"/>
                      <w:highlight w:val="none"/>
                    </w:rPr>
                    <w:t>A</w:t>
                  </w:r>
                  <w:r>
                    <w:rPr>
                      <w:rFonts w:hint="eastAsia"/>
                      <w:b w:val="0"/>
                      <w:bCs/>
                      <w:color w:val="auto"/>
                      <w:kern w:val="0"/>
                      <w:sz w:val="21"/>
                      <w:szCs w:val="21"/>
                      <w:highlight w:val="none"/>
                    </w:rPr>
                    <w:t>声级</w:t>
                  </w:r>
                </w:p>
              </w:tc>
              <w:tc>
                <w:tcPr>
                  <w:tcW w:w="1234" w:type="dxa"/>
                  <w:tcBorders>
                    <w:tl2br w:val="nil"/>
                    <w:tr2bl w:val="nil"/>
                  </w:tcBorders>
                  <w:noWrap w:val="0"/>
                  <w:vAlign w:val="center"/>
                </w:tcPr>
                <w:p w14:paraId="229E4745">
                  <w:pPr>
                    <w:adjustRightInd w:val="0"/>
                    <w:snapToGrid w:val="0"/>
                    <w:jc w:val="center"/>
                    <w:rPr>
                      <w:rFonts w:hint="eastAsia" w:eastAsia="宋体"/>
                      <w:b w:val="0"/>
                      <w:bCs/>
                      <w:color w:val="auto"/>
                      <w:kern w:val="0"/>
                      <w:sz w:val="21"/>
                      <w:szCs w:val="21"/>
                      <w:highlight w:val="none"/>
                      <w:lang w:val="en-US" w:eastAsia="zh-CN" w:bidi="ar-SA"/>
                    </w:rPr>
                  </w:pPr>
                  <w:r>
                    <w:rPr>
                      <w:b w:val="0"/>
                      <w:bCs/>
                      <w:color w:val="auto"/>
                      <w:kern w:val="0"/>
                      <w:sz w:val="21"/>
                      <w:szCs w:val="21"/>
                      <w:highlight w:val="none"/>
                    </w:rPr>
                    <w:t>1</w:t>
                  </w:r>
                  <w:r>
                    <w:rPr>
                      <w:rFonts w:hint="eastAsia"/>
                      <w:b w:val="0"/>
                      <w:bCs/>
                      <w:color w:val="auto"/>
                      <w:kern w:val="0"/>
                      <w:sz w:val="21"/>
                      <w:szCs w:val="21"/>
                      <w:highlight w:val="none"/>
                    </w:rPr>
                    <w:t>次</w:t>
                  </w:r>
                  <w:r>
                    <w:rPr>
                      <w:b w:val="0"/>
                      <w:bCs/>
                      <w:color w:val="auto"/>
                      <w:kern w:val="0"/>
                      <w:sz w:val="21"/>
                      <w:szCs w:val="21"/>
                      <w:highlight w:val="none"/>
                    </w:rPr>
                    <w:t>/</w:t>
                  </w:r>
                  <w:r>
                    <w:rPr>
                      <w:rFonts w:hint="eastAsia"/>
                      <w:b w:val="0"/>
                      <w:bCs/>
                      <w:color w:val="auto"/>
                      <w:kern w:val="0"/>
                      <w:sz w:val="21"/>
                      <w:szCs w:val="21"/>
                      <w:highlight w:val="none"/>
                    </w:rPr>
                    <w:t>季度</w:t>
                  </w:r>
                  <w:r>
                    <w:rPr>
                      <w:rFonts w:hint="eastAsia"/>
                      <w:b w:val="0"/>
                      <w:bCs/>
                      <w:color w:val="auto"/>
                      <w:kern w:val="0"/>
                      <w:sz w:val="21"/>
                      <w:szCs w:val="21"/>
                      <w:highlight w:val="none"/>
                      <w:lang w:eastAsia="zh-CN"/>
                    </w:rPr>
                    <w:t>（</w:t>
                  </w:r>
                  <w:r>
                    <w:rPr>
                      <w:rFonts w:hint="eastAsia"/>
                      <w:b w:val="0"/>
                      <w:bCs/>
                      <w:color w:val="auto"/>
                      <w:kern w:val="0"/>
                      <w:sz w:val="21"/>
                      <w:szCs w:val="21"/>
                      <w:highlight w:val="none"/>
                      <w:lang w:val="en-US" w:eastAsia="zh-CN"/>
                    </w:rPr>
                    <w:t>采暖期监测</w:t>
                  </w:r>
                  <w:r>
                    <w:rPr>
                      <w:rFonts w:hint="eastAsia"/>
                      <w:b w:val="0"/>
                      <w:bCs/>
                      <w:color w:val="auto"/>
                      <w:kern w:val="0"/>
                      <w:sz w:val="21"/>
                      <w:szCs w:val="21"/>
                      <w:highlight w:val="none"/>
                      <w:lang w:eastAsia="zh-CN"/>
                    </w:rPr>
                    <w:t>）</w:t>
                  </w:r>
                </w:p>
              </w:tc>
              <w:tc>
                <w:tcPr>
                  <w:tcW w:w="2548" w:type="dxa"/>
                  <w:tcBorders>
                    <w:tl2br w:val="nil"/>
                    <w:tr2bl w:val="nil"/>
                  </w:tcBorders>
                  <w:noWrap w:val="0"/>
                  <w:vAlign w:val="center"/>
                </w:tcPr>
                <w:p w14:paraId="4430B99B">
                  <w:pPr>
                    <w:autoSpaceDE w:val="0"/>
                    <w:autoSpaceDN w:val="0"/>
                    <w:adjustRightInd w:val="0"/>
                    <w:snapToGrid w:val="0"/>
                    <w:jc w:val="center"/>
                    <w:rPr>
                      <w:rFonts w:hint="eastAsia"/>
                      <w:b w:val="0"/>
                      <w:bCs/>
                      <w:color w:val="auto"/>
                      <w:kern w:val="0"/>
                      <w:sz w:val="21"/>
                      <w:szCs w:val="21"/>
                      <w:highlight w:val="none"/>
                    </w:rPr>
                  </w:pPr>
                  <w:r>
                    <w:rPr>
                      <w:rFonts w:hint="eastAsia"/>
                      <w:b w:val="0"/>
                      <w:bCs/>
                      <w:color w:val="auto"/>
                      <w:kern w:val="0"/>
                      <w:sz w:val="21"/>
                      <w:szCs w:val="21"/>
                      <w:highlight w:val="none"/>
                    </w:rPr>
                    <w:t>《工业企业厂界环境噪声排放标准》（</w:t>
                  </w:r>
                  <w:r>
                    <w:rPr>
                      <w:b w:val="0"/>
                      <w:bCs/>
                      <w:color w:val="auto"/>
                      <w:kern w:val="0"/>
                      <w:sz w:val="21"/>
                      <w:szCs w:val="21"/>
                      <w:highlight w:val="none"/>
                    </w:rPr>
                    <w:t>GB12348-2008</w:t>
                  </w:r>
                  <w:r>
                    <w:rPr>
                      <w:rFonts w:hint="eastAsia"/>
                      <w:b w:val="0"/>
                      <w:bCs/>
                      <w:color w:val="auto"/>
                      <w:kern w:val="0"/>
                      <w:sz w:val="21"/>
                      <w:szCs w:val="21"/>
                      <w:highlight w:val="none"/>
                    </w:rPr>
                    <w:t>）中2类标准</w:t>
                  </w:r>
                </w:p>
              </w:tc>
            </w:tr>
          </w:tbl>
          <w:p w14:paraId="33CF8127">
            <w:pPr>
              <w:adjustRightInd w:val="0"/>
              <w:snapToGrid w:val="0"/>
              <w:spacing w:before="120" w:beforeLines="50" w:line="360" w:lineRule="auto"/>
              <w:ind w:firstLine="482" w:firstLineChars="200"/>
              <w:jc w:val="left"/>
              <w:rPr>
                <w:b/>
                <w:bCs w:val="0"/>
                <w:color w:val="auto"/>
                <w:kern w:val="0"/>
                <w:sz w:val="24"/>
                <w:szCs w:val="24"/>
                <w:highlight w:val="none"/>
              </w:rPr>
            </w:pPr>
            <w:r>
              <w:rPr>
                <w:rFonts w:hint="eastAsia"/>
                <w:b/>
                <w:bCs w:val="0"/>
                <w:color w:val="auto"/>
                <w:kern w:val="0"/>
                <w:sz w:val="24"/>
                <w:szCs w:val="24"/>
                <w:highlight w:val="none"/>
                <w:lang w:eastAsia="zh-CN"/>
              </w:rPr>
              <w:t>4.</w:t>
            </w:r>
            <w:r>
              <w:rPr>
                <w:rFonts w:hAnsi="宋体"/>
                <w:b/>
                <w:bCs w:val="0"/>
                <w:color w:val="auto"/>
                <w:kern w:val="0"/>
                <w:sz w:val="24"/>
                <w:szCs w:val="24"/>
                <w:highlight w:val="none"/>
              </w:rPr>
              <w:t>固体废物</w:t>
            </w:r>
          </w:p>
          <w:p w14:paraId="5C1681E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eastAsia="zh-CN"/>
              </w:rPr>
              <w:t>）废离子交换树脂</w:t>
            </w:r>
          </w:p>
          <w:p w14:paraId="06C123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本项目水处理设备采用离子交换树脂，根据全自动软水器使用说明书，离子交换树脂更换频次为</w:t>
            </w: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eastAsia="zh-CN"/>
              </w:rPr>
              <w:t>次/</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eastAsia="zh-CN"/>
              </w:rPr>
              <w:t>年，更换量为全部更换，</w:t>
            </w:r>
            <w:r>
              <w:rPr>
                <w:rFonts w:hint="eastAsia" w:ascii="宋体" w:hAnsi="宋体" w:eastAsia="宋体" w:cs="宋体"/>
                <w:b w:val="0"/>
                <w:bCs/>
                <w:color w:val="auto"/>
                <w:sz w:val="24"/>
                <w:szCs w:val="24"/>
                <w:highlight w:val="none"/>
                <w:lang w:val="en-US" w:eastAsia="zh-CN"/>
              </w:rPr>
              <w:t>每次约0.05t，因此项目锅炉</w:t>
            </w:r>
            <w:r>
              <w:rPr>
                <w:rFonts w:hint="eastAsia" w:ascii="宋体" w:hAnsi="宋体" w:eastAsia="宋体" w:cs="宋体"/>
                <w:b w:val="0"/>
                <w:bCs/>
                <w:color w:val="auto"/>
                <w:sz w:val="24"/>
                <w:szCs w:val="24"/>
                <w:highlight w:val="none"/>
                <w:lang w:eastAsia="zh-CN"/>
              </w:rPr>
              <w:t>废离子交换树脂产生量</w:t>
            </w:r>
            <w:r>
              <w:rPr>
                <w:rFonts w:hint="eastAsia" w:ascii="宋体" w:hAnsi="宋体" w:eastAsia="宋体" w:cs="宋体"/>
                <w:b w:val="0"/>
                <w:bCs/>
                <w:color w:val="auto"/>
                <w:sz w:val="24"/>
                <w:szCs w:val="24"/>
                <w:highlight w:val="none"/>
                <w:lang w:val="en-US" w:eastAsia="zh-CN"/>
              </w:rPr>
              <w:t>约为0.017</w:t>
            </w:r>
            <w:r>
              <w:rPr>
                <w:rFonts w:hint="eastAsia" w:ascii="宋体" w:hAnsi="宋体" w:eastAsia="宋体" w:cs="宋体"/>
                <w:b w:val="0"/>
                <w:bCs/>
                <w:color w:val="auto"/>
                <w:sz w:val="24"/>
                <w:szCs w:val="24"/>
                <w:highlight w:val="none"/>
                <w:lang w:eastAsia="zh-CN"/>
              </w:rPr>
              <w:t>t/a，</w:t>
            </w:r>
            <w:r>
              <w:rPr>
                <w:rFonts w:hint="eastAsia" w:ascii="宋体" w:hAnsi="宋体" w:eastAsia="宋体" w:cs="宋体"/>
                <w:b w:val="0"/>
                <w:bCs/>
                <w:color w:val="auto"/>
                <w:sz w:val="24"/>
                <w:szCs w:val="24"/>
                <w:highlight w:val="none"/>
                <w:lang w:val="en-US" w:eastAsia="zh-CN"/>
              </w:rPr>
              <w:t>废离子交换树脂锅炉房不暂存，定期由维保单位更换后回收处置</w:t>
            </w:r>
            <w:r>
              <w:rPr>
                <w:rFonts w:hint="eastAsia" w:ascii="宋体" w:hAnsi="宋体" w:eastAsia="宋体" w:cs="宋体"/>
                <w:b w:val="0"/>
                <w:bCs/>
                <w:color w:val="auto"/>
                <w:sz w:val="24"/>
                <w:szCs w:val="24"/>
                <w:highlight w:val="none"/>
                <w:lang w:eastAsia="zh-CN"/>
              </w:rPr>
              <w:t>。</w:t>
            </w:r>
          </w:p>
          <w:p w14:paraId="7931488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（2）废包装材料</w:t>
            </w:r>
          </w:p>
          <w:p w14:paraId="4F9553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color w:val="auto"/>
                <w:sz w:val="24"/>
                <w:szCs w:val="24"/>
                <w:highlight w:val="green"/>
                <w:lang w:eastAsia="zh-CN"/>
              </w:rPr>
            </w:pPr>
            <w:r>
              <w:rPr>
                <w:rFonts w:hint="eastAsia" w:ascii="宋体" w:hAnsi="宋体" w:eastAsia="宋体" w:cs="宋体"/>
                <w:b w:val="0"/>
                <w:bCs/>
                <w:color w:val="auto"/>
                <w:sz w:val="24"/>
                <w:szCs w:val="24"/>
                <w:highlight w:val="none"/>
                <w:lang w:val="en-US" w:eastAsia="zh-CN"/>
              </w:rPr>
              <w:t>软水制备使用钠盐会产生少量的废包装袋，废包装材料产生量约0.0</w:t>
            </w: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val="en-US" w:eastAsia="zh-CN"/>
              </w:rPr>
              <w:t>t/a，集中收集后全部出售综合利用，项目废包装材料收集在锅炉房，占地面积约2m</w:t>
            </w:r>
            <w:r>
              <w:rPr>
                <w:rFonts w:hint="eastAsia" w:ascii="宋体" w:hAnsi="宋体" w:eastAsia="宋体" w:cs="宋体"/>
                <w:b w:val="0"/>
                <w:bCs/>
                <w:color w:val="auto"/>
                <w:sz w:val="24"/>
                <w:szCs w:val="24"/>
                <w:highlight w:val="none"/>
                <w:vertAlign w:val="superscript"/>
                <w:lang w:val="en-US" w:eastAsia="zh-CN"/>
              </w:rPr>
              <w:t>2</w:t>
            </w:r>
            <w:r>
              <w:rPr>
                <w:rFonts w:hint="eastAsia" w:ascii="宋体" w:hAnsi="宋体" w:eastAsia="宋体" w:cs="宋体"/>
                <w:b w:val="0"/>
                <w:bCs/>
                <w:color w:val="auto"/>
                <w:sz w:val="24"/>
                <w:szCs w:val="24"/>
                <w:highlight w:val="none"/>
                <w:lang w:val="en-US" w:eastAsia="zh-CN"/>
              </w:rPr>
              <w:t>。收集场地满足</w:t>
            </w:r>
            <w:r>
              <w:rPr>
                <w:rFonts w:hint="eastAsia" w:ascii="宋体" w:hAnsi="宋体" w:eastAsia="宋体" w:cs="宋体"/>
                <w:b w:val="0"/>
                <w:bCs/>
                <w:color w:val="auto"/>
                <w:sz w:val="24"/>
                <w:szCs w:val="24"/>
                <w:highlight w:val="none"/>
                <w:lang w:eastAsia="zh-CN"/>
              </w:rPr>
              <w:t>防渗漏、防雨淋、防扬尘等环境保护要求。</w:t>
            </w:r>
          </w:p>
          <w:p w14:paraId="210136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eastAsia="zh-CN"/>
              </w:rPr>
              <w:t>废润滑油</w:t>
            </w:r>
          </w:p>
          <w:p w14:paraId="2F156F9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eastAsia="zh-CN"/>
              </w:rPr>
              <w:t>本项目</w:t>
            </w:r>
            <w:r>
              <w:rPr>
                <w:rFonts w:hint="eastAsia" w:ascii="宋体" w:hAnsi="宋体" w:cs="宋体"/>
                <w:b w:val="0"/>
                <w:bCs/>
                <w:color w:val="auto"/>
                <w:sz w:val="24"/>
                <w:szCs w:val="24"/>
                <w:highlight w:val="none"/>
                <w:lang w:val="en-US" w:eastAsia="zh-CN"/>
              </w:rPr>
              <w:t>供热站</w:t>
            </w:r>
            <w:r>
              <w:rPr>
                <w:rFonts w:hint="eastAsia" w:ascii="宋体" w:hAnsi="宋体" w:eastAsia="宋体" w:cs="宋体"/>
                <w:b w:val="0"/>
                <w:bCs/>
                <w:color w:val="auto"/>
                <w:sz w:val="24"/>
                <w:szCs w:val="24"/>
                <w:highlight w:val="none"/>
                <w:lang w:eastAsia="zh-CN"/>
              </w:rPr>
              <w:t>的各类泵体轴承在每一个采暖季结束需要更换添加润滑油，</w:t>
            </w:r>
            <w:r>
              <w:rPr>
                <w:rFonts w:hint="eastAsia" w:ascii="宋体" w:hAnsi="宋体" w:cs="宋体"/>
                <w:b w:val="0"/>
                <w:bCs/>
                <w:color w:val="auto"/>
                <w:sz w:val="24"/>
                <w:szCs w:val="24"/>
                <w:highlight w:val="none"/>
                <w:lang w:val="en-US" w:eastAsia="zh-CN"/>
              </w:rPr>
              <w:t>需</w:t>
            </w:r>
            <w:r>
              <w:rPr>
                <w:rFonts w:hint="eastAsia" w:ascii="宋体" w:hAnsi="宋体" w:eastAsia="宋体" w:cs="宋体"/>
                <w:b w:val="0"/>
                <w:bCs/>
                <w:color w:val="auto"/>
                <w:sz w:val="24"/>
                <w:szCs w:val="24"/>
                <w:highlight w:val="none"/>
                <w:lang w:eastAsia="zh-CN"/>
              </w:rPr>
              <w:t>更换添加，此过程会产生废润滑油，产生量约为0.0</w:t>
            </w:r>
            <w:r>
              <w:rPr>
                <w:rFonts w:hint="eastAsia" w:ascii="宋体" w:hAnsi="宋体" w:eastAsia="宋体" w:cs="宋体"/>
                <w:b w:val="0"/>
                <w:bCs/>
                <w:color w:val="auto"/>
                <w:sz w:val="24"/>
                <w:szCs w:val="24"/>
                <w:highlight w:val="none"/>
                <w:lang w:val="en-US" w:eastAsia="zh-CN"/>
              </w:rPr>
              <w:t>05</w:t>
            </w:r>
            <w:r>
              <w:rPr>
                <w:rFonts w:hint="eastAsia" w:ascii="宋体" w:hAnsi="宋体" w:eastAsia="宋体" w:cs="宋体"/>
                <w:b w:val="0"/>
                <w:bCs/>
                <w:color w:val="auto"/>
                <w:sz w:val="24"/>
                <w:szCs w:val="24"/>
                <w:highlight w:val="none"/>
                <w:lang w:eastAsia="zh-CN"/>
              </w:rPr>
              <w:t>t/a，根据《国家危险废物名录》（202</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年版），废润滑油属于“HW08废矿物油与含矿物油废物，900-21</w:t>
            </w:r>
            <w:r>
              <w:rPr>
                <w:rFonts w:hint="eastAsia" w:ascii="宋体" w:hAnsi="宋体" w:eastAsia="宋体" w:cs="宋体"/>
                <w:b w:val="0"/>
                <w:bCs/>
                <w:color w:val="auto"/>
                <w:sz w:val="24"/>
                <w:szCs w:val="24"/>
                <w:highlight w:val="none"/>
                <w:lang w:val="en-US" w:eastAsia="zh-CN"/>
              </w:rPr>
              <w:t>7</w:t>
            </w:r>
            <w:r>
              <w:rPr>
                <w:rFonts w:hint="eastAsia" w:ascii="宋体" w:hAnsi="宋体" w:eastAsia="宋体" w:cs="宋体"/>
                <w:b w:val="0"/>
                <w:bCs/>
                <w:color w:val="auto"/>
                <w:sz w:val="24"/>
                <w:szCs w:val="24"/>
                <w:highlight w:val="none"/>
                <w:lang w:eastAsia="zh-CN"/>
              </w:rPr>
              <w:t>-08使用工业齿轮油进行机械设备润滑过程中产生的废润滑油”，</w:t>
            </w:r>
            <w:r>
              <w:rPr>
                <w:rFonts w:hint="eastAsia" w:ascii="宋体" w:hAnsi="宋体" w:eastAsia="宋体" w:cs="宋体"/>
                <w:b w:val="0"/>
                <w:bCs/>
                <w:color w:val="auto"/>
                <w:sz w:val="24"/>
                <w:szCs w:val="24"/>
                <w:highlight w:val="none"/>
                <w:lang w:val="en-US" w:eastAsia="zh-CN"/>
              </w:rPr>
              <w:t>供热站设置危废暂存区，最终委托有资质单位处置。</w:t>
            </w:r>
          </w:p>
          <w:p w14:paraId="0C81684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eastAsia="zh-CN"/>
              </w:rPr>
              <w:t>废油桶</w:t>
            </w:r>
          </w:p>
          <w:p w14:paraId="1BBA78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更换添加润滑油使用过程中会产生废油桶，根据企业提供资料，废油桶产生量为0.0</w:t>
            </w:r>
            <w:r>
              <w:rPr>
                <w:rFonts w:hint="eastAsia" w:ascii="宋体" w:hAnsi="宋体" w:eastAsia="宋体" w:cs="宋体"/>
                <w:b w:val="0"/>
                <w:bCs/>
                <w:color w:val="auto"/>
                <w:sz w:val="24"/>
                <w:szCs w:val="24"/>
                <w:highlight w:val="none"/>
                <w:lang w:val="en-US" w:eastAsia="zh-CN"/>
              </w:rPr>
              <w:t>0</w:t>
            </w:r>
            <w:r>
              <w:rPr>
                <w:rFonts w:hint="eastAsia" w:ascii="宋体" w:hAnsi="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lang w:eastAsia="zh-CN"/>
              </w:rPr>
              <w:t>t/a，根据《国家危险废物名录》（202</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年版），废油桶属于“HW49其他废物，900-</w:t>
            </w:r>
            <w:r>
              <w:rPr>
                <w:rFonts w:hint="eastAsia" w:ascii="宋体" w:hAnsi="宋体" w:eastAsia="宋体" w:cs="宋体"/>
                <w:b w:val="0"/>
                <w:bCs/>
                <w:color w:val="auto"/>
                <w:sz w:val="24"/>
                <w:szCs w:val="24"/>
                <w:highlight w:val="none"/>
                <w:lang w:val="en-US" w:eastAsia="zh-CN"/>
              </w:rPr>
              <w:t>249</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08其他生产、销售、使用过程中产生的废矿物油及沾染矿物油的废弃包装物</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供热站设置危废暂存区，最终委托有资质单位处置。</w:t>
            </w:r>
          </w:p>
          <w:p w14:paraId="2FF839F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废含油抹布</w:t>
            </w:r>
          </w:p>
          <w:p w14:paraId="4DD022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更换添加润滑油过程中会产生废含油抹布手套，根据建设单位提供资料，废含油抹布手套的产生量为0.0</w:t>
            </w:r>
            <w:r>
              <w:rPr>
                <w:rFonts w:hint="eastAsia" w:ascii="宋体" w:hAnsi="宋体" w:eastAsia="宋体" w:cs="宋体"/>
                <w:b w:val="0"/>
                <w:bCs/>
                <w:color w:val="auto"/>
                <w:sz w:val="24"/>
                <w:szCs w:val="24"/>
                <w:highlight w:val="none"/>
                <w:lang w:val="en-US" w:eastAsia="zh-CN"/>
              </w:rPr>
              <w:t>01</w:t>
            </w:r>
            <w:r>
              <w:rPr>
                <w:rFonts w:hint="eastAsia" w:ascii="宋体" w:hAnsi="宋体" w:eastAsia="宋体" w:cs="宋体"/>
                <w:b w:val="0"/>
                <w:bCs/>
                <w:color w:val="auto"/>
                <w:sz w:val="24"/>
                <w:szCs w:val="24"/>
                <w:highlight w:val="none"/>
                <w:lang w:eastAsia="zh-CN"/>
              </w:rPr>
              <w:t>t/a，根据《国家危险废物名录》（202</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年版），废油桶属于“HW49其他废物，900-041-49含有或者沾染毒性、感染性危险废物的废弃的包装物、容器、过滤吸附介质”，</w:t>
            </w:r>
            <w:r>
              <w:rPr>
                <w:rFonts w:hint="eastAsia" w:ascii="宋体" w:hAnsi="宋体" w:eastAsia="宋体" w:cs="宋体"/>
                <w:b w:val="0"/>
                <w:bCs/>
                <w:color w:val="auto"/>
                <w:sz w:val="24"/>
                <w:szCs w:val="24"/>
                <w:highlight w:val="none"/>
                <w:lang w:val="en-US" w:eastAsia="zh-CN"/>
              </w:rPr>
              <w:t>供热站设置危废暂存区，最终委托有资质单位处置。</w:t>
            </w:r>
          </w:p>
          <w:p w14:paraId="4095DD5E">
            <w:pPr>
              <w:adjustRightInd w:val="0"/>
              <w:snapToGrid w:val="0"/>
              <w:spacing w:line="360" w:lineRule="auto"/>
              <w:ind w:firstLine="480" w:firstLineChars="200"/>
              <w:rPr>
                <w:rFonts w:ascii="宋体" w:hAnsi="Calibri" w:cs="宋体"/>
                <w:color w:val="auto"/>
                <w:kern w:val="0"/>
                <w:sz w:val="24"/>
                <w:szCs w:val="24"/>
                <w:highlight w:val="none"/>
              </w:rPr>
            </w:pPr>
            <w:r>
              <w:rPr>
                <w:rFonts w:hint="eastAsia" w:ascii="宋体" w:hAnsi="Calibri" w:cs="宋体"/>
                <w:b w:val="0"/>
                <w:bCs/>
                <w:color w:val="auto"/>
                <w:kern w:val="0"/>
                <w:sz w:val="24"/>
                <w:szCs w:val="24"/>
                <w:highlight w:val="none"/>
              </w:rPr>
              <w:t>固体</w:t>
            </w:r>
            <w:r>
              <w:rPr>
                <w:rFonts w:ascii="宋体" w:hAnsi="Calibri" w:cs="宋体"/>
                <w:b w:val="0"/>
                <w:bCs/>
                <w:color w:val="auto"/>
                <w:kern w:val="0"/>
                <w:sz w:val="24"/>
                <w:szCs w:val="24"/>
                <w:highlight w:val="none"/>
              </w:rPr>
              <w:t>废物</w:t>
            </w:r>
            <w:r>
              <w:rPr>
                <w:rFonts w:hint="eastAsia" w:ascii="宋体" w:hAnsi="Calibri" w:cs="宋体"/>
                <w:b w:val="0"/>
                <w:bCs/>
                <w:color w:val="auto"/>
                <w:kern w:val="0"/>
                <w:sz w:val="24"/>
                <w:szCs w:val="24"/>
                <w:highlight w:val="none"/>
              </w:rPr>
              <w:t>源强核算汇总</w:t>
            </w:r>
            <w:r>
              <w:rPr>
                <w:rFonts w:hint="eastAsia" w:cs="宋体"/>
                <w:b w:val="0"/>
                <w:bCs/>
                <w:color w:val="auto"/>
                <w:sz w:val="24"/>
                <w:szCs w:val="24"/>
                <w:highlight w:val="none"/>
              </w:rPr>
              <w:t>见表</w:t>
            </w:r>
            <w:r>
              <w:rPr>
                <w:rFonts w:hint="eastAsia" w:cs="宋体"/>
                <w:bCs/>
                <w:color w:val="auto"/>
                <w:sz w:val="24"/>
                <w:szCs w:val="24"/>
                <w:highlight w:val="none"/>
              </w:rPr>
              <w:t>4-</w:t>
            </w:r>
            <w:r>
              <w:rPr>
                <w:rFonts w:hint="eastAsia" w:cs="宋体"/>
                <w:bCs/>
                <w:color w:val="auto"/>
                <w:sz w:val="24"/>
                <w:szCs w:val="24"/>
                <w:highlight w:val="none"/>
                <w:lang w:val="en-US" w:eastAsia="zh-CN"/>
              </w:rPr>
              <w:t>10</w:t>
            </w:r>
            <w:r>
              <w:rPr>
                <w:rFonts w:hint="eastAsia" w:ascii="宋体" w:hAnsi="Calibri" w:cs="宋体"/>
                <w:color w:val="auto"/>
                <w:kern w:val="0"/>
                <w:sz w:val="24"/>
                <w:szCs w:val="24"/>
                <w:highlight w:val="none"/>
              </w:rPr>
              <w:t>。</w:t>
            </w:r>
          </w:p>
          <w:p w14:paraId="3EB5C8BC">
            <w:pPr>
              <w:jc w:val="center"/>
              <w:rPr>
                <w:rFonts w:hint="eastAsia"/>
                <w:b/>
                <w:bCs w:val="0"/>
                <w:color w:val="auto"/>
                <w:sz w:val="24"/>
                <w:szCs w:val="24"/>
                <w:highlight w:val="none"/>
              </w:rPr>
            </w:pPr>
          </w:p>
          <w:p w14:paraId="370031AB">
            <w:pPr>
              <w:jc w:val="center"/>
              <w:rPr>
                <w:rFonts w:hint="eastAsia"/>
                <w:b/>
                <w:bCs w:val="0"/>
                <w:color w:val="auto"/>
                <w:sz w:val="24"/>
                <w:szCs w:val="24"/>
                <w:highlight w:val="none"/>
              </w:rPr>
            </w:pPr>
          </w:p>
          <w:p w14:paraId="435493CA">
            <w:pPr>
              <w:jc w:val="center"/>
              <w:rPr>
                <w:rFonts w:hint="eastAsia"/>
                <w:b/>
                <w:bCs w:val="0"/>
                <w:color w:val="auto"/>
                <w:sz w:val="24"/>
                <w:szCs w:val="24"/>
                <w:highlight w:val="none"/>
              </w:rPr>
            </w:pPr>
          </w:p>
          <w:p w14:paraId="65A33844">
            <w:pPr>
              <w:jc w:val="center"/>
              <w:rPr>
                <w:rFonts w:hint="eastAsia"/>
                <w:b/>
                <w:bCs w:val="0"/>
                <w:color w:val="auto"/>
                <w:sz w:val="24"/>
                <w:szCs w:val="24"/>
                <w:highlight w:val="none"/>
              </w:rPr>
            </w:pPr>
          </w:p>
          <w:p w14:paraId="3A97E98B">
            <w:pPr>
              <w:jc w:val="center"/>
              <w:rPr>
                <w:b/>
                <w:bCs w:val="0"/>
                <w:color w:val="auto"/>
                <w:sz w:val="24"/>
                <w:szCs w:val="24"/>
                <w:highlight w:val="none"/>
              </w:rPr>
            </w:pPr>
            <w:r>
              <w:rPr>
                <w:rFonts w:hint="eastAsia"/>
                <w:b/>
                <w:bCs w:val="0"/>
                <w:color w:val="auto"/>
                <w:sz w:val="24"/>
                <w:szCs w:val="24"/>
                <w:highlight w:val="none"/>
              </w:rPr>
              <w:t>表</w:t>
            </w:r>
            <w:r>
              <w:rPr>
                <w:b/>
                <w:bCs w:val="0"/>
                <w:color w:val="auto"/>
                <w:sz w:val="24"/>
                <w:szCs w:val="24"/>
                <w:highlight w:val="none"/>
              </w:rPr>
              <w:t>4-</w:t>
            </w:r>
            <w:r>
              <w:rPr>
                <w:rFonts w:hint="eastAsia"/>
                <w:b/>
                <w:bCs w:val="0"/>
                <w:color w:val="auto"/>
                <w:sz w:val="24"/>
                <w:szCs w:val="24"/>
                <w:highlight w:val="none"/>
                <w:lang w:val="en-US" w:eastAsia="zh-CN"/>
              </w:rPr>
              <w:t>10</w:t>
            </w:r>
            <w:r>
              <w:rPr>
                <w:rFonts w:hint="eastAsia"/>
                <w:b/>
                <w:bCs w:val="0"/>
                <w:color w:val="auto"/>
                <w:sz w:val="24"/>
                <w:szCs w:val="24"/>
                <w:highlight w:val="none"/>
              </w:rPr>
              <w:t xml:space="preserve">   </w:t>
            </w:r>
            <w:r>
              <w:rPr>
                <w:rFonts w:hint="eastAsia"/>
                <w:b/>
                <w:bCs w:val="0"/>
                <w:color w:val="auto"/>
                <w:sz w:val="24"/>
                <w:szCs w:val="24"/>
                <w:highlight w:val="none"/>
                <w:lang w:val="en-US" w:eastAsia="zh-CN"/>
              </w:rPr>
              <w:t>项目</w:t>
            </w:r>
            <w:r>
              <w:rPr>
                <w:rFonts w:hint="eastAsia"/>
                <w:b/>
                <w:bCs w:val="0"/>
                <w:color w:val="auto"/>
                <w:sz w:val="24"/>
                <w:szCs w:val="24"/>
                <w:highlight w:val="none"/>
              </w:rPr>
              <w:t>固体废物污染源源强核算结果及相关参数一览表</w:t>
            </w:r>
          </w:p>
          <w:tbl>
            <w:tblPr>
              <w:tblStyle w:val="37"/>
              <w:tblW w:w="499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6"/>
              <w:gridCol w:w="1145"/>
              <w:gridCol w:w="798"/>
              <w:gridCol w:w="1095"/>
              <w:gridCol w:w="924"/>
              <w:gridCol w:w="936"/>
              <w:gridCol w:w="1313"/>
              <w:gridCol w:w="1437"/>
            </w:tblGrid>
            <w:tr w14:paraId="69A350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6" w:type="pct"/>
                  <w:vMerge w:val="restart"/>
                  <w:tcBorders>
                    <w:tl2br w:val="nil"/>
                    <w:tr2bl w:val="nil"/>
                  </w:tcBorders>
                  <w:noWrap w:val="0"/>
                  <w:tcMar>
                    <w:left w:w="28" w:type="dxa"/>
                    <w:right w:w="28" w:type="dxa"/>
                  </w:tcMar>
                  <w:vAlign w:val="center"/>
                </w:tcPr>
                <w:p w14:paraId="068FC9AA">
                  <w:pPr>
                    <w:adjustRightInd w:val="0"/>
                    <w:snapToGrid w:val="0"/>
                    <w:jc w:val="center"/>
                    <w:rPr>
                      <w:b/>
                      <w:bCs w:val="0"/>
                      <w:color w:val="auto"/>
                      <w:kern w:val="0"/>
                      <w:sz w:val="21"/>
                      <w:szCs w:val="21"/>
                      <w:highlight w:val="none"/>
                    </w:rPr>
                  </w:pPr>
                  <w:r>
                    <w:rPr>
                      <w:rFonts w:hint="eastAsia" w:hAnsi="宋体"/>
                      <w:b/>
                      <w:bCs w:val="0"/>
                      <w:color w:val="auto"/>
                      <w:kern w:val="0"/>
                      <w:sz w:val="21"/>
                      <w:szCs w:val="21"/>
                      <w:highlight w:val="none"/>
                    </w:rPr>
                    <w:t>产生工序</w:t>
                  </w:r>
                </w:p>
              </w:tc>
              <w:tc>
                <w:tcPr>
                  <w:tcW w:w="662" w:type="pct"/>
                  <w:vMerge w:val="restart"/>
                  <w:tcBorders>
                    <w:tl2br w:val="nil"/>
                    <w:tr2bl w:val="nil"/>
                  </w:tcBorders>
                  <w:noWrap w:val="0"/>
                  <w:tcMar>
                    <w:left w:w="28" w:type="dxa"/>
                    <w:right w:w="28" w:type="dxa"/>
                  </w:tcMar>
                  <w:vAlign w:val="center"/>
                </w:tcPr>
                <w:p w14:paraId="2FFDA840">
                  <w:pPr>
                    <w:adjustRightInd w:val="0"/>
                    <w:snapToGrid w:val="0"/>
                    <w:jc w:val="center"/>
                    <w:rPr>
                      <w:rFonts w:hAnsi="宋体"/>
                      <w:b/>
                      <w:bCs w:val="0"/>
                      <w:color w:val="auto"/>
                      <w:kern w:val="0"/>
                      <w:sz w:val="21"/>
                      <w:szCs w:val="21"/>
                      <w:highlight w:val="none"/>
                    </w:rPr>
                  </w:pPr>
                  <w:r>
                    <w:rPr>
                      <w:rFonts w:hAnsi="宋体"/>
                      <w:b/>
                      <w:bCs w:val="0"/>
                      <w:color w:val="auto"/>
                      <w:kern w:val="0"/>
                      <w:sz w:val="21"/>
                      <w:szCs w:val="21"/>
                      <w:highlight w:val="none"/>
                    </w:rPr>
                    <w:t>固体废物</w:t>
                  </w:r>
                </w:p>
                <w:p w14:paraId="13CE9E94">
                  <w:pPr>
                    <w:adjustRightInd w:val="0"/>
                    <w:snapToGrid w:val="0"/>
                    <w:jc w:val="center"/>
                    <w:rPr>
                      <w:b/>
                      <w:bCs w:val="0"/>
                      <w:color w:val="auto"/>
                      <w:kern w:val="0"/>
                      <w:sz w:val="21"/>
                      <w:szCs w:val="21"/>
                      <w:highlight w:val="none"/>
                    </w:rPr>
                  </w:pPr>
                  <w:r>
                    <w:rPr>
                      <w:rFonts w:hAnsi="宋体"/>
                      <w:b/>
                      <w:bCs w:val="0"/>
                      <w:color w:val="auto"/>
                      <w:kern w:val="0"/>
                      <w:sz w:val="21"/>
                      <w:szCs w:val="21"/>
                      <w:highlight w:val="none"/>
                    </w:rPr>
                    <w:t>名称</w:t>
                  </w:r>
                </w:p>
              </w:tc>
              <w:tc>
                <w:tcPr>
                  <w:tcW w:w="461" w:type="pct"/>
                  <w:vMerge w:val="restart"/>
                  <w:tcBorders>
                    <w:tl2br w:val="nil"/>
                    <w:tr2bl w:val="nil"/>
                  </w:tcBorders>
                  <w:noWrap w:val="0"/>
                  <w:tcMar>
                    <w:left w:w="28" w:type="dxa"/>
                    <w:right w:w="28" w:type="dxa"/>
                  </w:tcMar>
                  <w:vAlign w:val="center"/>
                </w:tcPr>
                <w:p w14:paraId="5DC41745">
                  <w:pPr>
                    <w:adjustRightInd w:val="0"/>
                    <w:snapToGrid w:val="0"/>
                    <w:jc w:val="center"/>
                    <w:rPr>
                      <w:rFonts w:hAnsi="宋体"/>
                      <w:b/>
                      <w:bCs w:val="0"/>
                      <w:color w:val="auto"/>
                      <w:kern w:val="0"/>
                      <w:sz w:val="21"/>
                      <w:szCs w:val="21"/>
                      <w:highlight w:val="none"/>
                    </w:rPr>
                  </w:pPr>
                  <w:r>
                    <w:rPr>
                      <w:rFonts w:hAnsi="宋体"/>
                      <w:b/>
                      <w:bCs w:val="0"/>
                      <w:color w:val="auto"/>
                      <w:kern w:val="0"/>
                      <w:sz w:val="21"/>
                      <w:szCs w:val="21"/>
                      <w:highlight w:val="none"/>
                    </w:rPr>
                    <w:t>物理</w:t>
                  </w:r>
                </w:p>
                <w:p w14:paraId="1F949A82">
                  <w:pPr>
                    <w:adjustRightInd w:val="0"/>
                    <w:snapToGrid w:val="0"/>
                    <w:jc w:val="center"/>
                    <w:rPr>
                      <w:b/>
                      <w:bCs w:val="0"/>
                      <w:color w:val="auto"/>
                      <w:kern w:val="0"/>
                      <w:sz w:val="21"/>
                      <w:szCs w:val="21"/>
                      <w:highlight w:val="none"/>
                    </w:rPr>
                  </w:pPr>
                  <w:r>
                    <w:rPr>
                      <w:rFonts w:hAnsi="宋体"/>
                      <w:b/>
                      <w:bCs w:val="0"/>
                      <w:color w:val="auto"/>
                      <w:kern w:val="0"/>
                      <w:sz w:val="21"/>
                      <w:szCs w:val="21"/>
                      <w:highlight w:val="none"/>
                    </w:rPr>
                    <w:t>性状</w:t>
                  </w:r>
                </w:p>
              </w:tc>
              <w:tc>
                <w:tcPr>
                  <w:tcW w:w="633" w:type="pct"/>
                  <w:vMerge w:val="restart"/>
                  <w:tcBorders>
                    <w:tl2br w:val="nil"/>
                    <w:tr2bl w:val="nil"/>
                  </w:tcBorders>
                  <w:noWrap w:val="0"/>
                  <w:tcMar>
                    <w:left w:w="28" w:type="dxa"/>
                    <w:right w:w="28" w:type="dxa"/>
                  </w:tcMar>
                  <w:vAlign w:val="center"/>
                </w:tcPr>
                <w:p w14:paraId="307754A4">
                  <w:pPr>
                    <w:autoSpaceDE w:val="0"/>
                    <w:autoSpaceDN w:val="0"/>
                    <w:adjustRightInd w:val="0"/>
                    <w:snapToGrid w:val="0"/>
                    <w:jc w:val="center"/>
                    <w:rPr>
                      <w:b/>
                      <w:bCs w:val="0"/>
                      <w:color w:val="auto"/>
                      <w:kern w:val="0"/>
                      <w:sz w:val="21"/>
                      <w:szCs w:val="21"/>
                      <w:highlight w:val="none"/>
                    </w:rPr>
                  </w:pPr>
                  <w:r>
                    <w:rPr>
                      <w:rFonts w:hAnsi="宋体"/>
                      <w:b/>
                      <w:bCs w:val="0"/>
                      <w:color w:val="auto"/>
                      <w:kern w:val="0"/>
                      <w:sz w:val="21"/>
                      <w:szCs w:val="21"/>
                      <w:highlight w:val="none"/>
                    </w:rPr>
                    <w:t>固废</w:t>
                  </w:r>
                </w:p>
                <w:p w14:paraId="33C2BC26">
                  <w:pPr>
                    <w:adjustRightInd w:val="0"/>
                    <w:snapToGrid w:val="0"/>
                    <w:jc w:val="center"/>
                    <w:rPr>
                      <w:b/>
                      <w:bCs w:val="0"/>
                      <w:color w:val="auto"/>
                      <w:kern w:val="0"/>
                      <w:sz w:val="21"/>
                      <w:szCs w:val="21"/>
                      <w:highlight w:val="none"/>
                    </w:rPr>
                  </w:pPr>
                  <w:r>
                    <w:rPr>
                      <w:rFonts w:hAnsi="宋体"/>
                      <w:b/>
                      <w:bCs w:val="0"/>
                      <w:color w:val="auto"/>
                      <w:kern w:val="0"/>
                      <w:sz w:val="21"/>
                      <w:szCs w:val="21"/>
                      <w:highlight w:val="none"/>
                    </w:rPr>
                    <w:t>属性</w:t>
                  </w:r>
                </w:p>
              </w:tc>
              <w:tc>
                <w:tcPr>
                  <w:tcW w:w="534" w:type="pct"/>
                  <w:vMerge w:val="restart"/>
                  <w:tcBorders>
                    <w:tl2br w:val="nil"/>
                    <w:tr2bl w:val="nil"/>
                  </w:tcBorders>
                  <w:noWrap w:val="0"/>
                  <w:tcMar>
                    <w:left w:w="28" w:type="dxa"/>
                    <w:right w:w="28" w:type="dxa"/>
                  </w:tcMar>
                  <w:vAlign w:val="center"/>
                </w:tcPr>
                <w:p w14:paraId="428465C3">
                  <w:pPr>
                    <w:adjustRightInd w:val="0"/>
                    <w:snapToGrid w:val="0"/>
                    <w:jc w:val="center"/>
                    <w:rPr>
                      <w:rFonts w:hint="default" w:eastAsia="宋体"/>
                      <w:b/>
                      <w:bCs w:val="0"/>
                      <w:color w:val="auto"/>
                      <w:kern w:val="0"/>
                      <w:sz w:val="21"/>
                      <w:szCs w:val="21"/>
                      <w:highlight w:val="none"/>
                      <w:lang w:val="en-US" w:eastAsia="zh-CN"/>
                    </w:rPr>
                  </w:pPr>
                  <w:r>
                    <w:rPr>
                      <w:rFonts w:hint="eastAsia"/>
                      <w:b/>
                      <w:bCs w:val="0"/>
                      <w:color w:val="auto"/>
                      <w:kern w:val="0"/>
                      <w:sz w:val="21"/>
                      <w:szCs w:val="21"/>
                      <w:highlight w:val="none"/>
                      <w:lang w:val="en-US" w:eastAsia="zh-CN"/>
                    </w:rPr>
                    <w:t>固废代码</w:t>
                  </w:r>
                </w:p>
              </w:tc>
              <w:tc>
                <w:tcPr>
                  <w:tcW w:w="541" w:type="pct"/>
                  <w:vMerge w:val="restart"/>
                  <w:tcBorders>
                    <w:tl2br w:val="nil"/>
                    <w:tr2bl w:val="nil"/>
                  </w:tcBorders>
                  <w:noWrap w:val="0"/>
                  <w:tcMar>
                    <w:left w:w="28" w:type="dxa"/>
                    <w:right w:w="28" w:type="dxa"/>
                  </w:tcMar>
                  <w:vAlign w:val="center"/>
                </w:tcPr>
                <w:p w14:paraId="6BD3E697">
                  <w:pPr>
                    <w:adjustRightInd w:val="0"/>
                    <w:snapToGrid w:val="0"/>
                    <w:jc w:val="center"/>
                    <w:rPr>
                      <w:rFonts w:hAnsi="宋体"/>
                      <w:b/>
                      <w:bCs w:val="0"/>
                      <w:color w:val="auto"/>
                      <w:kern w:val="0"/>
                      <w:sz w:val="21"/>
                      <w:szCs w:val="21"/>
                      <w:highlight w:val="none"/>
                    </w:rPr>
                  </w:pPr>
                  <w:r>
                    <w:rPr>
                      <w:rFonts w:hAnsi="宋体"/>
                      <w:b/>
                      <w:bCs w:val="0"/>
                      <w:color w:val="auto"/>
                      <w:kern w:val="0"/>
                      <w:sz w:val="21"/>
                      <w:szCs w:val="21"/>
                      <w:highlight w:val="none"/>
                    </w:rPr>
                    <w:t>产生量</w:t>
                  </w:r>
                </w:p>
                <w:p w14:paraId="2F76F08C">
                  <w:pPr>
                    <w:adjustRightInd w:val="0"/>
                    <w:snapToGrid w:val="0"/>
                    <w:jc w:val="center"/>
                    <w:rPr>
                      <w:rFonts w:hAnsi="宋体"/>
                      <w:b/>
                      <w:bCs w:val="0"/>
                      <w:color w:val="auto"/>
                      <w:kern w:val="0"/>
                      <w:sz w:val="21"/>
                      <w:szCs w:val="21"/>
                      <w:highlight w:val="none"/>
                    </w:rPr>
                  </w:pPr>
                  <w:r>
                    <w:rPr>
                      <w:rFonts w:hAnsi="宋体"/>
                      <w:b/>
                      <w:bCs w:val="0"/>
                      <w:color w:val="auto"/>
                      <w:kern w:val="0"/>
                      <w:sz w:val="21"/>
                      <w:szCs w:val="21"/>
                      <w:highlight w:val="none"/>
                    </w:rPr>
                    <w:t>（</w:t>
                  </w:r>
                  <w:r>
                    <w:rPr>
                      <w:b/>
                      <w:bCs w:val="0"/>
                      <w:color w:val="auto"/>
                      <w:kern w:val="0"/>
                      <w:sz w:val="21"/>
                      <w:szCs w:val="21"/>
                      <w:highlight w:val="none"/>
                    </w:rPr>
                    <w:t>t/a</w:t>
                  </w:r>
                  <w:r>
                    <w:rPr>
                      <w:rFonts w:hAnsi="宋体"/>
                      <w:b/>
                      <w:bCs w:val="0"/>
                      <w:color w:val="auto"/>
                      <w:kern w:val="0"/>
                      <w:sz w:val="21"/>
                      <w:szCs w:val="21"/>
                      <w:highlight w:val="none"/>
                    </w:rPr>
                    <w:t>）</w:t>
                  </w:r>
                </w:p>
              </w:tc>
              <w:tc>
                <w:tcPr>
                  <w:tcW w:w="759" w:type="pct"/>
                  <w:vMerge w:val="restart"/>
                  <w:tcBorders>
                    <w:tl2br w:val="nil"/>
                    <w:tr2bl w:val="nil"/>
                  </w:tcBorders>
                  <w:noWrap w:val="0"/>
                  <w:tcMar>
                    <w:left w:w="28" w:type="dxa"/>
                    <w:right w:w="28" w:type="dxa"/>
                  </w:tcMar>
                  <w:vAlign w:val="center"/>
                </w:tcPr>
                <w:p w14:paraId="465DBA14">
                  <w:pPr>
                    <w:adjustRightInd w:val="0"/>
                    <w:snapToGrid w:val="0"/>
                    <w:jc w:val="center"/>
                    <w:rPr>
                      <w:b/>
                      <w:bCs w:val="0"/>
                      <w:color w:val="auto"/>
                      <w:kern w:val="0"/>
                      <w:sz w:val="21"/>
                      <w:szCs w:val="21"/>
                      <w:highlight w:val="none"/>
                    </w:rPr>
                  </w:pPr>
                  <w:r>
                    <w:rPr>
                      <w:rFonts w:hAnsi="宋体"/>
                      <w:b/>
                      <w:bCs w:val="0"/>
                      <w:color w:val="auto"/>
                      <w:kern w:val="0"/>
                      <w:sz w:val="21"/>
                      <w:szCs w:val="21"/>
                      <w:highlight w:val="none"/>
                    </w:rPr>
                    <w:t>贮存</w:t>
                  </w:r>
                </w:p>
                <w:p w14:paraId="087157D6">
                  <w:pPr>
                    <w:adjustRightInd w:val="0"/>
                    <w:snapToGrid w:val="0"/>
                    <w:jc w:val="center"/>
                    <w:rPr>
                      <w:b/>
                      <w:bCs w:val="0"/>
                      <w:color w:val="auto"/>
                      <w:kern w:val="0"/>
                      <w:sz w:val="21"/>
                      <w:szCs w:val="21"/>
                      <w:highlight w:val="none"/>
                    </w:rPr>
                  </w:pPr>
                  <w:r>
                    <w:rPr>
                      <w:rFonts w:hAnsi="宋体"/>
                      <w:b/>
                      <w:bCs w:val="0"/>
                      <w:color w:val="auto"/>
                      <w:kern w:val="0"/>
                      <w:sz w:val="21"/>
                      <w:szCs w:val="21"/>
                      <w:highlight w:val="none"/>
                    </w:rPr>
                    <w:t>方式</w:t>
                  </w:r>
                </w:p>
              </w:tc>
              <w:tc>
                <w:tcPr>
                  <w:tcW w:w="831" w:type="pct"/>
                  <w:vMerge w:val="restart"/>
                  <w:tcBorders>
                    <w:tl2br w:val="nil"/>
                    <w:tr2bl w:val="nil"/>
                  </w:tcBorders>
                  <w:noWrap w:val="0"/>
                  <w:tcMar>
                    <w:left w:w="28" w:type="dxa"/>
                    <w:right w:w="28" w:type="dxa"/>
                  </w:tcMar>
                  <w:vAlign w:val="center"/>
                </w:tcPr>
                <w:p w14:paraId="6C651611">
                  <w:pPr>
                    <w:adjustRightInd w:val="0"/>
                    <w:snapToGrid w:val="0"/>
                    <w:jc w:val="center"/>
                    <w:rPr>
                      <w:b/>
                      <w:bCs w:val="0"/>
                      <w:color w:val="auto"/>
                      <w:kern w:val="0"/>
                      <w:sz w:val="21"/>
                      <w:szCs w:val="21"/>
                      <w:highlight w:val="none"/>
                    </w:rPr>
                  </w:pPr>
                  <w:r>
                    <w:rPr>
                      <w:rFonts w:hAnsi="宋体"/>
                      <w:b/>
                      <w:bCs w:val="0"/>
                      <w:color w:val="auto"/>
                      <w:kern w:val="0"/>
                      <w:sz w:val="21"/>
                      <w:szCs w:val="21"/>
                      <w:highlight w:val="none"/>
                    </w:rPr>
                    <w:t>利用处置方式和去向</w:t>
                  </w:r>
                </w:p>
              </w:tc>
            </w:tr>
            <w:tr w14:paraId="1F8DD3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576" w:type="pct"/>
                  <w:vMerge w:val="continue"/>
                  <w:tcBorders>
                    <w:tl2br w:val="nil"/>
                    <w:tr2bl w:val="nil"/>
                  </w:tcBorders>
                  <w:noWrap w:val="0"/>
                  <w:tcMar>
                    <w:left w:w="28" w:type="dxa"/>
                    <w:right w:w="28" w:type="dxa"/>
                  </w:tcMar>
                  <w:vAlign w:val="center"/>
                </w:tcPr>
                <w:p w14:paraId="32EC1300">
                  <w:pPr>
                    <w:adjustRightInd w:val="0"/>
                    <w:snapToGrid w:val="0"/>
                    <w:jc w:val="center"/>
                    <w:rPr>
                      <w:b w:val="0"/>
                      <w:bCs/>
                      <w:color w:val="auto"/>
                      <w:kern w:val="0"/>
                      <w:sz w:val="21"/>
                      <w:szCs w:val="21"/>
                      <w:highlight w:val="none"/>
                    </w:rPr>
                  </w:pPr>
                </w:p>
              </w:tc>
              <w:tc>
                <w:tcPr>
                  <w:tcW w:w="662" w:type="pct"/>
                  <w:vMerge w:val="continue"/>
                  <w:tcBorders>
                    <w:tl2br w:val="nil"/>
                    <w:tr2bl w:val="nil"/>
                  </w:tcBorders>
                  <w:noWrap w:val="0"/>
                  <w:tcMar>
                    <w:left w:w="28" w:type="dxa"/>
                    <w:right w:w="28" w:type="dxa"/>
                  </w:tcMar>
                  <w:vAlign w:val="center"/>
                </w:tcPr>
                <w:p w14:paraId="66FAA735">
                  <w:pPr>
                    <w:adjustRightInd w:val="0"/>
                    <w:snapToGrid w:val="0"/>
                    <w:jc w:val="center"/>
                    <w:rPr>
                      <w:b w:val="0"/>
                      <w:bCs/>
                      <w:color w:val="auto"/>
                      <w:kern w:val="0"/>
                      <w:sz w:val="21"/>
                      <w:szCs w:val="21"/>
                      <w:highlight w:val="none"/>
                    </w:rPr>
                  </w:pPr>
                </w:p>
              </w:tc>
              <w:tc>
                <w:tcPr>
                  <w:tcW w:w="461" w:type="pct"/>
                  <w:vMerge w:val="continue"/>
                  <w:tcBorders>
                    <w:tl2br w:val="nil"/>
                    <w:tr2bl w:val="nil"/>
                  </w:tcBorders>
                  <w:noWrap w:val="0"/>
                  <w:tcMar>
                    <w:left w:w="28" w:type="dxa"/>
                    <w:right w:w="28" w:type="dxa"/>
                  </w:tcMar>
                  <w:vAlign w:val="center"/>
                </w:tcPr>
                <w:p w14:paraId="6B6BAA73">
                  <w:pPr>
                    <w:adjustRightInd w:val="0"/>
                    <w:snapToGrid w:val="0"/>
                    <w:jc w:val="center"/>
                    <w:rPr>
                      <w:b w:val="0"/>
                      <w:bCs/>
                      <w:color w:val="auto"/>
                      <w:kern w:val="0"/>
                      <w:sz w:val="21"/>
                      <w:szCs w:val="21"/>
                      <w:highlight w:val="none"/>
                    </w:rPr>
                  </w:pPr>
                </w:p>
              </w:tc>
              <w:tc>
                <w:tcPr>
                  <w:tcW w:w="633" w:type="pct"/>
                  <w:vMerge w:val="continue"/>
                  <w:tcBorders>
                    <w:tl2br w:val="nil"/>
                    <w:tr2bl w:val="nil"/>
                  </w:tcBorders>
                  <w:noWrap w:val="0"/>
                  <w:tcMar>
                    <w:left w:w="28" w:type="dxa"/>
                    <w:right w:w="28" w:type="dxa"/>
                  </w:tcMar>
                  <w:vAlign w:val="center"/>
                </w:tcPr>
                <w:p w14:paraId="157B5E2D">
                  <w:pPr>
                    <w:autoSpaceDE w:val="0"/>
                    <w:autoSpaceDN w:val="0"/>
                    <w:adjustRightInd w:val="0"/>
                    <w:snapToGrid w:val="0"/>
                    <w:jc w:val="center"/>
                    <w:rPr>
                      <w:b w:val="0"/>
                      <w:bCs/>
                      <w:color w:val="auto"/>
                      <w:kern w:val="0"/>
                      <w:sz w:val="21"/>
                      <w:szCs w:val="21"/>
                      <w:highlight w:val="none"/>
                    </w:rPr>
                  </w:pPr>
                </w:p>
              </w:tc>
              <w:tc>
                <w:tcPr>
                  <w:tcW w:w="534" w:type="pct"/>
                  <w:vMerge w:val="continue"/>
                  <w:tcBorders>
                    <w:tl2br w:val="nil"/>
                    <w:tr2bl w:val="nil"/>
                  </w:tcBorders>
                  <w:noWrap w:val="0"/>
                  <w:tcMar>
                    <w:left w:w="28" w:type="dxa"/>
                    <w:right w:w="28" w:type="dxa"/>
                  </w:tcMar>
                  <w:vAlign w:val="center"/>
                </w:tcPr>
                <w:p w14:paraId="6E6B655B">
                  <w:pPr>
                    <w:adjustRightInd w:val="0"/>
                    <w:snapToGrid w:val="0"/>
                    <w:jc w:val="center"/>
                    <w:rPr>
                      <w:b w:val="0"/>
                      <w:bCs/>
                      <w:color w:val="auto"/>
                      <w:kern w:val="0"/>
                      <w:sz w:val="21"/>
                      <w:szCs w:val="21"/>
                      <w:highlight w:val="none"/>
                    </w:rPr>
                  </w:pPr>
                </w:p>
              </w:tc>
              <w:tc>
                <w:tcPr>
                  <w:tcW w:w="541" w:type="pct"/>
                  <w:vMerge w:val="continue"/>
                  <w:tcBorders>
                    <w:tl2br w:val="nil"/>
                    <w:tr2bl w:val="nil"/>
                  </w:tcBorders>
                  <w:noWrap w:val="0"/>
                  <w:tcMar>
                    <w:left w:w="28" w:type="dxa"/>
                    <w:right w:w="28" w:type="dxa"/>
                  </w:tcMar>
                  <w:vAlign w:val="center"/>
                </w:tcPr>
                <w:p w14:paraId="4E25559E">
                  <w:pPr>
                    <w:adjustRightInd w:val="0"/>
                    <w:snapToGrid w:val="0"/>
                    <w:jc w:val="center"/>
                    <w:rPr>
                      <w:b w:val="0"/>
                      <w:bCs/>
                      <w:color w:val="auto"/>
                      <w:kern w:val="0"/>
                      <w:sz w:val="21"/>
                      <w:szCs w:val="21"/>
                      <w:highlight w:val="none"/>
                    </w:rPr>
                  </w:pPr>
                </w:p>
              </w:tc>
              <w:tc>
                <w:tcPr>
                  <w:tcW w:w="759" w:type="pct"/>
                  <w:vMerge w:val="continue"/>
                  <w:tcBorders>
                    <w:tl2br w:val="nil"/>
                    <w:tr2bl w:val="nil"/>
                  </w:tcBorders>
                  <w:noWrap w:val="0"/>
                  <w:tcMar>
                    <w:left w:w="28" w:type="dxa"/>
                    <w:right w:w="28" w:type="dxa"/>
                  </w:tcMar>
                  <w:vAlign w:val="center"/>
                </w:tcPr>
                <w:p w14:paraId="4DDFFF93">
                  <w:pPr>
                    <w:adjustRightInd w:val="0"/>
                    <w:snapToGrid w:val="0"/>
                    <w:jc w:val="center"/>
                    <w:rPr>
                      <w:b w:val="0"/>
                      <w:bCs/>
                      <w:color w:val="auto"/>
                      <w:kern w:val="0"/>
                      <w:sz w:val="21"/>
                      <w:szCs w:val="21"/>
                      <w:highlight w:val="none"/>
                    </w:rPr>
                  </w:pPr>
                </w:p>
              </w:tc>
              <w:tc>
                <w:tcPr>
                  <w:tcW w:w="831" w:type="pct"/>
                  <w:vMerge w:val="continue"/>
                  <w:tcBorders>
                    <w:tl2br w:val="nil"/>
                    <w:tr2bl w:val="nil"/>
                  </w:tcBorders>
                  <w:noWrap w:val="0"/>
                  <w:tcMar>
                    <w:left w:w="28" w:type="dxa"/>
                    <w:right w:w="28" w:type="dxa"/>
                  </w:tcMar>
                  <w:vAlign w:val="center"/>
                </w:tcPr>
                <w:p w14:paraId="73AC45E1">
                  <w:pPr>
                    <w:adjustRightInd w:val="0"/>
                    <w:snapToGrid w:val="0"/>
                    <w:jc w:val="center"/>
                    <w:rPr>
                      <w:b w:val="0"/>
                      <w:bCs/>
                      <w:color w:val="auto"/>
                      <w:kern w:val="0"/>
                      <w:sz w:val="21"/>
                      <w:szCs w:val="21"/>
                      <w:highlight w:val="none"/>
                    </w:rPr>
                  </w:pPr>
                </w:p>
              </w:tc>
            </w:tr>
            <w:tr w14:paraId="6349B7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6" w:type="pct"/>
                  <w:vMerge w:val="restart"/>
                  <w:tcBorders>
                    <w:tl2br w:val="nil"/>
                    <w:tr2bl w:val="nil"/>
                  </w:tcBorders>
                  <w:noWrap w:val="0"/>
                  <w:tcMar>
                    <w:left w:w="28" w:type="dxa"/>
                    <w:right w:w="28" w:type="dxa"/>
                  </w:tcMar>
                  <w:vAlign w:val="center"/>
                </w:tcPr>
                <w:p w14:paraId="0BCFF0DB">
                  <w:pPr>
                    <w:adjustRightInd w:val="0"/>
                    <w:snapToGrid w:val="0"/>
                    <w:jc w:val="center"/>
                    <w:rPr>
                      <w:b w:val="0"/>
                      <w:bCs/>
                      <w:color w:val="auto"/>
                      <w:kern w:val="0"/>
                      <w:sz w:val="21"/>
                      <w:szCs w:val="21"/>
                      <w:highlight w:val="none"/>
                    </w:rPr>
                  </w:pPr>
                  <w:r>
                    <w:rPr>
                      <w:rFonts w:hint="eastAsia" w:hAnsi="宋体"/>
                      <w:b w:val="0"/>
                      <w:bCs/>
                      <w:color w:val="auto"/>
                      <w:kern w:val="0"/>
                      <w:sz w:val="21"/>
                      <w:szCs w:val="21"/>
                      <w:highlight w:val="none"/>
                    </w:rPr>
                    <w:t>水处理</w:t>
                  </w:r>
                </w:p>
              </w:tc>
              <w:tc>
                <w:tcPr>
                  <w:tcW w:w="662" w:type="pct"/>
                  <w:tcBorders>
                    <w:tl2br w:val="nil"/>
                    <w:tr2bl w:val="nil"/>
                  </w:tcBorders>
                  <w:noWrap w:val="0"/>
                  <w:tcMar>
                    <w:left w:w="28" w:type="dxa"/>
                    <w:right w:w="28" w:type="dxa"/>
                  </w:tcMar>
                  <w:vAlign w:val="center"/>
                </w:tcPr>
                <w:p w14:paraId="3BA613F3">
                  <w:pPr>
                    <w:adjustRightInd w:val="0"/>
                    <w:snapToGrid w:val="0"/>
                    <w:jc w:val="center"/>
                    <w:rPr>
                      <w:rFonts w:hAnsi="宋体"/>
                      <w:b w:val="0"/>
                      <w:bCs/>
                      <w:color w:val="auto"/>
                      <w:kern w:val="0"/>
                      <w:sz w:val="21"/>
                      <w:szCs w:val="21"/>
                      <w:highlight w:val="none"/>
                    </w:rPr>
                  </w:pPr>
                  <w:r>
                    <w:rPr>
                      <w:rFonts w:hint="eastAsia" w:hAnsi="宋体"/>
                      <w:b w:val="0"/>
                      <w:bCs/>
                      <w:color w:val="auto"/>
                      <w:kern w:val="0"/>
                      <w:sz w:val="21"/>
                      <w:szCs w:val="21"/>
                      <w:highlight w:val="none"/>
                    </w:rPr>
                    <w:t>废离子</w:t>
                  </w:r>
                </w:p>
                <w:p w14:paraId="5B0D94F1">
                  <w:pPr>
                    <w:adjustRightInd w:val="0"/>
                    <w:snapToGrid w:val="0"/>
                    <w:jc w:val="center"/>
                    <w:rPr>
                      <w:b w:val="0"/>
                      <w:bCs/>
                      <w:color w:val="auto"/>
                      <w:kern w:val="0"/>
                      <w:sz w:val="21"/>
                      <w:szCs w:val="21"/>
                      <w:highlight w:val="none"/>
                    </w:rPr>
                  </w:pPr>
                  <w:r>
                    <w:rPr>
                      <w:rFonts w:hint="eastAsia" w:hAnsi="宋体"/>
                      <w:b w:val="0"/>
                      <w:bCs/>
                      <w:color w:val="auto"/>
                      <w:kern w:val="0"/>
                      <w:sz w:val="21"/>
                      <w:szCs w:val="21"/>
                      <w:highlight w:val="none"/>
                    </w:rPr>
                    <w:t>交换树脂</w:t>
                  </w:r>
                </w:p>
              </w:tc>
              <w:tc>
                <w:tcPr>
                  <w:tcW w:w="461" w:type="pct"/>
                  <w:tcBorders>
                    <w:tl2br w:val="nil"/>
                    <w:tr2bl w:val="nil"/>
                  </w:tcBorders>
                  <w:noWrap w:val="0"/>
                  <w:tcMar>
                    <w:left w:w="28" w:type="dxa"/>
                    <w:right w:w="28" w:type="dxa"/>
                  </w:tcMar>
                  <w:vAlign w:val="center"/>
                </w:tcPr>
                <w:p w14:paraId="78748116">
                  <w:pPr>
                    <w:adjustRightInd w:val="0"/>
                    <w:snapToGrid w:val="0"/>
                    <w:jc w:val="center"/>
                    <w:rPr>
                      <w:b w:val="0"/>
                      <w:bCs/>
                      <w:color w:val="auto"/>
                      <w:kern w:val="0"/>
                      <w:sz w:val="21"/>
                      <w:szCs w:val="21"/>
                      <w:highlight w:val="none"/>
                    </w:rPr>
                  </w:pPr>
                  <w:r>
                    <w:rPr>
                      <w:rFonts w:hAnsi="宋体"/>
                      <w:b w:val="0"/>
                      <w:bCs/>
                      <w:color w:val="auto"/>
                      <w:kern w:val="0"/>
                      <w:sz w:val="21"/>
                      <w:szCs w:val="21"/>
                      <w:highlight w:val="none"/>
                    </w:rPr>
                    <w:t>固态</w:t>
                  </w:r>
                </w:p>
              </w:tc>
              <w:tc>
                <w:tcPr>
                  <w:tcW w:w="633" w:type="pct"/>
                  <w:tcBorders>
                    <w:tl2br w:val="nil"/>
                    <w:tr2bl w:val="nil"/>
                  </w:tcBorders>
                  <w:noWrap w:val="0"/>
                  <w:tcMar>
                    <w:left w:w="28" w:type="dxa"/>
                    <w:right w:w="28" w:type="dxa"/>
                  </w:tcMar>
                  <w:vAlign w:val="center"/>
                </w:tcPr>
                <w:p w14:paraId="4ED101C8">
                  <w:pPr>
                    <w:adjustRightInd w:val="0"/>
                    <w:snapToGrid w:val="0"/>
                    <w:jc w:val="center"/>
                    <w:rPr>
                      <w:b w:val="0"/>
                      <w:bCs/>
                      <w:color w:val="auto"/>
                      <w:kern w:val="0"/>
                      <w:sz w:val="21"/>
                      <w:szCs w:val="21"/>
                      <w:highlight w:val="none"/>
                    </w:rPr>
                  </w:pPr>
                  <w:r>
                    <w:rPr>
                      <w:rFonts w:hint="eastAsia"/>
                      <w:b w:val="0"/>
                      <w:bCs/>
                      <w:color w:val="auto"/>
                      <w:kern w:val="0"/>
                      <w:sz w:val="21"/>
                      <w:szCs w:val="21"/>
                      <w:highlight w:val="none"/>
                    </w:rPr>
                    <w:t>一般工业固废</w:t>
                  </w:r>
                </w:p>
              </w:tc>
              <w:tc>
                <w:tcPr>
                  <w:tcW w:w="534" w:type="pct"/>
                  <w:tcBorders>
                    <w:tl2br w:val="nil"/>
                    <w:tr2bl w:val="nil"/>
                  </w:tcBorders>
                  <w:noWrap w:val="0"/>
                  <w:tcMar>
                    <w:left w:w="28" w:type="dxa"/>
                    <w:right w:w="28" w:type="dxa"/>
                  </w:tcMar>
                  <w:vAlign w:val="center"/>
                </w:tcPr>
                <w:p w14:paraId="6ED5EACB">
                  <w:pPr>
                    <w:adjustRightInd w:val="0"/>
                    <w:snapToGrid w:val="0"/>
                    <w:jc w:val="center"/>
                    <w:rPr>
                      <w:rFonts w:hint="default" w:eastAsia="宋体"/>
                      <w:b w:val="0"/>
                      <w:bCs/>
                      <w:color w:val="auto"/>
                      <w:kern w:val="0"/>
                      <w:sz w:val="21"/>
                      <w:szCs w:val="21"/>
                      <w:highlight w:val="none"/>
                      <w:lang w:val="en-US" w:eastAsia="zh-CN"/>
                    </w:rPr>
                  </w:pPr>
                  <w:r>
                    <w:rPr>
                      <w:rFonts w:hint="default" w:eastAsia="宋体"/>
                      <w:b w:val="0"/>
                      <w:bCs/>
                      <w:color w:val="auto"/>
                      <w:kern w:val="0"/>
                      <w:sz w:val="21"/>
                      <w:szCs w:val="21"/>
                      <w:highlight w:val="none"/>
                      <w:lang w:val="en-US" w:eastAsia="zh-CN"/>
                    </w:rPr>
                    <w:t>900-099-S59</w:t>
                  </w:r>
                </w:p>
              </w:tc>
              <w:tc>
                <w:tcPr>
                  <w:tcW w:w="541" w:type="pct"/>
                  <w:tcBorders>
                    <w:tl2br w:val="nil"/>
                    <w:tr2bl w:val="nil"/>
                  </w:tcBorders>
                  <w:noWrap w:val="0"/>
                  <w:tcMar>
                    <w:left w:w="28" w:type="dxa"/>
                    <w:right w:w="28" w:type="dxa"/>
                  </w:tcMar>
                  <w:vAlign w:val="center"/>
                </w:tcPr>
                <w:p w14:paraId="6890D438">
                  <w:pPr>
                    <w:adjustRightInd w:val="0"/>
                    <w:snapToGrid w:val="0"/>
                    <w:jc w:val="center"/>
                    <w:rPr>
                      <w:rFonts w:hint="default"/>
                      <w:b w:val="0"/>
                      <w:bCs/>
                      <w:color w:val="auto"/>
                      <w:kern w:val="0"/>
                      <w:sz w:val="21"/>
                      <w:szCs w:val="21"/>
                      <w:highlight w:val="none"/>
                      <w:lang w:val="en-US" w:eastAsia="zh-CN"/>
                    </w:rPr>
                  </w:pPr>
                  <w:r>
                    <w:rPr>
                      <w:rFonts w:hint="eastAsia"/>
                      <w:b w:val="0"/>
                      <w:bCs/>
                      <w:color w:val="auto"/>
                      <w:kern w:val="0"/>
                      <w:sz w:val="21"/>
                      <w:szCs w:val="21"/>
                      <w:highlight w:val="none"/>
                      <w:lang w:val="en-US" w:eastAsia="zh-CN"/>
                    </w:rPr>
                    <w:t>0.017</w:t>
                  </w:r>
                </w:p>
              </w:tc>
              <w:tc>
                <w:tcPr>
                  <w:tcW w:w="759" w:type="pct"/>
                  <w:tcBorders>
                    <w:tl2br w:val="nil"/>
                    <w:tr2bl w:val="nil"/>
                  </w:tcBorders>
                  <w:noWrap w:val="0"/>
                  <w:tcMar>
                    <w:left w:w="28" w:type="dxa"/>
                    <w:right w:w="28" w:type="dxa"/>
                  </w:tcMar>
                  <w:vAlign w:val="center"/>
                </w:tcPr>
                <w:p w14:paraId="54DD6D95">
                  <w:pPr>
                    <w:adjustRightInd w:val="0"/>
                    <w:snapToGrid w:val="0"/>
                    <w:jc w:val="center"/>
                    <w:rPr>
                      <w:b w:val="0"/>
                      <w:bCs/>
                      <w:color w:val="auto"/>
                      <w:kern w:val="0"/>
                      <w:sz w:val="21"/>
                      <w:szCs w:val="21"/>
                      <w:highlight w:val="none"/>
                    </w:rPr>
                  </w:pPr>
                  <w:r>
                    <w:rPr>
                      <w:rFonts w:hint="eastAsia" w:hAnsi="宋体"/>
                      <w:b w:val="0"/>
                      <w:bCs/>
                      <w:color w:val="auto"/>
                      <w:kern w:val="0"/>
                      <w:sz w:val="21"/>
                      <w:szCs w:val="21"/>
                      <w:highlight w:val="none"/>
                    </w:rPr>
                    <w:t>不贮存</w:t>
                  </w:r>
                </w:p>
              </w:tc>
              <w:tc>
                <w:tcPr>
                  <w:tcW w:w="831" w:type="pct"/>
                  <w:tcBorders>
                    <w:tl2br w:val="nil"/>
                    <w:tr2bl w:val="nil"/>
                  </w:tcBorders>
                  <w:noWrap w:val="0"/>
                  <w:tcMar>
                    <w:left w:w="28" w:type="dxa"/>
                    <w:right w:w="28" w:type="dxa"/>
                  </w:tcMar>
                  <w:vAlign w:val="center"/>
                </w:tcPr>
                <w:p w14:paraId="6A2B8739">
                  <w:pPr>
                    <w:adjustRightInd w:val="0"/>
                    <w:snapToGrid w:val="0"/>
                    <w:jc w:val="center"/>
                    <w:rPr>
                      <w:rFonts w:hint="eastAsia" w:eastAsia="宋体"/>
                      <w:b w:val="0"/>
                      <w:bCs/>
                      <w:color w:val="auto"/>
                      <w:kern w:val="0"/>
                      <w:sz w:val="21"/>
                      <w:szCs w:val="21"/>
                      <w:highlight w:val="none"/>
                      <w:lang w:eastAsia="zh-CN"/>
                    </w:rPr>
                  </w:pPr>
                  <w:r>
                    <w:rPr>
                      <w:rFonts w:hint="eastAsia"/>
                      <w:b w:val="0"/>
                      <w:bCs/>
                      <w:color w:val="auto"/>
                      <w:kern w:val="0"/>
                      <w:sz w:val="21"/>
                      <w:szCs w:val="21"/>
                      <w:highlight w:val="none"/>
                      <w:lang w:val="en-US" w:eastAsia="zh-CN"/>
                    </w:rPr>
                    <w:t>由维保单位</w:t>
                  </w:r>
                  <w:r>
                    <w:rPr>
                      <w:rFonts w:hint="eastAsia"/>
                      <w:b w:val="0"/>
                      <w:bCs/>
                      <w:color w:val="auto"/>
                      <w:kern w:val="0"/>
                      <w:sz w:val="21"/>
                      <w:szCs w:val="21"/>
                      <w:highlight w:val="none"/>
                    </w:rPr>
                    <w:t>更换后回收</w:t>
                  </w:r>
                  <w:r>
                    <w:rPr>
                      <w:rFonts w:hint="eastAsia"/>
                      <w:b w:val="0"/>
                      <w:bCs/>
                      <w:color w:val="auto"/>
                      <w:kern w:val="0"/>
                      <w:sz w:val="21"/>
                      <w:szCs w:val="21"/>
                      <w:highlight w:val="none"/>
                      <w:lang w:val="en-US" w:eastAsia="zh-CN"/>
                    </w:rPr>
                    <w:t>处置</w:t>
                  </w:r>
                </w:p>
              </w:tc>
            </w:tr>
            <w:tr w14:paraId="31A58B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576" w:type="pct"/>
                  <w:vMerge w:val="continue"/>
                  <w:tcBorders>
                    <w:tl2br w:val="nil"/>
                    <w:tr2bl w:val="nil"/>
                  </w:tcBorders>
                  <w:noWrap w:val="0"/>
                  <w:tcMar>
                    <w:left w:w="28" w:type="dxa"/>
                    <w:right w:w="28" w:type="dxa"/>
                  </w:tcMar>
                  <w:vAlign w:val="center"/>
                </w:tcPr>
                <w:p w14:paraId="24BFDE6A">
                  <w:pPr>
                    <w:adjustRightInd w:val="0"/>
                    <w:snapToGrid w:val="0"/>
                    <w:jc w:val="center"/>
                    <w:rPr>
                      <w:rFonts w:hint="eastAsia" w:hAnsi="宋体"/>
                      <w:b w:val="0"/>
                      <w:bCs/>
                      <w:color w:val="auto"/>
                      <w:kern w:val="0"/>
                      <w:sz w:val="21"/>
                      <w:szCs w:val="21"/>
                      <w:highlight w:val="none"/>
                    </w:rPr>
                  </w:pPr>
                </w:p>
              </w:tc>
              <w:tc>
                <w:tcPr>
                  <w:tcW w:w="662" w:type="pct"/>
                  <w:tcBorders>
                    <w:tl2br w:val="nil"/>
                    <w:tr2bl w:val="nil"/>
                  </w:tcBorders>
                  <w:noWrap w:val="0"/>
                  <w:tcMar>
                    <w:left w:w="28" w:type="dxa"/>
                    <w:right w:w="28" w:type="dxa"/>
                  </w:tcMar>
                  <w:vAlign w:val="center"/>
                </w:tcPr>
                <w:p w14:paraId="6B991945">
                  <w:pPr>
                    <w:adjustRightInd w:val="0"/>
                    <w:snapToGrid w:val="0"/>
                    <w:jc w:val="center"/>
                    <w:rPr>
                      <w:rFonts w:hint="default" w:hAnsi="宋体" w:eastAsia="宋体"/>
                      <w:b w:val="0"/>
                      <w:bCs/>
                      <w:color w:val="auto"/>
                      <w:kern w:val="0"/>
                      <w:sz w:val="21"/>
                      <w:szCs w:val="21"/>
                      <w:highlight w:val="none"/>
                      <w:lang w:val="en-US" w:eastAsia="zh-CN"/>
                    </w:rPr>
                  </w:pPr>
                  <w:r>
                    <w:rPr>
                      <w:rFonts w:hint="eastAsia" w:hAnsi="宋体"/>
                      <w:b w:val="0"/>
                      <w:bCs/>
                      <w:color w:val="auto"/>
                      <w:kern w:val="0"/>
                      <w:sz w:val="21"/>
                      <w:szCs w:val="21"/>
                      <w:highlight w:val="none"/>
                      <w:lang w:val="en-US" w:eastAsia="zh-CN"/>
                    </w:rPr>
                    <w:t>废包装材料</w:t>
                  </w:r>
                </w:p>
              </w:tc>
              <w:tc>
                <w:tcPr>
                  <w:tcW w:w="461" w:type="pct"/>
                  <w:tcBorders>
                    <w:tl2br w:val="nil"/>
                    <w:tr2bl w:val="nil"/>
                  </w:tcBorders>
                  <w:noWrap w:val="0"/>
                  <w:tcMar>
                    <w:left w:w="28" w:type="dxa"/>
                    <w:right w:w="28" w:type="dxa"/>
                  </w:tcMar>
                  <w:vAlign w:val="center"/>
                </w:tcPr>
                <w:p w14:paraId="60401B32">
                  <w:pPr>
                    <w:adjustRightInd w:val="0"/>
                    <w:snapToGrid w:val="0"/>
                    <w:jc w:val="center"/>
                    <w:rPr>
                      <w:rFonts w:hAnsi="宋体"/>
                      <w:b w:val="0"/>
                      <w:bCs/>
                      <w:color w:val="auto"/>
                      <w:kern w:val="0"/>
                      <w:sz w:val="21"/>
                      <w:szCs w:val="21"/>
                      <w:highlight w:val="none"/>
                    </w:rPr>
                  </w:pPr>
                  <w:r>
                    <w:rPr>
                      <w:rFonts w:hAnsi="宋体"/>
                      <w:b w:val="0"/>
                      <w:bCs/>
                      <w:color w:val="auto"/>
                      <w:kern w:val="0"/>
                      <w:sz w:val="21"/>
                      <w:szCs w:val="21"/>
                      <w:highlight w:val="none"/>
                    </w:rPr>
                    <w:t>固态</w:t>
                  </w:r>
                </w:p>
              </w:tc>
              <w:tc>
                <w:tcPr>
                  <w:tcW w:w="633" w:type="pct"/>
                  <w:tcBorders>
                    <w:tl2br w:val="nil"/>
                    <w:tr2bl w:val="nil"/>
                  </w:tcBorders>
                  <w:noWrap w:val="0"/>
                  <w:tcMar>
                    <w:left w:w="28" w:type="dxa"/>
                    <w:right w:w="28" w:type="dxa"/>
                  </w:tcMar>
                  <w:vAlign w:val="center"/>
                </w:tcPr>
                <w:p w14:paraId="2FD5B1B6">
                  <w:pPr>
                    <w:adjustRightInd w:val="0"/>
                    <w:snapToGrid w:val="0"/>
                    <w:jc w:val="center"/>
                    <w:rPr>
                      <w:rFonts w:hint="eastAsia"/>
                      <w:b w:val="0"/>
                      <w:bCs/>
                      <w:color w:val="auto"/>
                      <w:kern w:val="0"/>
                      <w:sz w:val="21"/>
                      <w:szCs w:val="21"/>
                      <w:highlight w:val="none"/>
                    </w:rPr>
                  </w:pPr>
                  <w:r>
                    <w:rPr>
                      <w:rFonts w:hint="eastAsia"/>
                      <w:b w:val="0"/>
                      <w:bCs/>
                      <w:color w:val="auto"/>
                      <w:kern w:val="0"/>
                      <w:sz w:val="21"/>
                      <w:szCs w:val="21"/>
                      <w:highlight w:val="none"/>
                    </w:rPr>
                    <w:t>一般工业固废</w:t>
                  </w:r>
                </w:p>
              </w:tc>
              <w:tc>
                <w:tcPr>
                  <w:tcW w:w="534" w:type="pct"/>
                  <w:tcBorders>
                    <w:tl2br w:val="nil"/>
                    <w:tr2bl w:val="nil"/>
                  </w:tcBorders>
                  <w:noWrap w:val="0"/>
                  <w:tcMar>
                    <w:left w:w="28" w:type="dxa"/>
                    <w:right w:w="28" w:type="dxa"/>
                  </w:tcMar>
                  <w:vAlign w:val="center"/>
                </w:tcPr>
                <w:p w14:paraId="246FE673">
                  <w:pPr>
                    <w:adjustRightInd w:val="0"/>
                    <w:snapToGrid w:val="0"/>
                    <w:jc w:val="center"/>
                    <w:rPr>
                      <w:rFonts w:hint="default"/>
                      <w:b w:val="0"/>
                      <w:bCs/>
                      <w:color w:val="auto"/>
                      <w:kern w:val="0"/>
                      <w:sz w:val="21"/>
                      <w:szCs w:val="21"/>
                      <w:highlight w:val="none"/>
                      <w:lang w:val="en-US" w:eastAsia="zh-CN"/>
                    </w:rPr>
                  </w:pPr>
                  <w:r>
                    <w:rPr>
                      <w:rFonts w:hint="default"/>
                      <w:b w:val="0"/>
                      <w:bCs/>
                      <w:color w:val="auto"/>
                      <w:kern w:val="0"/>
                      <w:sz w:val="21"/>
                      <w:szCs w:val="21"/>
                      <w:highlight w:val="none"/>
                      <w:lang w:val="en-US" w:eastAsia="zh-CN"/>
                    </w:rPr>
                    <w:t>900-099-S59</w:t>
                  </w:r>
                </w:p>
              </w:tc>
              <w:tc>
                <w:tcPr>
                  <w:tcW w:w="541" w:type="pct"/>
                  <w:tcBorders>
                    <w:tl2br w:val="nil"/>
                    <w:tr2bl w:val="nil"/>
                  </w:tcBorders>
                  <w:noWrap w:val="0"/>
                  <w:tcMar>
                    <w:left w:w="28" w:type="dxa"/>
                    <w:right w:w="28" w:type="dxa"/>
                  </w:tcMar>
                  <w:vAlign w:val="center"/>
                </w:tcPr>
                <w:p w14:paraId="64B9B31E">
                  <w:pPr>
                    <w:adjustRightInd w:val="0"/>
                    <w:snapToGrid w:val="0"/>
                    <w:jc w:val="center"/>
                    <w:rPr>
                      <w:rFonts w:hint="eastAsia"/>
                      <w:b w:val="0"/>
                      <w:bCs/>
                      <w:color w:val="auto"/>
                      <w:kern w:val="0"/>
                      <w:sz w:val="21"/>
                      <w:szCs w:val="21"/>
                      <w:highlight w:val="none"/>
                      <w:lang w:val="en-US" w:eastAsia="zh-CN"/>
                    </w:rPr>
                  </w:pPr>
                  <w:r>
                    <w:rPr>
                      <w:rFonts w:hint="eastAsia"/>
                      <w:b w:val="0"/>
                      <w:bCs/>
                      <w:color w:val="auto"/>
                      <w:kern w:val="0"/>
                      <w:sz w:val="21"/>
                      <w:szCs w:val="21"/>
                      <w:highlight w:val="none"/>
                      <w:lang w:val="en-US" w:eastAsia="zh-CN"/>
                    </w:rPr>
                    <w:t>0.02</w:t>
                  </w:r>
                </w:p>
              </w:tc>
              <w:tc>
                <w:tcPr>
                  <w:tcW w:w="759" w:type="pct"/>
                  <w:tcBorders>
                    <w:tl2br w:val="nil"/>
                    <w:tr2bl w:val="nil"/>
                  </w:tcBorders>
                  <w:noWrap w:val="0"/>
                  <w:tcMar>
                    <w:left w:w="28" w:type="dxa"/>
                    <w:right w:w="28" w:type="dxa"/>
                  </w:tcMar>
                  <w:vAlign w:val="center"/>
                </w:tcPr>
                <w:p w14:paraId="10D79CFB">
                  <w:pPr>
                    <w:adjustRightInd w:val="0"/>
                    <w:snapToGrid w:val="0"/>
                    <w:jc w:val="center"/>
                    <w:rPr>
                      <w:rFonts w:hint="default" w:hAnsi="宋体" w:eastAsia="宋体"/>
                      <w:b w:val="0"/>
                      <w:bCs/>
                      <w:color w:val="auto"/>
                      <w:kern w:val="0"/>
                      <w:sz w:val="21"/>
                      <w:szCs w:val="21"/>
                      <w:highlight w:val="none"/>
                      <w:lang w:val="en-US" w:eastAsia="zh-CN"/>
                    </w:rPr>
                  </w:pPr>
                  <w:r>
                    <w:rPr>
                      <w:rFonts w:hint="eastAsia" w:hAnsi="宋体"/>
                      <w:b w:val="0"/>
                      <w:bCs/>
                      <w:color w:val="auto"/>
                      <w:kern w:val="0"/>
                      <w:sz w:val="21"/>
                      <w:szCs w:val="21"/>
                      <w:highlight w:val="none"/>
                      <w:lang w:val="en-US" w:eastAsia="zh-CN"/>
                    </w:rPr>
                    <w:t>一般固废暂存间</w:t>
                  </w:r>
                </w:p>
              </w:tc>
              <w:tc>
                <w:tcPr>
                  <w:tcW w:w="831" w:type="pct"/>
                  <w:tcBorders>
                    <w:tl2br w:val="nil"/>
                    <w:tr2bl w:val="nil"/>
                  </w:tcBorders>
                  <w:noWrap w:val="0"/>
                  <w:tcMar>
                    <w:left w:w="28" w:type="dxa"/>
                    <w:right w:w="28" w:type="dxa"/>
                  </w:tcMar>
                  <w:vAlign w:val="center"/>
                </w:tcPr>
                <w:p w14:paraId="49B6831C">
                  <w:pPr>
                    <w:adjustRightInd w:val="0"/>
                    <w:snapToGrid w:val="0"/>
                    <w:jc w:val="center"/>
                    <w:rPr>
                      <w:rFonts w:hint="default" w:eastAsia="宋体"/>
                      <w:b w:val="0"/>
                      <w:bCs/>
                      <w:color w:val="auto"/>
                      <w:kern w:val="0"/>
                      <w:sz w:val="21"/>
                      <w:szCs w:val="21"/>
                      <w:highlight w:val="none"/>
                      <w:lang w:val="en-US" w:eastAsia="zh-CN"/>
                    </w:rPr>
                  </w:pPr>
                  <w:r>
                    <w:rPr>
                      <w:rFonts w:hint="eastAsia"/>
                      <w:b w:val="0"/>
                      <w:bCs/>
                      <w:color w:val="auto"/>
                      <w:kern w:val="0"/>
                      <w:sz w:val="21"/>
                      <w:szCs w:val="21"/>
                      <w:highlight w:val="none"/>
                      <w:lang w:val="en-US" w:eastAsia="zh-CN"/>
                    </w:rPr>
                    <w:t>出售综合利用</w:t>
                  </w:r>
                </w:p>
              </w:tc>
            </w:tr>
            <w:tr w14:paraId="549645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6" w:type="pct"/>
                  <w:vMerge w:val="restart"/>
                  <w:tcBorders>
                    <w:tl2br w:val="nil"/>
                    <w:tr2bl w:val="nil"/>
                  </w:tcBorders>
                  <w:noWrap w:val="0"/>
                  <w:tcMar>
                    <w:left w:w="28" w:type="dxa"/>
                    <w:right w:w="28" w:type="dxa"/>
                  </w:tcMar>
                  <w:vAlign w:val="center"/>
                </w:tcPr>
                <w:p w14:paraId="3240CBAA">
                  <w:pPr>
                    <w:adjustRightInd w:val="0"/>
                    <w:snapToGrid w:val="0"/>
                    <w:jc w:val="center"/>
                    <w:rPr>
                      <w:rFonts w:hint="default" w:hAnsi="宋体" w:eastAsia="宋体"/>
                      <w:b w:val="0"/>
                      <w:bCs/>
                      <w:color w:val="auto"/>
                      <w:kern w:val="0"/>
                      <w:sz w:val="21"/>
                      <w:szCs w:val="21"/>
                      <w:highlight w:val="none"/>
                      <w:lang w:val="en-US" w:eastAsia="zh-CN"/>
                    </w:rPr>
                  </w:pPr>
                  <w:r>
                    <w:rPr>
                      <w:rFonts w:hint="eastAsia" w:hAnsi="宋体"/>
                      <w:b w:val="0"/>
                      <w:bCs/>
                      <w:color w:val="auto"/>
                      <w:kern w:val="0"/>
                      <w:sz w:val="21"/>
                      <w:szCs w:val="21"/>
                      <w:highlight w:val="none"/>
                      <w:lang w:val="en-US" w:eastAsia="zh-CN"/>
                    </w:rPr>
                    <w:t>设备保养</w:t>
                  </w:r>
                </w:p>
              </w:tc>
              <w:tc>
                <w:tcPr>
                  <w:tcW w:w="662" w:type="pct"/>
                  <w:tcBorders>
                    <w:tl2br w:val="nil"/>
                    <w:tr2bl w:val="nil"/>
                  </w:tcBorders>
                  <w:noWrap w:val="0"/>
                  <w:tcMar>
                    <w:left w:w="28" w:type="dxa"/>
                    <w:right w:w="28" w:type="dxa"/>
                  </w:tcMar>
                  <w:vAlign w:val="center"/>
                </w:tcPr>
                <w:p w14:paraId="661CFF76">
                  <w:pPr>
                    <w:adjustRightInd w:val="0"/>
                    <w:snapToGrid w:val="0"/>
                    <w:jc w:val="center"/>
                    <w:rPr>
                      <w:rFonts w:hint="eastAsia" w:hAnsi="宋体"/>
                      <w:b w:val="0"/>
                      <w:bCs/>
                      <w:color w:val="auto"/>
                      <w:kern w:val="0"/>
                      <w:sz w:val="21"/>
                      <w:szCs w:val="21"/>
                      <w:highlight w:val="none"/>
                      <w:lang w:val="en-US" w:eastAsia="zh-CN"/>
                    </w:rPr>
                  </w:pPr>
                  <w:r>
                    <w:rPr>
                      <w:rFonts w:hint="eastAsia" w:hAnsi="宋体"/>
                      <w:b w:val="0"/>
                      <w:bCs/>
                      <w:color w:val="auto"/>
                      <w:kern w:val="0"/>
                      <w:sz w:val="21"/>
                      <w:szCs w:val="21"/>
                      <w:highlight w:val="none"/>
                      <w:lang w:val="en-US" w:eastAsia="zh-CN"/>
                    </w:rPr>
                    <w:t>废润滑油</w:t>
                  </w:r>
                </w:p>
              </w:tc>
              <w:tc>
                <w:tcPr>
                  <w:tcW w:w="461" w:type="pct"/>
                  <w:tcBorders>
                    <w:tl2br w:val="nil"/>
                    <w:tr2bl w:val="nil"/>
                  </w:tcBorders>
                  <w:noWrap w:val="0"/>
                  <w:tcMar>
                    <w:left w:w="28" w:type="dxa"/>
                    <w:right w:w="28" w:type="dxa"/>
                  </w:tcMar>
                  <w:vAlign w:val="center"/>
                </w:tcPr>
                <w:p w14:paraId="25D44980">
                  <w:pPr>
                    <w:adjustRightInd w:val="0"/>
                    <w:snapToGrid w:val="0"/>
                    <w:jc w:val="center"/>
                    <w:rPr>
                      <w:rFonts w:hint="eastAsia" w:hAnsi="宋体" w:eastAsia="宋体"/>
                      <w:b w:val="0"/>
                      <w:bCs/>
                      <w:color w:val="auto"/>
                      <w:kern w:val="0"/>
                      <w:sz w:val="21"/>
                      <w:szCs w:val="21"/>
                      <w:highlight w:val="none"/>
                      <w:lang w:val="en-US" w:eastAsia="zh-CN"/>
                    </w:rPr>
                  </w:pPr>
                  <w:r>
                    <w:rPr>
                      <w:rFonts w:hint="eastAsia" w:hAnsi="宋体"/>
                      <w:b w:val="0"/>
                      <w:bCs/>
                      <w:color w:val="auto"/>
                      <w:kern w:val="0"/>
                      <w:sz w:val="21"/>
                      <w:szCs w:val="21"/>
                      <w:highlight w:val="none"/>
                      <w:lang w:val="en-US" w:eastAsia="zh-CN"/>
                    </w:rPr>
                    <w:t>液</w:t>
                  </w:r>
                  <w:r>
                    <w:rPr>
                      <w:rFonts w:hAnsi="宋体"/>
                      <w:b w:val="0"/>
                      <w:bCs/>
                      <w:color w:val="auto"/>
                      <w:kern w:val="0"/>
                      <w:sz w:val="21"/>
                      <w:szCs w:val="21"/>
                      <w:highlight w:val="none"/>
                    </w:rPr>
                    <w:t>态</w:t>
                  </w:r>
                </w:p>
              </w:tc>
              <w:tc>
                <w:tcPr>
                  <w:tcW w:w="633" w:type="pct"/>
                  <w:vMerge w:val="restart"/>
                  <w:tcBorders>
                    <w:tl2br w:val="nil"/>
                    <w:tr2bl w:val="nil"/>
                  </w:tcBorders>
                  <w:noWrap w:val="0"/>
                  <w:tcMar>
                    <w:left w:w="28" w:type="dxa"/>
                    <w:right w:w="28" w:type="dxa"/>
                  </w:tcMar>
                  <w:vAlign w:val="center"/>
                </w:tcPr>
                <w:p w14:paraId="0383B0A1">
                  <w:pPr>
                    <w:adjustRightInd w:val="0"/>
                    <w:snapToGrid w:val="0"/>
                    <w:jc w:val="center"/>
                    <w:rPr>
                      <w:rFonts w:hint="default" w:eastAsia="宋体"/>
                      <w:b w:val="0"/>
                      <w:bCs/>
                      <w:color w:val="auto"/>
                      <w:kern w:val="0"/>
                      <w:sz w:val="21"/>
                      <w:szCs w:val="21"/>
                      <w:highlight w:val="none"/>
                      <w:lang w:val="en-US" w:eastAsia="zh-CN"/>
                    </w:rPr>
                  </w:pPr>
                  <w:r>
                    <w:rPr>
                      <w:rFonts w:hint="eastAsia"/>
                      <w:b w:val="0"/>
                      <w:bCs/>
                      <w:color w:val="auto"/>
                      <w:kern w:val="0"/>
                      <w:sz w:val="21"/>
                      <w:szCs w:val="21"/>
                      <w:highlight w:val="none"/>
                      <w:lang w:val="en-US" w:eastAsia="zh-CN"/>
                    </w:rPr>
                    <w:t>危险废物</w:t>
                  </w:r>
                </w:p>
              </w:tc>
              <w:tc>
                <w:tcPr>
                  <w:tcW w:w="534" w:type="pct"/>
                  <w:tcBorders>
                    <w:tl2br w:val="nil"/>
                    <w:tr2bl w:val="nil"/>
                  </w:tcBorders>
                  <w:noWrap w:val="0"/>
                  <w:tcMar>
                    <w:left w:w="28" w:type="dxa"/>
                    <w:right w:w="28" w:type="dxa"/>
                  </w:tcMar>
                  <w:vAlign w:val="center"/>
                </w:tcPr>
                <w:p w14:paraId="08D4CDFA">
                  <w:pPr>
                    <w:adjustRightInd w:val="0"/>
                    <w:snapToGrid w:val="0"/>
                    <w:jc w:val="center"/>
                    <w:rPr>
                      <w:rFonts w:hint="default"/>
                      <w:b w:val="0"/>
                      <w:bCs/>
                      <w:color w:val="auto"/>
                      <w:kern w:val="0"/>
                      <w:sz w:val="21"/>
                      <w:szCs w:val="21"/>
                      <w:highlight w:val="none"/>
                      <w:lang w:val="en-US" w:eastAsia="zh-CN"/>
                    </w:rPr>
                  </w:pPr>
                  <w:r>
                    <w:rPr>
                      <w:rFonts w:hint="default"/>
                      <w:b w:val="0"/>
                      <w:bCs/>
                      <w:color w:val="auto"/>
                      <w:kern w:val="0"/>
                      <w:sz w:val="21"/>
                      <w:szCs w:val="21"/>
                      <w:highlight w:val="none"/>
                      <w:lang w:val="en-US" w:eastAsia="zh-CN"/>
                    </w:rPr>
                    <w:t>900-217-08</w:t>
                  </w:r>
                </w:p>
              </w:tc>
              <w:tc>
                <w:tcPr>
                  <w:tcW w:w="541" w:type="pct"/>
                  <w:tcBorders>
                    <w:tl2br w:val="nil"/>
                    <w:tr2bl w:val="nil"/>
                  </w:tcBorders>
                  <w:noWrap w:val="0"/>
                  <w:tcMar>
                    <w:left w:w="28" w:type="dxa"/>
                    <w:right w:w="28" w:type="dxa"/>
                  </w:tcMar>
                  <w:vAlign w:val="center"/>
                </w:tcPr>
                <w:p w14:paraId="79520A98">
                  <w:pPr>
                    <w:adjustRightInd w:val="0"/>
                    <w:snapToGrid w:val="0"/>
                    <w:jc w:val="center"/>
                    <w:rPr>
                      <w:rFonts w:hint="default"/>
                      <w:b w:val="0"/>
                      <w:bCs/>
                      <w:color w:val="auto"/>
                      <w:kern w:val="0"/>
                      <w:sz w:val="21"/>
                      <w:szCs w:val="21"/>
                      <w:highlight w:val="none"/>
                      <w:lang w:val="en-US" w:eastAsia="zh-CN"/>
                    </w:rPr>
                  </w:pPr>
                  <w:r>
                    <w:rPr>
                      <w:rFonts w:hint="eastAsia"/>
                      <w:b w:val="0"/>
                      <w:bCs/>
                      <w:color w:val="auto"/>
                      <w:kern w:val="0"/>
                      <w:sz w:val="21"/>
                      <w:szCs w:val="21"/>
                      <w:highlight w:val="none"/>
                      <w:lang w:val="en-US" w:eastAsia="zh-CN"/>
                    </w:rPr>
                    <w:t>0.005</w:t>
                  </w:r>
                </w:p>
              </w:tc>
              <w:tc>
                <w:tcPr>
                  <w:tcW w:w="759" w:type="pct"/>
                  <w:vMerge w:val="restart"/>
                  <w:tcBorders>
                    <w:tl2br w:val="nil"/>
                    <w:tr2bl w:val="nil"/>
                  </w:tcBorders>
                  <w:noWrap w:val="0"/>
                  <w:tcMar>
                    <w:left w:w="28" w:type="dxa"/>
                    <w:right w:w="28" w:type="dxa"/>
                  </w:tcMar>
                  <w:vAlign w:val="center"/>
                </w:tcPr>
                <w:p w14:paraId="6E0D1296">
                  <w:pPr>
                    <w:adjustRightInd w:val="0"/>
                    <w:snapToGrid w:val="0"/>
                    <w:jc w:val="center"/>
                    <w:rPr>
                      <w:rFonts w:hint="default" w:hAnsi="宋体"/>
                      <w:b w:val="0"/>
                      <w:bCs/>
                      <w:color w:val="auto"/>
                      <w:kern w:val="0"/>
                      <w:sz w:val="21"/>
                      <w:szCs w:val="21"/>
                      <w:highlight w:val="none"/>
                      <w:lang w:val="en-US" w:eastAsia="zh-CN"/>
                    </w:rPr>
                  </w:pPr>
                  <w:r>
                    <w:rPr>
                      <w:rFonts w:hint="eastAsia" w:hAnsi="宋体"/>
                      <w:b w:val="0"/>
                      <w:bCs/>
                      <w:color w:val="auto"/>
                      <w:kern w:val="0"/>
                      <w:sz w:val="21"/>
                      <w:szCs w:val="21"/>
                      <w:highlight w:val="none"/>
                      <w:lang w:val="en-US" w:eastAsia="zh-CN"/>
                    </w:rPr>
                    <w:t>危废暂存区</w:t>
                  </w:r>
                </w:p>
              </w:tc>
              <w:tc>
                <w:tcPr>
                  <w:tcW w:w="831" w:type="pct"/>
                  <w:vMerge w:val="restart"/>
                  <w:tcBorders>
                    <w:tl2br w:val="nil"/>
                    <w:tr2bl w:val="nil"/>
                  </w:tcBorders>
                  <w:noWrap w:val="0"/>
                  <w:tcMar>
                    <w:left w:w="28" w:type="dxa"/>
                    <w:right w:w="28" w:type="dxa"/>
                  </w:tcMar>
                  <w:vAlign w:val="center"/>
                </w:tcPr>
                <w:p w14:paraId="61823C7F">
                  <w:pPr>
                    <w:adjustRightInd w:val="0"/>
                    <w:snapToGrid w:val="0"/>
                    <w:jc w:val="center"/>
                    <w:rPr>
                      <w:rFonts w:hint="default"/>
                      <w:b w:val="0"/>
                      <w:bCs/>
                      <w:color w:val="auto"/>
                      <w:kern w:val="0"/>
                      <w:sz w:val="21"/>
                      <w:szCs w:val="21"/>
                      <w:highlight w:val="none"/>
                      <w:lang w:val="en-US" w:eastAsia="zh-CN"/>
                    </w:rPr>
                  </w:pPr>
                  <w:r>
                    <w:rPr>
                      <w:rFonts w:hint="eastAsia"/>
                      <w:b w:val="0"/>
                      <w:bCs/>
                      <w:color w:val="auto"/>
                      <w:kern w:val="0"/>
                      <w:sz w:val="21"/>
                      <w:szCs w:val="21"/>
                      <w:highlight w:val="none"/>
                      <w:lang w:val="en-US" w:eastAsia="zh-CN"/>
                    </w:rPr>
                    <w:t>委托有资质单位处置</w:t>
                  </w:r>
                </w:p>
              </w:tc>
            </w:tr>
            <w:tr w14:paraId="34B57E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576" w:type="pct"/>
                  <w:vMerge w:val="continue"/>
                  <w:tcBorders>
                    <w:tl2br w:val="nil"/>
                    <w:tr2bl w:val="nil"/>
                  </w:tcBorders>
                  <w:noWrap w:val="0"/>
                  <w:tcMar>
                    <w:left w:w="28" w:type="dxa"/>
                    <w:right w:w="28" w:type="dxa"/>
                  </w:tcMar>
                  <w:vAlign w:val="center"/>
                </w:tcPr>
                <w:p w14:paraId="50BC350A">
                  <w:pPr>
                    <w:adjustRightInd w:val="0"/>
                    <w:snapToGrid w:val="0"/>
                    <w:jc w:val="center"/>
                    <w:rPr>
                      <w:rFonts w:hint="eastAsia" w:hAnsi="宋体"/>
                      <w:b w:val="0"/>
                      <w:bCs/>
                      <w:color w:val="auto"/>
                      <w:kern w:val="0"/>
                      <w:sz w:val="21"/>
                      <w:szCs w:val="21"/>
                      <w:highlight w:val="none"/>
                    </w:rPr>
                  </w:pPr>
                </w:p>
              </w:tc>
              <w:tc>
                <w:tcPr>
                  <w:tcW w:w="662" w:type="pct"/>
                  <w:tcBorders>
                    <w:tl2br w:val="nil"/>
                    <w:tr2bl w:val="nil"/>
                  </w:tcBorders>
                  <w:noWrap w:val="0"/>
                  <w:tcMar>
                    <w:left w:w="28" w:type="dxa"/>
                    <w:right w:w="28" w:type="dxa"/>
                  </w:tcMar>
                  <w:vAlign w:val="center"/>
                </w:tcPr>
                <w:p w14:paraId="69B3E929">
                  <w:pPr>
                    <w:adjustRightInd w:val="0"/>
                    <w:snapToGrid w:val="0"/>
                    <w:jc w:val="center"/>
                    <w:rPr>
                      <w:rFonts w:hint="eastAsia" w:hAnsi="宋体"/>
                      <w:b w:val="0"/>
                      <w:bCs/>
                      <w:color w:val="auto"/>
                      <w:kern w:val="0"/>
                      <w:sz w:val="21"/>
                      <w:szCs w:val="21"/>
                      <w:highlight w:val="none"/>
                      <w:lang w:val="en-US" w:eastAsia="zh-CN"/>
                    </w:rPr>
                  </w:pPr>
                  <w:r>
                    <w:rPr>
                      <w:rFonts w:hint="eastAsia" w:hAnsi="宋体"/>
                      <w:b w:val="0"/>
                      <w:bCs/>
                      <w:color w:val="auto"/>
                      <w:kern w:val="0"/>
                      <w:sz w:val="21"/>
                      <w:szCs w:val="21"/>
                      <w:highlight w:val="none"/>
                      <w:lang w:val="en-US" w:eastAsia="zh-CN"/>
                    </w:rPr>
                    <w:t>废油桶</w:t>
                  </w:r>
                </w:p>
              </w:tc>
              <w:tc>
                <w:tcPr>
                  <w:tcW w:w="461" w:type="pct"/>
                  <w:tcBorders>
                    <w:tl2br w:val="nil"/>
                    <w:tr2bl w:val="nil"/>
                  </w:tcBorders>
                  <w:noWrap w:val="0"/>
                  <w:tcMar>
                    <w:left w:w="28" w:type="dxa"/>
                    <w:right w:w="28" w:type="dxa"/>
                  </w:tcMar>
                  <w:vAlign w:val="center"/>
                </w:tcPr>
                <w:p w14:paraId="474865FA">
                  <w:pPr>
                    <w:adjustRightInd w:val="0"/>
                    <w:snapToGrid w:val="0"/>
                    <w:jc w:val="center"/>
                    <w:rPr>
                      <w:rFonts w:hAnsi="宋体"/>
                      <w:b w:val="0"/>
                      <w:bCs/>
                      <w:color w:val="auto"/>
                      <w:kern w:val="0"/>
                      <w:sz w:val="21"/>
                      <w:szCs w:val="21"/>
                      <w:highlight w:val="none"/>
                    </w:rPr>
                  </w:pPr>
                  <w:r>
                    <w:rPr>
                      <w:rFonts w:hAnsi="宋体"/>
                      <w:b w:val="0"/>
                      <w:bCs/>
                      <w:color w:val="auto"/>
                      <w:kern w:val="0"/>
                      <w:sz w:val="21"/>
                      <w:szCs w:val="21"/>
                      <w:highlight w:val="none"/>
                    </w:rPr>
                    <w:t>固态</w:t>
                  </w:r>
                </w:p>
              </w:tc>
              <w:tc>
                <w:tcPr>
                  <w:tcW w:w="633" w:type="pct"/>
                  <w:vMerge w:val="continue"/>
                  <w:tcBorders>
                    <w:tl2br w:val="nil"/>
                    <w:tr2bl w:val="nil"/>
                  </w:tcBorders>
                  <w:noWrap w:val="0"/>
                  <w:tcMar>
                    <w:left w:w="28" w:type="dxa"/>
                    <w:right w:w="28" w:type="dxa"/>
                  </w:tcMar>
                  <w:vAlign w:val="center"/>
                </w:tcPr>
                <w:p w14:paraId="6EB05187">
                  <w:pPr>
                    <w:adjustRightInd w:val="0"/>
                    <w:snapToGrid w:val="0"/>
                    <w:jc w:val="center"/>
                    <w:rPr>
                      <w:rFonts w:hint="eastAsia"/>
                      <w:b w:val="0"/>
                      <w:bCs/>
                      <w:color w:val="auto"/>
                      <w:kern w:val="0"/>
                      <w:sz w:val="21"/>
                      <w:szCs w:val="21"/>
                      <w:highlight w:val="none"/>
                    </w:rPr>
                  </w:pPr>
                </w:p>
              </w:tc>
              <w:tc>
                <w:tcPr>
                  <w:tcW w:w="534" w:type="pct"/>
                  <w:tcBorders>
                    <w:tl2br w:val="nil"/>
                    <w:tr2bl w:val="nil"/>
                  </w:tcBorders>
                  <w:noWrap w:val="0"/>
                  <w:tcMar>
                    <w:left w:w="28" w:type="dxa"/>
                    <w:right w:w="28" w:type="dxa"/>
                  </w:tcMar>
                  <w:vAlign w:val="center"/>
                </w:tcPr>
                <w:p w14:paraId="1C4406D7">
                  <w:pPr>
                    <w:adjustRightInd w:val="0"/>
                    <w:snapToGrid w:val="0"/>
                    <w:jc w:val="center"/>
                    <w:rPr>
                      <w:rFonts w:hint="default"/>
                      <w:b w:val="0"/>
                      <w:bCs/>
                      <w:color w:val="auto"/>
                      <w:kern w:val="0"/>
                      <w:sz w:val="21"/>
                      <w:szCs w:val="21"/>
                      <w:highlight w:val="none"/>
                      <w:lang w:val="en-US" w:eastAsia="zh-CN"/>
                    </w:rPr>
                  </w:pPr>
                  <w:r>
                    <w:rPr>
                      <w:rFonts w:hint="default"/>
                      <w:b w:val="0"/>
                      <w:bCs/>
                      <w:color w:val="auto"/>
                      <w:kern w:val="0"/>
                      <w:sz w:val="21"/>
                      <w:szCs w:val="21"/>
                      <w:highlight w:val="none"/>
                      <w:lang w:val="en-US" w:eastAsia="zh-CN"/>
                    </w:rPr>
                    <w:t>900-249-08</w:t>
                  </w:r>
                </w:p>
              </w:tc>
              <w:tc>
                <w:tcPr>
                  <w:tcW w:w="541" w:type="pct"/>
                  <w:tcBorders>
                    <w:tl2br w:val="nil"/>
                    <w:tr2bl w:val="nil"/>
                  </w:tcBorders>
                  <w:noWrap w:val="0"/>
                  <w:tcMar>
                    <w:left w:w="28" w:type="dxa"/>
                    <w:right w:w="28" w:type="dxa"/>
                  </w:tcMar>
                  <w:vAlign w:val="center"/>
                </w:tcPr>
                <w:p w14:paraId="449666DC">
                  <w:pPr>
                    <w:adjustRightInd w:val="0"/>
                    <w:snapToGrid w:val="0"/>
                    <w:jc w:val="center"/>
                    <w:rPr>
                      <w:rFonts w:hint="default"/>
                      <w:b w:val="0"/>
                      <w:bCs/>
                      <w:color w:val="auto"/>
                      <w:kern w:val="0"/>
                      <w:sz w:val="21"/>
                      <w:szCs w:val="21"/>
                      <w:highlight w:val="none"/>
                      <w:lang w:val="en-US" w:eastAsia="zh-CN"/>
                    </w:rPr>
                  </w:pPr>
                  <w:r>
                    <w:rPr>
                      <w:rFonts w:hint="eastAsia"/>
                      <w:b w:val="0"/>
                      <w:bCs/>
                      <w:color w:val="auto"/>
                      <w:kern w:val="0"/>
                      <w:sz w:val="21"/>
                      <w:szCs w:val="21"/>
                      <w:highlight w:val="none"/>
                      <w:lang w:val="en-US" w:eastAsia="zh-CN"/>
                    </w:rPr>
                    <w:t>0.002</w:t>
                  </w:r>
                </w:p>
              </w:tc>
              <w:tc>
                <w:tcPr>
                  <w:tcW w:w="759" w:type="pct"/>
                  <w:vMerge w:val="continue"/>
                  <w:tcBorders>
                    <w:tl2br w:val="nil"/>
                    <w:tr2bl w:val="nil"/>
                  </w:tcBorders>
                  <w:noWrap w:val="0"/>
                  <w:tcMar>
                    <w:left w:w="28" w:type="dxa"/>
                    <w:right w:w="28" w:type="dxa"/>
                  </w:tcMar>
                  <w:vAlign w:val="center"/>
                </w:tcPr>
                <w:p w14:paraId="05751714">
                  <w:pPr>
                    <w:adjustRightInd w:val="0"/>
                    <w:snapToGrid w:val="0"/>
                    <w:jc w:val="center"/>
                    <w:rPr>
                      <w:rFonts w:hint="eastAsia" w:hAnsi="宋体"/>
                      <w:b w:val="0"/>
                      <w:bCs/>
                      <w:color w:val="auto"/>
                      <w:kern w:val="0"/>
                      <w:sz w:val="21"/>
                      <w:szCs w:val="21"/>
                      <w:highlight w:val="none"/>
                      <w:lang w:val="en-US" w:eastAsia="zh-CN"/>
                    </w:rPr>
                  </w:pPr>
                </w:p>
              </w:tc>
              <w:tc>
                <w:tcPr>
                  <w:tcW w:w="831" w:type="pct"/>
                  <w:vMerge w:val="continue"/>
                  <w:tcBorders>
                    <w:tl2br w:val="nil"/>
                    <w:tr2bl w:val="nil"/>
                  </w:tcBorders>
                  <w:noWrap w:val="0"/>
                  <w:tcMar>
                    <w:left w:w="28" w:type="dxa"/>
                    <w:right w:w="28" w:type="dxa"/>
                  </w:tcMar>
                  <w:vAlign w:val="center"/>
                </w:tcPr>
                <w:p w14:paraId="3972A010">
                  <w:pPr>
                    <w:adjustRightInd w:val="0"/>
                    <w:snapToGrid w:val="0"/>
                    <w:jc w:val="center"/>
                    <w:rPr>
                      <w:rFonts w:hint="eastAsia"/>
                      <w:b w:val="0"/>
                      <w:bCs/>
                      <w:color w:val="auto"/>
                      <w:kern w:val="0"/>
                      <w:sz w:val="21"/>
                      <w:szCs w:val="21"/>
                      <w:highlight w:val="none"/>
                      <w:lang w:val="en-US" w:eastAsia="zh-CN"/>
                    </w:rPr>
                  </w:pPr>
                </w:p>
              </w:tc>
            </w:tr>
            <w:tr w14:paraId="4A63EE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6" w:type="pct"/>
                  <w:vMerge w:val="continue"/>
                  <w:tcBorders>
                    <w:tl2br w:val="nil"/>
                    <w:tr2bl w:val="nil"/>
                  </w:tcBorders>
                  <w:noWrap w:val="0"/>
                  <w:tcMar>
                    <w:left w:w="28" w:type="dxa"/>
                    <w:right w:w="28" w:type="dxa"/>
                  </w:tcMar>
                  <w:vAlign w:val="center"/>
                </w:tcPr>
                <w:p w14:paraId="5C65E353">
                  <w:pPr>
                    <w:adjustRightInd w:val="0"/>
                    <w:snapToGrid w:val="0"/>
                    <w:jc w:val="center"/>
                    <w:rPr>
                      <w:rFonts w:hint="eastAsia" w:hAnsi="宋体"/>
                      <w:b w:val="0"/>
                      <w:bCs/>
                      <w:color w:val="auto"/>
                      <w:kern w:val="0"/>
                      <w:sz w:val="21"/>
                      <w:szCs w:val="21"/>
                      <w:highlight w:val="none"/>
                    </w:rPr>
                  </w:pPr>
                </w:p>
              </w:tc>
              <w:tc>
                <w:tcPr>
                  <w:tcW w:w="662" w:type="pct"/>
                  <w:tcBorders>
                    <w:tl2br w:val="nil"/>
                    <w:tr2bl w:val="nil"/>
                  </w:tcBorders>
                  <w:noWrap w:val="0"/>
                  <w:tcMar>
                    <w:left w:w="28" w:type="dxa"/>
                    <w:right w:w="28" w:type="dxa"/>
                  </w:tcMar>
                  <w:vAlign w:val="center"/>
                </w:tcPr>
                <w:p w14:paraId="61E4116D">
                  <w:pPr>
                    <w:adjustRightInd w:val="0"/>
                    <w:snapToGrid w:val="0"/>
                    <w:jc w:val="center"/>
                    <w:rPr>
                      <w:rFonts w:hint="eastAsia" w:hAnsi="宋体"/>
                      <w:b w:val="0"/>
                      <w:bCs/>
                      <w:color w:val="auto"/>
                      <w:kern w:val="0"/>
                      <w:sz w:val="21"/>
                      <w:szCs w:val="21"/>
                      <w:highlight w:val="none"/>
                      <w:lang w:val="en-US" w:eastAsia="zh-CN"/>
                    </w:rPr>
                  </w:pPr>
                  <w:r>
                    <w:rPr>
                      <w:rFonts w:hint="eastAsia" w:hAnsi="宋体"/>
                      <w:b w:val="0"/>
                      <w:bCs/>
                      <w:color w:val="auto"/>
                      <w:kern w:val="0"/>
                      <w:sz w:val="21"/>
                      <w:szCs w:val="21"/>
                      <w:highlight w:val="none"/>
                      <w:lang w:val="en-US" w:eastAsia="zh-CN"/>
                    </w:rPr>
                    <w:t>废含油抹布</w:t>
                  </w:r>
                </w:p>
              </w:tc>
              <w:tc>
                <w:tcPr>
                  <w:tcW w:w="461" w:type="pct"/>
                  <w:tcBorders>
                    <w:tl2br w:val="nil"/>
                    <w:tr2bl w:val="nil"/>
                  </w:tcBorders>
                  <w:noWrap w:val="0"/>
                  <w:tcMar>
                    <w:left w:w="28" w:type="dxa"/>
                    <w:right w:w="28" w:type="dxa"/>
                  </w:tcMar>
                  <w:vAlign w:val="center"/>
                </w:tcPr>
                <w:p w14:paraId="4BB7AD56">
                  <w:pPr>
                    <w:adjustRightInd w:val="0"/>
                    <w:snapToGrid w:val="0"/>
                    <w:jc w:val="center"/>
                    <w:rPr>
                      <w:rFonts w:hAnsi="宋体"/>
                      <w:b w:val="0"/>
                      <w:bCs/>
                      <w:color w:val="auto"/>
                      <w:kern w:val="0"/>
                      <w:sz w:val="21"/>
                      <w:szCs w:val="21"/>
                      <w:highlight w:val="none"/>
                    </w:rPr>
                  </w:pPr>
                  <w:r>
                    <w:rPr>
                      <w:rFonts w:hAnsi="宋体"/>
                      <w:b w:val="0"/>
                      <w:bCs/>
                      <w:color w:val="auto"/>
                      <w:kern w:val="0"/>
                      <w:sz w:val="21"/>
                      <w:szCs w:val="21"/>
                      <w:highlight w:val="none"/>
                    </w:rPr>
                    <w:t>固态</w:t>
                  </w:r>
                </w:p>
              </w:tc>
              <w:tc>
                <w:tcPr>
                  <w:tcW w:w="633" w:type="pct"/>
                  <w:vMerge w:val="continue"/>
                  <w:tcBorders>
                    <w:tl2br w:val="nil"/>
                    <w:tr2bl w:val="nil"/>
                  </w:tcBorders>
                  <w:noWrap w:val="0"/>
                  <w:tcMar>
                    <w:left w:w="28" w:type="dxa"/>
                    <w:right w:w="28" w:type="dxa"/>
                  </w:tcMar>
                  <w:vAlign w:val="center"/>
                </w:tcPr>
                <w:p w14:paraId="59E8AC9C">
                  <w:pPr>
                    <w:adjustRightInd w:val="0"/>
                    <w:snapToGrid w:val="0"/>
                    <w:jc w:val="center"/>
                    <w:rPr>
                      <w:rFonts w:hint="eastAsia"/>
                      <w:b w:val="0"/>
                      <w:bCs/>
                      <w:color w:val="auto"/>
                      <w:kern w:val="0"/>
                      <w:sz w:val="21"/>
                      <w:szCs w:val="21"/>
                      <w:highlight w:val="none"/>
                    </w:rPr>
                  </w:pPr>
                </w:p>
              </w:tc>
              <w:tc>
                <w:tcPr>
                  <w:tcW w:w="534" w:type="pct"/>
                  <w:tcBorders>
                    <w:tl2br w:val="nil"/>
                    <w:tr2bl w:val="nil"/>
                  </w:tcBorders>
                  <w:noWrap w:val="0"/>
                  <w:tcMar>
                    <w:left w:w="28" w:type="dxa"/>
                    <w:right w:w="28" w:type="dxa"/>
                  </w:tcMar>
                  <w:vAlign w:val="center"/>
                </w:tcPr>
                <w:p w14:paraId="46F9B76E">
                  <w:pPr>
                    <w:adjustRightInd w:val="0"/>
                    <w:snapToGrid w:val="0"/>
                    <w:jc w:val="center"/>
                    <w:rPr>
                      <w:rFonts w:hint="default"/>
                      <w:b w:val="0"/>
                      <w:bCs/>
                      <w:color w:val="auto"/>
                      <w:kern w:val="0"/>
                      <w:sz w:val="21"/>
                      <w:szCs w:val="21"/>
                      <w:highlight w:val="none"/>
                      <w:lang w:val="en-US" w:eastAsia="zh-CN"/>
                    </w:rPr>
                  </w:pPr>
                  <w:r>
                    <w:rPr>
                      <w:rFonts w:hint="default"/>
                      <w:b w:val="0"/>
                      <w:bCs/>
                      <w:color w:val="auto"/>
                      <w:kern w:val="0"/>
                      <w:sz w:val="21"/>
                      <w:szCs w:val="21"/>
                      <w:highlight w:val="none"/>
                      <w:lang w:val="en-US" w:eastAsia="zh-CN"/>
                    </w:rPr>
                    <w:t>900-041-49</w:t>
                  </w:r>
                </w:p>
              </w:tc>
              <w:tc>
                <w:tcPr>
                  <w:tcW w:w="541" w:type="pct"/>
                  <w:tcBorders>
                    <w:tl2br w:val="nil"/>
                    <w:tr2bl w:val="nil"/>
                  </w:tcBorders>
                  <w:noWrap w:val="0"/>
                  <w:tcMar>
                    <w:left w:w="28" w:type="dxa"/>
                    <w:right w:w="28" w:type="dxa"/>
                  </w:tcMar>
                  <w:vAlign w:val="center"/>
                </w:tcPr>
                <w:p w14:paraId="761CA02A">
                  <w:pPr>
                    <w:adjustRightInd w:val="0"/>
                    <w:snapToGrid w:val="0"/>
                    <w:jc w:val="center"/>
                    <w:rPr>
                      <w:rFonts w:hint="default"/>
                      <w:b w:val="0"/>
                      <w:bCs/>
                      <w:color w:val="auto"/>
                      <w:kern w:val="0"/>
                      <w:sz w:val="21"/>
                      <w:szCs w:val="21"/>
                      <w:highlight w:val="none"/>
                      <w:lang w:val="en-US" w:eastAsia="zh-CN"/>
                    </w:rPr>
                  </w:pPr>
                  <w:r>
                    <w:rPr>
                      <w:rFonts w:hint="eastAsia"/>
                      <w:b w:val="0"/>
                      <w:bCs/>
                      <w:color w:val="auto"/>
                      <w:kern w:val="0"/>
                      <w:sz w:val="21"/>
                      <w:szCs w:val="21"/>
                      <w:highlight w:val="none"/>
                      <w:lang w:val="en-US" w:eastAsia="zh-CN"/>
                    </w:rPr>
                    <w:t>0.001</w:t>
                  </w:r>
                </w:p>
              </w:tc>
              <w:tc>
                <w:tcPr>
                  <w:tcW w:w="759" w:type="pct"/>
                  <w:vMerge w:val="continue"/>
                  <w:tcBorders>
                    <w:tl2br w:val="nil"/>
                    <w:tr2bl w:val="nil"/>
                  </w:tcBorders>
                  <w:noWrap w:val="0"/>
                  <w:tcMar>
                    <w:left w:w="28" w:type="dxa"/>
                    <w:right w:w="28" w:type="dxa"/>
                  </w:tcMar>
                  <w:vAlign w:val="center"/>
                </w:tcPr>
                <w:p w14:paraId="027F3F67">
                  <w:pPr>
                    <w:adjustRightInd w:val="0"/>
                    <w:snapToGrid w:val="0"/>
                    <w:jc w:val="center"/>
                    <w:rPr>
                      <w:rFonts w:hint="eastAsia" w:hAnsi="宋体"/>
                      <w:b w:val="0"/>
                      <w:bCs/>
                      <w:color w:val="auto"/>
                      <w:kern w:val="0"/>
                      <w:sz w:val="21"/>
                      <w:szCs w:val="21"/>
                      <w:highlight w:val="none"/>
                      <w:lang w:val="en-US" w:eastAsia="zh-CN"/>
                    </w:rPr>
                  </w:pPr>
                </w:p>
              </w:tc>
              <w:tc>
                <w:tcPr>
                  <w:tcW w:w="831" w:type="pct"/>
                  <w:vMerge w:val="continue"/>
                  <w:tcBorders>
                    <w:tl2br w:val="nil"/>
                    <w:tr2bl w:val="nil"/>
                  </w:tcBorders>
                  <w:noWrap w:val="0"/>
                  <w:tcMar>
                    <w:left w:w="28" w:type="dxa"/>
                    <w:right w:w="28" w:type="dxa"/>
                  </w:tcMar>
                  <w:vAlign w:val="center"/>
                </w:tcPr>
                <w:p w14:paraId="5CD4B35E">
                  <w:pPr>
                    <w:adjustRightInd w:val="0"/>
                    <w:snapToGrid w:val="0"/>
                    <w:jc w:val="center"/>
                    <w:rPr>
                      <w:rFonts w:hint="eastAsia"/>
                      <w:b w:val="0"/>
                      <w:bCs/>
                      <w:color w:val="auto"/>
                      <w:kern w:val="0"/>
                      <w:sz w:val="21"/>
                      <w:szCs w:val="21"/>
                      <w:highlight w:val="none"/>
                      <w:lang w:val="en-US" w:eastAsia="zh-CN"/>
                    </w:rPr>
                  </w:pPr>
                </w:p>
              </w:tc>
            </w:tr>
          </w:tbl>
          <w:p w14:paraId="1AB6DE0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ascii="Times New Roman" w:hAnsi="Times New Roman" w:eastAsia="宋体" w:cs="Times New Roman"/>
                <w:b/>
                <w:bCs w:val="0"/>
                <w:color w:val="auto"/>
                <w:kern w:val="0"/>
                <w:sz w:val="24"/>
                <w:szCs w:val="24"/>
                <w:highlight w:val="none"/>
              </w:rPr>
            </w:pPr>
            <w:r>
              <w:rPr>
                <w:rFonts w:hint="eastAsia" w:cs="Times New Roman"/>
                <w:b/>
                <w:bCs w:val="0"/>
                <w:color w:val="auto"/>
                <w:kern w:val="0"/>
                <w:sz w:val="24"/>
                <w:szCs w:val="24"/>
                <w:highlight w:val="none"/>
                <w:lang w:eastAsia="zh-CN"/>
              </w:rPr>
              <w:t>5.</w:t>
            </w:r>
            <w:r>
              <w:rPr>
                <w:rFonts w:ascii="Times New Roman" w:hAnsi="Times New Roman" w:eastAsia="宋体" w:cs="Times New Roman"/>
                <w:b/>
                <w:bCs w:val="0"/>
                <w:color w:val="auto"/>
                <w:kern w:val="0"/>
                <w:sz w:val="24"/>
                <w:szCs w:val="24"/>
                <w:highlight w:val="none"/>
              </w:rPr>
              <w:t>地下水环境影响和保护措施</w:t>
            </w:r>
          </w:p>
          <w:p w14:paraId="33B75E82">
            <w:pPr>
              <w:adjustRightInd w:val="0"/>
              <w:snapToGrid w:val="0"/>
              <w:spacing w:line="360" w:lineRule="auto"/>
              <w:ind w:firstLine="480" w:firstLineChars="200"/>
              <w:rPr>
                <w:rFonts w:hint="eastAsia"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lang w:val="en-US" w:eastAsia="zh-CN"/>
              </w:rPr>
              <w:t>本项目为集中供热建设项目，供水由当地自来水管网供给，不取用地下水，因此，项目用水对地下水水位影响较小。</w:t>
            </w:r>
            <w:r>
              <w:rPr>
                <w:rFonts w:hint="eastAsia" w:hAnsi="宋体" w:cs="Times New Roman"/>
                <w:color w:val="auto"/>
                <w:sz w:val="24"/>
                <w:szCs w:val="24"/>
                <w:highlight w:val="none"/>
                <w:lang w:val="en-US" w:eastAsia="zh-CN"/>
              </w:rPr>
              <w:t>项目</w:t>
            </w:r>
            <w:r>
              <w:rPr>
                <w:rFonts w:hint="eastAsia" w:hAnsi="宋体"/>
                <w:b w:val="0"/>
                <w:bCs w:val="0"/>
                <w:color w:val="auto"/>
                <w:sz w:val="24"/>
                <w:szCs w:val="24"/>
                <w:highlight w:val="none"/>
                <w:lang w:val="en-US" w:eastAsia="zh-CN"/>
              </w:rPr>
              <w:t>润滑油不在热源站储存，废润滑油采用桶装，下面设置防渗托盘，对地面进行硬化处理，</w:t>
            </w:r>
            <w:r>
              <w:rPr>
                <w:rFonts w:hint="eastAsia" w:ascii="Times New Roman" w:hAnsi="宋体" w:eastAsia="宋体" w:cs="Times New Roman"/>
                <w:color w:val="auto"/>
                <w:sz w:val="24"/>
                <w:szCs w:val="24"/>
                <w:highlight w:val="none"/>
                <w:lang w:val="en-US" w:eastAsia="zh-CN"/>
              </w:rPr>
              <w:t>不会对地下水环境产生影响。</w:t>
            </w:r>
          </w:p>
          <w:p w14:paraId="49A10EE6">
            <w:pPr>
              <w:adjustRightInd w:val="0"/>
              <w:snapToGrid w:val="0"/>
              <w:spacing w:line="360" w:lineRule="auto"/>
              <w:ind w:firstLine="482" w:firstLineChars="200"/>
              <w:rPr>
                <w:rFonts w:hint="eastAsia" w:ascii="Times New Roman" w:hAnsi="宋体" w:eastAsia="宋体" w:cs="Times New Roman"/>
                <w:b/>
                <w:bCs/>
                <w:color w:val="auto"/>
                <w:sz w:val="24"/>
                <w:szCs w:val="24"/>
                <w:highlight w:val="none"/>
                <w:lang w:val="en-US" w:eastAsia="zh-CN"/>
              </w:rPr>
            </w:pPr>
            <w:r>
              <w:rPr>
                <w:rFonts w:hint="eastAsia" w:hAnsi="宋体" w:cs="Times New Roman"/>
                <w:b/>
                <w:bCs/>
                <w:color w:val="auto"/>
                <w:sz w:val="24"/>
                <w:szCs w:val="24"/>
                <w:highlight w:val="none"/>
                <w:lang w:val="en-US" w:eastAsia="zh-CN"/>
              </w:rPr>
              <w:t>6.</w:t>
            </w:r>
            <w:r>
              <w:rPr>
                <w:rFonts w:hint="eastAsia" w:ascii="Times New Roman" w:hAnsi="宋体" w:eastAsia="宋体" w:cs="Times New Roman"/>
                <w:b/>
                <w:bCs/>
                <w:color w:val="auto"/>
                <w:sz w:val="24"/>
                <w:szCs w:val="24"/>
                <w:highlight w:val="none"/>
                <w:lang w:val="en-US" w:eastAsia="zh-CN"/>
              </w:rPr>
              <w:t>土壤环境影响和保护措施</w:t>
            </w:r>
          </w:p>
          <w:p w14:paraId="5A5EFAC1">
            <w:pPr>
              <w:adjustRightInd w:val="0"/>
              <w:snapToGrid w:val="0"/>
              <w:spacing w:line="360" w:lineRule="auto"/>
              <w:ind w:firstLine="480" w:firstLineChars="200"/>
              <w:rPr>
                <w:rFonts w:hint="eastAsia"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lang w:val="en-US" w:eastAsia="zh-CN"/>
              </w:rPr>
              <w:t>本项目为集中供热建设项目，</w:t>
            </w:r>
            <w:r>
              <w:rPr>
                <w:rFonts w:hint="eastAsia" w:hAnsi="宋体"/>
                <w:b w:val="0"/>
                <w:bCs w:val="0"/>
                <w:color w:val="auto"/>
                <w:sz w:val="24"/>
                <w:szCs w:val="24"/>
                <w:highlight w:val="none"/>
                <w:lang w:val="en-US" w:eastAsia="zh-CN"/>
              </w:rPr>
              <w:t>废气主要为颗粒物、SO</w:t>
            </w:r>
            <w:r>
              <w:rPr>
                <w:rFonts w:hint="eastAsia" w:hAnsi="宋体"/>
                <w:b w:val="0"/>
                <w:bCs w:val="0"/>
                <w:color w:val="auto"/>
                <w:sz w:val="24"/>
                <w:szCs w:val="24"/>
                <w:highlight w:val="none"/>
                <w:vertAlign w:val="subscript"/>
                <w:lang w:val="en-US" w:eastAsia="zh-CN"/>
              </w:rPr>
              <w:t>2</w:t>
            </w:r>
            <w:r>
              <w:rPr>
                <w:rFonts w:hint="eastAsia" w:hAnsi="宋体"/>
                <w:b w:val="0"/>
                <w:bCs w:val="0"/>
                <w:color w:val="auto"/>
                <w:sz w:val="24"/>
                <w:szCs w:val="24"/>
                <w:highlight w:val="none"/>
                <w:lang w:val="en-US" w:eastAsia="zh-CN"/>
              </w:rPr>
              <w:t>和NO</w:t>
            </w:r>
            <w:r>
              <w:rPr>
                <w:rFonts w:hint="eastAsia" w:hAnsi="宋体"/>
                <w:b w:val="0"/>
                <w:bCs w:val="0"/>
                <w:color w:val="auto"/>
                <w:sz w:val="24"/>
                <w:szCs w:val="24"/>
                <w:highlight w:val="none"/>
                <w:vertAlign w:val="subscript"/>
                <w:lang w:val="en-US" w:eastAsia="zh-CN"/>
              </w:rPr>
              <w:t>x</w:t>
            </w:r>
            <w:r>
              <w:rPr>
                <w:rFonts w:hint="eastAsia" w:hAnsi="宋体"/>
                <w:b w:val="0"/>
                <w:bCs w:val="0"/>
                <w:color w:val="auto"/>
                <w:sz w:val="24"/>
                <w:szCs w:val="24"/>
                <w:highlight w:val="none"/>
                <w:lang w:val="en-US" w:eastAsia="zh-CN"/>
              </w:rPr>
              <w:t>，</w:t>
            </w:r>
            <w:r>
              <w:rPr>
                <w:rFonts w:hint="eastAsia" w:hAnsi="宋体"/>
                <w:b w:val="0"/>
                <w:bCs w:val="0"/>
                <w:color w:val="auto"/>
                <w:sz w:val="24"/>
                <w:szCs w:val="24"/>
                <w:highlight w:val="none"/>
              </w:rPr>
              <w:t>不涉及重金属、有毒有害物质及难降解和持久性有机污染物，沉降至地表的颗粒物不会对周围土壤环境产生影响，</w:t>
            </w:r>
            <w:r>
              <w:rPr>
                <w:rFonts w:hint="eastAsia" w:hAnsi="宋体" w:cs="Times New Roman"/>
                <w:color w:val="auto"/>
                <w:sz w:val="24"/>
                <w:szCs w:val="24"/>
                <w:highlight w:val="none"/>
                <w:lang w:val="en-US" w:eastAsia="zh-CN"/>
              </w:rPr>
              <w:t>项目</w:t>
            </w:r>
            <w:r>
              <w:rPr>
                <w:rFonts w:hint="eastAsia" w:hAnsi="宋体"/>
                <w:b w:val="0"/>
                <w:bCs w:val="0"/>
                <w:color w:val="auto"/>
                <w:sz w:val="24"/>
                <w:szCs w:val="24"/>
                <w:highlight w:val="none"/>
                <w:lang w:val="en-US" w:eastAsia="zh-CN"/>
              </w:rPr>
              <w:t>润滑油不在热源站储存，废润滑油采用桶装，下面设置防渗托盘，地面进行硬化处理，</w:t>
            </w:r>
            <w:r>
              <w:rPr>
                <w:rFonts w:hint="eastAsia" w:ascii="Times New Roman" w:hAnsi="宋体" w:eastAsia="宋体" w:cs="Times New Roman"/>
                <w:color w:val="auto"/>
                <w:sz w:val="24"/>
                <w:szCs w:val="24"/>
                <w:highlight w:val="none"/>
                <w:lang w:val="en-US" w:eastAsia="zh-CN"/>
              </w:rPr>
              <w:t>不会对土壤环境产生影响。</w:t>
            </w:r>
          </w:p>
          <w:p w14:paraId="79F8BFB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Ansi="宋体"/>
                <w:b/>
                <w:bCs w:val="0"/>
                <w:color w:val="auto"/>
                <w:kern w:val="0"/>
                <w:sz w:val="24"/>
                <w:szCs w:val="24"/>
                <w:highlight w:val="none"/>
              </w:rPr>
            </w:pPr>
            <w:r>
              <w:rPr>
                <w:rFonts w:hint="eastAsia"/>
                <w:b/>
                <w:bCs w:val="0"/>
                <w:color w:val="auto"/>
                <w:kern w:val="0"/>
                <w:sz w:val="24"/>
                <w:szCs w:val="24"/>
                <w:highlight w:val="none"/>
                <w:lang w:val="en-US" w:eastAsia="zh-CN"/>
              </w:rPr>
              <w:t>7.</w:t>
            </w:r>
            <w:r>
              <w:rPr>
                <w:rFonts w:hint="eastAsia" w:hAnsi="宋体"/>
                <w:b/>
                <w:bCs w:val="0"/>
                <w:color w:val="auto"/>
                <w:kern w:val="0"/>
                <w:sz w:val="24"/>
                <w:szCs w:val="24"/>
                <w:highlight w:val="none"/>
              </w:rPr>
              <w:t>环境风险影响和保护措施</w:t>
            </w:r>
          </w:p>
          <w:p w14:paraId="0CF27FE0">
            <w:pPr>
              <w:keepNext w:val="0"/>
              <w:keepLines w:val="0"/>
              <w:pageBreakBefore w:val="0"/>
              <w:widowControl w:val="0"/>
              <w:kinsoku/>
              <w:wordWrap/>
              <w:overflowPunct/>
              <w:topLinePunct w:val="0"/>
              <w:autoSpaceDE/>
              <w:autoSpaceDN/>
              <w:bidi w:val="0"/>
              <w:adjustRightInd w:val="0"/>
              <w:spacing w:line="360" w:lineRule="auto"/>
              <w:ind w:firstLine="480" w:firstLineChars="200"/>
              <w:jc w:val="both"/>
              <w:textAlignment w:val="auto"/>
              <w:rPr>
                <w:b w:val="0"/>
                <w:bCs/>
                <w:color w:val="auto"/>
                <w:sz w:val="24"/>
                <w:szCs w:val="24"/>
                <w:highlight w:val="none"/>
              </w:rPr>
            </w:pPr>
            <w:r>
              <w:rPr>
                <w:b w:val="0"/>
                <w:bCs/>
                <w:color w:val="auto"/>
                <w:sz w:val="24"/>
                <w:szCs w:val="24"/>
                <w:highlight w:val="none"/>
              </w:rPr>
              <w:t>依据《关于进一步加强环境影响评价管理防范环境风险的通知》（环发</w:t>
            </w:r>
            <w:r>
              <w:rPr>
                <w:rFonts w:hint="eastAsia"/>
                <w:b w:val="0"/>
                <w:bCs/>
                <w:color w:val="auto"/>
                <w:sz w:val="24"/>
                <w:szCs w:val="24"/>
                <w:highlight w:val="none"/>
                <w:lang w:eastAsia="zh-CN"/>
              </w:rPr>
              <w:t>〔</w:t>
            </w:r>
            <w:r>
              <w:rPr>
                <w:b w:val="0"/>
                <w:bCs/>
                <w:color w:val="auto"/>
                <w:sz w:val="24"/>
                <w:szCs w:val="24"/>
                <w:highlight w:val="none"/>
              </w:rPr>
              <w:t>2012</w:t>
            </w:r>
            <w:r>
              <w:rPr>
                <w:rFonts w:hint="eastAsia"/>
                <w:b w:val="0"/>
                <w:bCs/>
                <w:color w:val="auto"/>
                <w:sz w:val="24"/>
                <w:szCs w:val="24"/>
                <w:highlight w:val="none"/>
                <w:lang w:eastAsia="zh-CN"/>
              </w:rPr>
              <w:t>〕</w:t>
            </w:r>
            <w:r>
              <w:rPr>
                <w:b w:val="0"/>
                <w:bCs/>
                <w:color w:val="auto"/>
                <w:sz w:val="24"/>
                <w:szCs w:val="24"/>
                <w:highlight w:val="none"/>
              </w:rPr>
              <w:t>77号）和《建设项目环境风险评价技术导则》（HJT169-2018），通过对本项目进行风险识别，进行风险评价，提出减缓风险的措施，为环境管理提供资料和依据，达到降低危险、减少危害的目的。</w:t>
            </w:r>
          </w:p>
          <w:p w14:paraId="608B7BA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b w:val="0"/>
                <w:bCs/>
                <w:color w:val="auto"/>
                <w:sz w:val="24"/>
                <w:szCs w:val="24"/>
                <w:highlight w:val="none"/>
              </w:rPr>
            </w:pPr>
            <w:r>
              <w:rPr>
                <w:b w:val="0"/>
                <w:bCs/>
                <w:color w:val="auto"/>
                <w:sz w:val="24"/>
                <w:szCs w:val="24"/>
                <w:highlight w:val="none"/>
              </w:rPr>
              <w:t>⑴风险识别</w:t>
            </w:r>
          </w:p>
          <w:p w14:paraId="7B7E11CD">
            <w:pPr>
              <w:pStyle w:val="20"/>
              <w:keepNext w:val="0"/>
              <w:keepLines w:val="0"/>
              <w:pageBreakBefore w:val="0"/>
              <w:widowControl w:val="0"/>
              <w:kinsoku/>
              <w:wordWrap/>
              <w:overflowPunct/>
              <w:topLinePunct w:val="0"/>
              <w:autoSpaceDE/>
              <w:autoSpaceDN/>
              <w:bidi w:val="0"/>
              <w:snapToGrid w:val="0"/>
              <w:spacing w:after="0" w:line="360" w:lineRule="auto"/>
              <w:ind w:left="0" w:leftChars="0" w:firstLine="480" w:firstLineChars="200"/>
              <w:jc w:val="both"/>
              <w:textAlignment w:val="auto"/>
              <w:rPr>
                <w:rFonts w:ascii="Times New Roman" w:hAnsi="Times New Roman"/>
                <w:b w:val="0"/>
                <w:bCs/>
                <w:color w:val="auto"/>
                <w:sz w:val="24"/>
                <w:szCs w:val="24"/>
                <w:highlight w:val="none"/>
              </w:rPr>
            </w:pPr>
            <w:r>
              <w:rPr>
                <w:rFonts w:ascii="Times New Roman" w:hAnsi="Times New Roman"/>
                <w:b w:val="0"/>
                <w:bCs/>
                <w:color w:val="auto"/>
                <w:sz w:val="24"/>
                <w:szCs w:val="24"/>
                <w:highlight w:val="none"/>
              </w:rPr>
              <w:t>经与《建设项目环境风险评价技术导则》（HJ169-2018）附录B对照，本项目实际的危险物质为天然气（甲烷）</w:t>
            </w:r>
            <w:r>
              <w:rPr>
                <w:rFonts w:hint="eastAsia" w:ascii="Times New Roman" w:hAnsi="Times New Roman"/>
                <w:b w:val="0"/>
                <w:bCs/>
                <w:color w:val="auto"/>
                <w:sz w:val="24"/>
                <w:szCs w:val="24"/>
                <w:highlight w:val="none"/>
                <w:lang w:eastAsia="zh-CN"/>
              </w:rPr>
              <w:t>、</w:t>
            </w:r>
            <w:r>
              <w:rPr>
                <w:rFonts w:hint="eastAsia" w:ascii="Times New Roman" w:hAnsi="Times New Roman"/>
                <w:b w:val="0"/>
                <w:bCs/>
                <w:color w:val="auto"/>
                <w:sz w:val="24"/>
                <w:szCs w:val="24"/>
                <w:highlight w:val="none"/>
                <w:lang w:val="en-US" w:eastAsia="zh-CN"/>
              </w:rPr>
              <w:t>润滑油（热源站不储存）和废润滑油</w:t>
            </w:r>
            <w:r>
              <w:rPr>
                <w:rFonts w:ascii="Times New Roman" w:hAnsi="Times New Roman"/>
                <w:b w:val="0"/>
                <w:bCs/>
                <w:color w:val="auto"/>
                <w:sz w:val="24"/>
                <w:szCs w:val="24"/>
                <w:highlight w:val="none"/>
              </w:rPr>
              <w:t>。</w:t>
            </w:r>
          </w:p>
          <w:p w14:paraId="5668E9A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eastAsia="宋体"/>
                <w:b w:val="0"/>
                <w:bCs/>
                <w:color w:val="auto"/>
                <w:sz w:val="24"/>
                <w:szCs w:val="24"/>
                <w:highlight w:val="none"/>
                <w:lang w:val="en-US" w:eastAsia="zh-CN"/>
              </w:rPr>
            </w:pPr>
            <w:r>
              <w:rPr>
                <w:b w:val="0"/>
                <w:bCs/>
                <w:color w:val="auto"/>
                <w:sz w:val="24"/>
                <w:szCs w:val="24"/>
                <w:highlight w:val="none"/>
              </w:rPr>
              <w:t>根据《建设项目环境风险评价技术导则》（HJ169-2018）附录B，天然气（甲烷）的临界量为10t。本项目使用的天然气为管道天然气，厂内不储存。对于长输管线项目，按照阀室之间管段危险物质最大存在量计算</w:t>
            </w:r>
            <w:r>
              <w:rPr>
                <w:rFonts w:hint="eastAsia"/>
                <w:b w:val="0"/>
                <w:bCs/>
                <w:color w:val="auto"/>
                <w:sz w:val="24"/>
                <w:szCs w:val="24"/>
                <w:highlight w:val="none"/>
              </w:rPr>
              <w:t>，</w:t>
            </w:r>
            <w:r>
              <w:rPr>
                <w:rFonts w:hint="eastAsia"/>
                <w:b w:val="0"/>
                <w:bCs/>
                <w:color w:val="auto"/>
                <w:sz w:val="24"/>
                <w:szCs w:val="24"/>
                <w:highlight w:val="none"/>
                <w:lang w:val="en-US" w:eastAsia="zh-CN"/>
              </w:rPr>
              <w:t>项目锅炉房</w:t>
            </w:r>
            <w:r>
              <w:rPr>
                <w:b w:val="0"/>
                <w:bCs/>
                <w:color w:val="auto"/>
                <w:sz w:val="24"/>
                <w:szCs w:val="24"/>
                <w:highlight w:val="none"/>
              </w:rPr>
              <w:t>阀室之间管段长度合计约为</w:t>
            </w:r>
            <w:r>
              <w:rPr>
                <w:rFonts w:hint="eastAsia"/>
                <w:b w:val="0"/>
                <w:bCs/>
                <w:color w:val="auto"/>
                <w:sz w:val="24"/>
                <w:szCs w:val="24"/>
                <w:highlight w:val="none"/>
                <w:lang w:val="en-US" w:eastAsia="zh-CN"/>
              </w:rPr>
              <w:t>25</w:t>
            </w:r>
            <w:r>
              <w:rPr>
                <w:b w:val="0"/>
                <w:bCs/>
                <w:color w:val="auto"/>
                <w:sz w:val="24"/>
                <w:szCs w:val="24"/>
                <w:highlight w:val="none"/>
              </w:rPr>
              <w:t>m，管径约为</w:t>
            </w:r>
            <w:r>
              <w:rPr>
                <w:rFonts w:hint="eastAsia"/>
                <w:b w:val="0"/>
                <w:bCs/>
                <w:color w:val="auto"/>
                <w:sz w:val="24"/>
                <w:szCs w:val="24"/>
                <w:highlight w:val="none"/>
              </w:rPr>
              <w:t>0.</w:t>
            </w:r>
            <w:r>
              <w:rPr>
                <w:rFonts w:hint="eastAsia"/>
                <w:b w:val="0"/>
                <w:bCs/>
                <w:color w:val="auto"/>
                <w:sz w:val="24"/>
                <w:szCs w:val="24"/>
                <w:highlight w:val="none"/>
                <w:lang w:val="en-US" w:eastAsia="zh-CN"/>
              </w:rPr>
              <w:t>1</w:t>
            </w:r>
            <w:r>
              <w:rPr>
                <w:b w:val="0"/>
                <w:bCs/>
                <w:color w:val="auto"/>
                <w:sz w:val="24"/>
                <w:szCs w:val="24"/>
                <w:highlight w:val="none"/>
              </w:rPr>
              <w:t>m，1m</w:t>
            </w:r>
            <w:r>
              <w:rPr>
                <w:b w:val="0"/>
                <w:bCs/>
                <w:color w:val="auto"/>
                <w:sz w:val="24"/>
                <w:szCs w:val="24"/>
                <w:highlight w:val="none"/>
                <w:vertAlign w:val="superscript"/>
              </w:rPr>
              <w:t>3</w:t>
            </w:r>
            <w:r>
              <w:rPr>
                <w:b w:val="0"/>
                <w:bCs/>
                <w:color w:val="auto"/>
                <w:sz w:val="24"/>
                <w:szCs w:val="24"/>
                <w:highlight w:val="none"/>
              </w:rPr>
              <w:t>天然气的重量约为0.7</w:t>
            </w:r>
            <w:r>
              <w:rPr>
                <w:rFonts w:hint="eastAsia"/>
                <w:b w:val="0"/>
                <w:bCs/>
                <w:color w:val="auto"/>
                <w:sz w:val="24"/>
                <w:szCs w:val="24"/>
                <w:highlight w:val="none"/>
              </w:rPr>
              <w:t>k</w:t>
            </w:r>
            <w:r>
              <w:rPr>
                <w:b w:val="0"/>
                <w:bCs/>
                <w:color w:val="auto"/>
                <w:sz w:val="24"/>
                <w:szCs w:val="24"/>
                <w:highlight w:val="none"/>
              </w:rPr>
              <w:t>g，管道内压力小于0.2MPa，则</w:t>
            </w:r>
            <w:r>
              <w:rPr>
                <w:rFonts w:hint="eastAsia"/>
                <w:b w:val="0"/>
                <w:bCs/>
                <w:color w:val="auto"/>
                <w:sz w:val="24"/>
                <w:szCs w:val="24"/>
                <w:highlight w:val="none"/>
              </w:rPr>
              <w:t>锅炉房</w:t>
            </w:r>
            <w:r>
              <w:rPr>
                <w:b w:val="0"/>
                <w:bCs/>
                <w:color w:val="auto"/>
                <w:sz w:val="24"/>
                <w:szCs w:val="24"/>
                <w:highlight w:val="none"/>
              </w:rPr>
              <w:t>管道天然气的量约为</w:t>
            </w:r>
            <w:r>
              <w:rPr>
                <w:rFonts w:hint="eastAsia"/>
                <w:b w:val="0"/>
                <w:bCs/>
                <w:color w:val="auto"/>
                <w:sz w:val="24"/>
                <w:szCs w:val="24"/>
                <w:highlight w:val="none"/>
                <w:lang w:val="en-US" w:eastAsia="zh-CN"/>
              </w:rPr>
              <w:t>0.137</w:t>
            </w:r>
            <w:r>
              <w:rPr>
                <w:b w:val="0"/>
                <w:bCs/>
                <w:color w:val="auto"/>
                <w:sz w:val="24"/>
                <w:szCs w:val="24"/>
                <w:highlight w:val="none"/>
              </w:rPr>
              <w:t>kg。</w:t>
            </w:r>
          </w:p>
          <w:p w14:paraId="10618DD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b w:val="0"/>
                <w:bCs/>
                <w:color w:val="auto"/>
                <w:sz w:val="24"/>
                <w:szCs w:val="24"/>
                <w:highlight w:val="none"/>
              </w:rPr>
            </w:pPr>
            <w:r>
              <w:rPr>
                <w:b w:val="0"/>
                <w:bCs/>
                <w:color w:val="auto"/>
                <w:sz w:val="24"/>
                <w:szCs w:val="24"/>
                <w:highlight w:val="none"/>
              </w:rPr>
              <w:t>⑵风险评价等级判定</w:t>
            </w:r>
          </w:p>
          <w:p w14:paraId="10F6C298">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b w:val="0"/>
                <w:bCs/>
                <w:color w:val="auto"/>
                <w:sz w:val="24"/>
                <w:szCs w:val="24"/>
                <w:highlight w:val="none"/>
              </w:rPr>
            </w:pPr>
            <w:r>
              <w:rPr>
                <w:b w:val="0"/>
                <w:bCs/>
                <w:color w:val="auto"/>
                <w:sz w:val="24"/>
                <w:szCs w:val="24"/>
                <w:highlight w:val="none"/>
              </w:rPr>
              <w:t>根据《建设项目环境风险评价技术导则》（HJ169－2018）附录B，Q值的确定按下式：</w:t>
            </w:r>
          </w:p>
          <w:p w14:paraId="334E119B">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b w:val="0"/>
                <w:bCs/>
                <w:color w:val="auto"/>
                <w:sz w:val="24"/>
                <w:szCs w:val="24"/>
                <w:highlight w:val="none"/>
              </w:rPr>
            </w:pPr>
            <w:r>
              <w:rPr>
                <w:b w:val="0"/>
                <w:bCs/>
                <w:color w:val="auto"/>
                <w:sz w:val="24"/>
                <w:szCs w:val="24"/>
                <w:highlight w:val="none"/>
              </w:rPr>
              <w:t>Q= q1/Q1+q2/Q2……</w:t>
            </w:r>
            <w:r>
              <w:rPr>
                <w:rFonts w:hint="eastAsia"/>
                <w:b w:val="0"/>
                <w:bCs/>
                <w:color w:val="auto"/>
                <w:sz w:val="24"/>
                <w:szCs w:val="24"/>
                <w:highlight w:val="none"/>
                <w:lang w:eastAsia="zh-CN"/>
              </w:rPr>
              <w:t>+</w:t>
            </w:r>
            <w:r>
              <w:rPr>
                <w:b w:val="0"/>
                <w:bCs/>
                <w:color w:val="auto"/>
                <w:sz w:val="24"/>
                <w:szCs w:val="24"/>
                <w:highlight w:val="none"/>
              </w:rPr>
              <w:t>qn/Qn</w:t>
            </w:r>
          </w:p>
          <w:p w14:paraId="65C3FF6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b w:val="0"/>
                <w:bCs/>
                <w:color w:val="auto"/>
                <w:sz w:val="24"/>
                <w:szCs w:val="24"/>
                <w:highlight w:val="none"/>
              </w:rPr>
            </w:pPr>
            <w:r>
              <w:rPr>
                <w:b w:val="0"/>
                <w:bCs/>
                <w:color w:val="auto"/>
                <w:sz w:val="24"/>
                <w:szCs w:val="24"/>
                <w:highlight w:val="none"/>
              </w:rPr>
              <w:t>式中：q1，q2…，qn为每种危险物质的最大存在总量，t。</w:t>
            </w:r>
          </w:p>
          <w:p w14:paraId="266DCD5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b w:val="0"/>
                <w:bCs/>
                <w:color w:val="auto"/>
                <w:sz w:val="24"/>
                <w:szCs w:val="24"/>
                <w:highlight w:val="none"/>
              </w:rPr>
            </w:pPr>
            <w:r>
              <w:rPr>
                <w:b w:val="0"/>
                <w:bCs/>
                <w:color w:val="auto"/>
                <w:sz w:val="24"/>
                <w:szCs w:val="24"/>
                <w:highlight w:val="none"/>
              </w:rPr>
              <w:t>Q1，Q2…Qn为每种危险物质的临界量，t。</w:t>
            </w:r>
          </w:p>
          <w:p w14:paraId="0E2A23CA">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b w:val="0"/>
                <w:bCs/>
                <w:color w:val="auto"/>
                <w:sz w:val="24"/>
                <w:szCs w:val="24"/>
                <w:highlight w:val="none"/>
              </w:rPr>
            </w:pPr>
            <w:r>
              <w:rPr>
                <w:b w:val="0"/>
                <w:bCs/>
                <w:color w:val="auto"/>
                <w:sz w:val="24"/>
                <w:szCs w:val="24"/>
                <w:highlight w:val="none"/>
              </w:rPr>
              <w:t>本项目Q值确定见表</w:t>
            </w:r>
            <w:r>
              <w:rPr>
                <w:rFonts w:hint="eastAsia"/>
                <w:b w:val="0"/>
                <w:bCs/>
                <w:color w:val="auto"/>
                <w:sz w:val="24"/>
                <w:szCs w:val="24"/>
                <w:highlight w:val="none"/>
              </w:rPr>
              <w:t>4-</w:t>
            </w:r>
            <w:r>
              <w:rPr>
                <w:rFonts w:hint="eastAsia"/>
                <w:b w:val="0"/>
                <w:bCs/>
                <w:color w:val="auto"/>
                <w:sz w:val="24"/>
                <w:szCs w:val="24"/>
                <w:highlight w:val="none"/>
                <w:lang w:val="en-US" w:eastAsia="zh-CN"/>
              </w:rPr>
              <w:t>11</w:t>
            </w:r>
            <w:r>
              <w:rPr>
                <w:b w:val="0"/>
                <w:bCs/>
                <w:color w:val="auto"/>
                <w:sz w:val="24"/>
                <w:szCs w:val="24"/>
                <w:highlight w:val="none"/>
              </w:rPr>
              <w:t>。</w:t>
            </w:r>
          </w:p>
          <w:p w14:paraId="22946DB3">
            <w:pPr>
              <w:keepNext w:val="0"/>
              <w:keepLines w:val="0"/>
              <w:pageBreakBefore w:val="0"/>
              <w:widowControl w:val="0"/>
              <w:kinsoku/>
              <w:wordWrap/>
              <w:overflowPunct/>
              <w:topLinePunct w:val="0"/>
              <w:autoSpaceDE/>
              <w:autoSpaceDN/>
              <w:bidi w:val="0"/>
              <w:spacing w:line="240" w:lineRule="auto"/>
              <w:ind w:firstLine="482" w:firstLineChars="200"/>
              <w:jc w:val="center"/>
              <w:textAlignment w:val="auto"/>
              <w:rPr>
                <w:b/>
                <w:bCs w:val="0"/>
                <w:color w:val="auto"/>
                <w:sz w:val="24"/>
                <w:szCs w:val="24"/>
                <w:highlight w:val="none"/>
              </w:rPr>
            </w:pPr>
            <w:r>
              <w:rPr>
                <w:b/>
                <w:bCs w:val="0"/>
                <w:color w:val="auto"/>
                <w:sz w:val="24"/>
                <w:szCs w:val="24"/>
                <w:highlight w:val="none"/>
              </w:rPr>
              <w:t>表</w:t>
            </w:r>
            <w:r>
              <w:rPr>
                <w:rFonts w:hint="eastAsia"/>
                <w:b/>
                <w:bCs w:val="0"/>
                <w:color w:val="auto"/>
                <w:sz w:val="24"/>
                <w:szCs w:val="24"/>
                <w:highlight w:val="none"/>
              </w:rPr>
              <w:t>4-</w:t>
            </w:r>
            <w:r>
              <w:rPr>
                <w:rFonts w:hint="eastAsia"/>
                <w:b/>
                <w:bCs w:val="0"/>
                <w:color w:val="auto"/>
                <w:sz w:val="24"/>
                <w:szCs w:val="24"/>
                <w:highlight w:val="none"/>
                <w:lang w:val="en-US" w:eastAsia="zh-CN"/>
              </w:rPr>
              <w:t>11</w:t>
            </w:r>
            <w:r>
              <w:rPr>
                <w:b/>
                <w:bCs w:val="0"/>
                <w:color w:val="auto"/>
                <w:sz w:val="24"/>
                <w:szCs w:val="24"/>
                <w:highlight w:val="none"/>
              </w:rPr>
              <w:t xml:space="preserve">  </w:t>
            </w:r>
            <w:r>
              <w:rPr>
                <w:rFonts w:hint="eastAsia"/>
                <w:b/>
                <w:bCs w:val="0"/>
                <w:color w:val="auto"/>
                <w:sz w:val="24"/>
                <w:szCs w:val="24"/>
                <w:highlight w:val="none"/>
                <w:lang w:val="en-US" w:eastAsia="zh-CN"/>
              </w:rPr>
              <w:t xml:space="preserve"> 项目</w:t>
            </w:r>
            <w:r>
              <w:rPr>
                <w:b/>
                <w:bCs w:val="0"/>
                <w:color w:val="auto"/>
                <w:sz w:val="24"/>
                <w:szCs w:val="24"/>
                <w:highlight w:val="none"/>
              </w:rPr>
              <w:t>环境风险物质存在量及Q值确定表</w:t>
            </w:r>
          </w:p>
          <w:tbl>
            <w:tblPr>
              <w:tblStyle w:val="37"/>
              <w:tblW w:w="0" w:type="auto"/>
              <w:tblInd w:w="6"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11"/>
              <w:gridCol w:w="1527"/>
              <w:gridCol w:w="935"/>
              <w:gridCol w:w="1759"/>
              <w:gridCol w:w="1259"/>
              <w:gridCol w:w="1377"/>
            </w:tblGrid>
            <w:tr w14:paraId="120259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11" w:type="dxa"/>
                  <w:tcBorders>
                    <w:tl2br w:val="nil"/>
                    <w:tr2bl w:val="nil"/>
                  </w:tcBorders>
                  <w:noWrap w:val="0"/>
                  <w:vAlign w:val="center"/>
                </w:tcPr>
                <w:p w14:paraId="10D56DDA">
                  <w:pPr>
                    <w:jc w:val="center"/>
                    <w:rPr>
                      <w:b/>
                      <w:bCs w:val="0"/>
                      <w:color w:val="auto"/>
                      <w:sz w:val="21"/>
                      <w:szCs w:val="21"/>
                      <w:highlight w:val="none"/>
                    </w:rPr>
                  </w:pPr>
                  <w:r>
                    <w:rPr>
                      <w:b/>
                      <w:bCs w:val="0"/>
                      <w:color w:val="auto"/>
                      <w:sz w:val="21"/>
                      <w:szCs w:val="21"/>
                      <w:highlight w:val="none"/>
                    </w:rPr>
                    <w:t>名称</w:t>
                  </w:r>
                </w:p>
              </w:tc>
              <w:tc>
                <w:tcPr>
                  <w:tcW w:w="1527" w:type="dxa"/>
                  <w:tcBorders>
                    <w:tl2br w:val="nil"/>
                    <w:tr2bl w:val="nil"/>
                  </w:tcBorders>
                  <w:noWrap w:val="0"/>
                  <w:vAlign w:val="center"/>
                </w:tcPr>
                <w:p w14:paraId="2DA4F05E">
                  <w:pPr>
                    <w:jc w:val="center"/>
                    <w:rPr>
                      <w:rFonts w:hint="eastAsia" w:eastAsia="宋体"/>
                      <w:b/>
                      <w:bCs w:val="0"/>
                      <w:color w:val="auto"/>
                      <w:sz w:val="21"/>
                      <w:szCs w:val="21"/>
                      <w:highlight w:val="none"/>
                      <w:lang w:eastAsia="zh-CN"/>
                    </w:rPr>
                  </w:pPr>
                  <w:r>
                    <w:rPr>
                      <w:rFonts w:hint="eastAsia"/>
                      <w:b/>
                      <w:bCs w:val="0"/>
                      <w:color w:val="auto"/>
                      <w:sz w:val="21"/>
                      <w:szCs w:val="21"/>
                      <w:highlight w:val="none"/>
                      <w:lang w:val="en-US" w:eastAsia="zh-CN"/>
                    </w:rPr>
                    <w:t>物质</w:t>
                  </w:r>
                </w:p>
              </w:tc>
              <w:tc>
                <w:tcPr>
                  <w:tcW w:w="935" w:type="dxa"/>
                  <w:tcBorders>
                    <w:tl2br w:val="nil"/>
                    <w:tr2bl w:val="nil"/>
                  </w:tcBorders>
                  <w:noWrap w:val="0"/>
                  <w:vAlign w:val="center"/>
                </w:tcPr>
                <w:p w14:paraId="1F7FE063">
                  <w:pPr>
                    <w:jc w:val="center"/>
                    <w:rPr>
                      <w:b/>
                      <w:bCs w:val="0"/>
                      <w:color w:val="auto"/>
                      <w:sz w:val="21"/>
                      <w:szCs w:val="21"/>
                      <w:highlight w:val="none"/>
                    </w:rPr>
                  </w:pPr>
                  <w:r>
                    <w:rPr>
                      <w:b/>
                      <w:bCs w:val="0"/>
                      <w:color w:val="auto"/>
                      <w:sz w:val="21"/>
                      <w:szCs w:val="21"/>
                      <w:highlight w:val="none"/>
                    </w:rPr>
                    <w:t>形态</w:t>
                  </w:r>
                </w:p>
              </w:tc>
              <w:tc>
                <w:tcPr>
                  <w:tcW w:w="1759" w:type="dxa"/>
                  <w:tcBorders>
                    <w:tl2br w:val="nil"/>
                    <w:tr2bl w:val="nil"/>
                  </w:tcBorders>
                  <w:noWrap w:val="0"/>
                  <w:vAlign w:val="center"/>
                </w:tcPr>
                <w:p w14:paraId="23C569B8">
                  <w:pPr>
                    <w:jc w:val="center"/>
                    <w:rPr>
                      <w:b/>
                      <w:bCs w:val="0"/>
                      <w:color w:val="auto"/>
                      <w:sz w:val="21"/>
                      <w:szCs w:val="21"/>
                      <w:highlight w:val="none"/>
                    </w:rPr>
                  </w:pPr>
                  <w:r>
                    <w:rPr>
                      <w:b/>
                      <w:bCs w:val="0"/>
                      <w:color w:val="auto"/>
                      <w:sz w:val="21"/>
                      <w:szCs w:val="21"/>
                      <w:highlight w:val="none"/>
                    </w:rPr>
                    <w:t>厂内最大</w:t>
                  </w:r>
                </w:p>
                <w:p w14:paraId="080A1C2D">
                  <w:pPr>
                    <w:jc w:val="center"/>
                    <w:rPr>
                      <w:b/>
                      <w:bCs w:val="0"/>
                      <w:color w:val="auto"/>
                      <w:sz w:val="21"/>
                      <w:szCs w:val="21"/>
                      <w:highlight w:val="none"/>
                    </w:rPr>
                  </w:pPr>
                  <w:r>
                    <w:rPr>
                      <w:rFonts w:hint="eastAsia"/>
                      <w:b/>
                      <w:bCs w:val="0"/>
                      <w:color w:val="auto"/>
                      <w:sz w:val="21"/>
                      <w:szCs w:val="21"/>
                      <w:highlight w:val="none"/>
                    </w:rPr>
                    <w:t>存在</w:t>
                  </w:r>
                  <w:r>
                    <w:rPr>
                      <w:b/>
                      <w:bCs w:val="0"/>
                      <w:color w:val="auto"/>
                      <w:sz w:val="21"/>
                      <w:szCs w:val="21"/>
                      <w:highlight w:val="none"/>
                    </w:rPr>
                    <w:t>量（t）</w:t>
                  </w:r>
                </w:p>
              </w:tc>
              <w:tc>
                <w:tcPr>
                  <w:tcW w:w="1259" w:type="dxa"/>
                  <w:tcBorders>
                    <w:tl2br w:val="nil"/>
                    <w:tr2bl w:val="nil"/>
                  </w:tcBorders>
                  <w:noWrap w:val="0"/>
                  <w:vAlign w:val="center"/>
                </w:tcPr>
                <w:p w14:paraId="77D94729">
                  <w:pPr>
                    <w:jc w:val="center"/>
                    <w:rPr>
                      <w:b/>
                      <w:bCs w:val="0"/>
                      <w:color w:val="auto"/>
                      <w:sz w:val="21"/>
                      <w:szCs w:val="21"/>
                      <w:highlight w:val="none"/>
                    </w:rPr>
                  </w:pPr>
                  <w:r>
                    <w:rPr>
                      <w:b/>
                      <w:bCs w:val="0"/>
                      <w:color w:val="auto"/>
                      <w:sz w:val="21"/>
                      <w:szCs w:val="21"/>
                      <w:highlight w:val="none"/>
                    </w:rPr>
                    <w:t>临界量（t）</w:t>
                  </w:r>
                </w:p>
              </w:tc>
              <w:tc>
                <w:tcPr>
                  <w:tcW w:w="1377" w:type="dxa"/>
                  <w:tcBorders>
                    <w:tl2br w:val="nil"/>
                    <w:tr2bl w:val="nil"/>
                  </w:tcBorders>
                  <w:noWrap w:val="0"/>
                  <w:vAlign w:val="center"/>
                </w:tcPr>
                <w:p w14:paraId="5051AFBD">
                  <w:pPr>
                    <w:jc w:val="center"/>
                    <w:rPr>
                      <w:b/>
                      <w:bCs w:val="0"/>
                      <w:color w:val="auto"/>
                      <w:sz w:val="21"/>
                      <w:szCs w:val="21"/>
                      <w:highlight w:val="none"/>
                    </w:rPr>
                  </w:pPr>
                  <w:r>
                    <w:rPr>
                      <w:b/>
                      <w:bCs w:val="0"/>
                      <w:color w:val="auto"/>
                      <w:sz w:val="21"/>
                      <w:szCs w:val="21"/>
                      <w:highlight w:val="none"/>
                    </w:rPr>
                    <w:t>Q</w:t>
                  </w:r>
                </w:p>
              </w:tc>
            </w:tr>
            <w:tr w14:paraId="437FCC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11" w:type="dxa"/>
                  <w:vMerge w:val="restart"/>
                  <w:tcBorders>
                    <w:tl2br w:val="nil"/>
                    <w:tr2bl w:val="nil"/>
                  </w:tcBorders>
                  <w:noWrap w:val="0"/>
                  <w:vAlign w:val="center"/>
                </w:tcPr>
                <w:p w14:paraId="5839041B">
                  <w:pPr>
                    <w:keepNext w:val="0"/>
                    <w:keepLines w:val="0"/>
                    <w:widowControl/>
                    <w:suppressLineNumbers w:val="0"/>
                    <w:spacing w:before="0" w:beforeAutospacing="0" w:after="0" w:afterAutospacing="0"/>
                    <w:ind w:left="0" w:right="0"/>
                    <w:jc w:val="center"/>
                    <w:rPr>
                      <w:rFonts w:hint="default"/>
                      <w:b w:val="0"/>
                      <w:bCs/>
                      <w:color w:val="auto"/>
                      <w:sz w:val="21"/>
                      <w:szCs w:val="21"/>
                      <w:highlight w:val="none"/>
                      <w:lang w:val="en-US"/>
                    </w:rPr>
                  </w:pPr>
                  <w:r>
                    <w:rPr>
                      <w:rFonts w:hint="eastAsia" w:cs="Times New Roman"/>
                      <w:color w:val="auto"/>
                      <w:kern w:val="0"/>
                      <w:sz w:val="21"/>
                      <w:szCs w:val="21"/>
                      <w:highlight w:val="none"/>
                      <w:lang w:val="en-US" w:eastAsia="zh-CN"/>
                    </w:rPr>
                    <w:t>热源站</w:t>
                  </w:r>
                </w:p>
              </w:tc>
              <w:tc>
                <w:tcPr>
                  <w:tcW w:w="1527" w:type="dxa"/>
                  <w:tcBorders>
                    <w:tl2br w:val="nil"/>
                    <w:tr2bl w:val="nil"/>
                  </w:tcBorders>
                  <w:noWrap w:val="0"/>
                  <w:vAlign w:val="center"/>
                </w:tcPr>
                <w:p w14:paraId="05A4F835">
                  <w:pPr>
                    <w:jc w:val="center"/>
                    <w:rPr>
                      <w:b w:val="0"/>
                      <w:bCs/>
                      <w:color w:val="auto"/>
                      <w:sz w:val="21"/>
                      <w:szCs w:val="21"/>
                      <w:highlight w:val="none"/>
                    </w:rPr>
                  </w:pPr>
                  <w:r>
                    <w:rPr>
                      <w:b w:val="0"/>
                      <w:bCs/>
                      <w:color w:val="auto"/>
                      <w:sz w:val="21"/>
                      <w:szCs w:val="21"/>
                      <w:highlight w:val="none"/>
                    </w:rPr>
                    <w:t>天然气</w:t>
                  </w:r>
                </w:p>
                <w:p w14:paraId="7BF8704C">
                  <w:pPr>
                    <w:jc w:val="center"/>
                    <w:rPr>
                      <w:b w:val="0"/>
                      <w:bCs/>
                      <w:color w:val="auto"/>
                      <w:sz w:val="21"/>
                      <w:szCs w:val="21"/>
                      <w:highlight w:val="none"/>
                    </w:rPr>
                  </w:pPr>
                  <w:r>
                    <w:rPr>
                      <w:b w:val="0"/>
                      <w:bCs/>
                      <w:color w:val="auto"/>
                      <w:sz w:val="21"/>
                      <w:szCs w:val="21"/>
                      <w:highlight w:val="none"/>
                    </w:rPr>
                    <w:t>（以甲烷计）</w:t>
                  </w:r>
                </w:p>
              </w:tc>
              <w:tc>
                <w:tcPr>
                  <w:tcW w:w="935" w:type="dxa"/>
                  <w:tcBorders>
                    <w:tl2br w:val="nil"/>
                    <w:tr2bl w:val="nil"/>
                  </w:tcBorders>
                  <w:noWrap w:val="0"/>
                  <w:vAlign w:val="center"/>
                </w:tcPr>
                <w:p w14:paraId="771EC04F">
                  <w:pPr>
                    <w:jc w:val="center"/>
                    <w:rPr>
                      <w:b w:val="0"/>
                      <w:bCs/>
                      <w:color w:val="auto"/>
                      <w:sz w:val="21"/>
                      <w:szCs w:val="21"/>
                      <w:highlight w:val="none"/>
                    </w:rPr>
                  </w:pPr>
                  <w:r>
                    <w:rPr>
                      <w:b w:val="0"/>
                      <w:bCs/>
                      <w:color w:val="auto"/>
                      <w:sz w:val="21"/>
                      <w:szCs w:val="21"/>
                      <w:highlight w:val="none"/>
                    </w:rPr>
                    <w:t>气态</w:t>
                  </w:r>
                </w:p>
              </w:tc>
              <w:tc>
                <w:tcPr>
                  <w:tcW w:w="1759" w:type="dxa"/>
                  <w:tcBorders>
                    <w:tl2br w:val="nil"/>
                    <w:tr2bl w:val="nil"/>
                  </w:tcBorders>
                  <w:noWrap w:val="0"/>
                  <w:vAlign w:val="center"/>
                </w:tcPr>
                <w:p w14:paraId="4C4A1DFC">
                  <w:pPr>
                    <w:jc w:val="center"/>
                    <w:rPr>
                      <w:rFonts w:hint="default" w:eastAsia="宋体"/>
                      <w:b w:val="0"/>
                      <w:bCs/>
                      <w:color w:val="auto"/>
                      <w:sz w:val="21"/>
                      <w:szCs w:val="21"/>
                      <w:highlight w:val="none"/>
                      <w:lang w:val="en-US" w:eastAsia="zh-CN"/>
                    </w:rPr>
                  </w:pPr>
                  <w:r>
                    <w:rPr>
                      <w:rFonts w:hint="eastAsia"/>
                      <w:b w:val="0"/>
                      <w:bCs/>
                      <w:color w:val="auto"/>
                      <w:sz w:val="21"/>
                      <w:szCs w:val="21"/>
                      <w:highlight w:val="none"/>
                    </w:rPr>
                    <w:t>0.0</w:t>
                  </w:r>
                  <w:r>
                    <w:rPr>
                      <w:rFonts w:hint="eastAsia"/>
                      <w:b w:val="0"/>
                      <w:bCs/>
                      <w:color w:val="auto"/>
                      <w:sz w:val="21"/>
                      <w:szCs w:val="21"/>
                      <w:highlight w:val="none"/>
                      <w:lang w:val="en-US" w:eastAsia="zh-CN"/>
                    </w:rPr>
                    <w:t>00137</w:t>
                  </w:r>
                </w:p>
              </w:tc>
              <w:tc>
                <w:tcPr>
                  <w:tcW w:w="1259" w:type="dxa"/>
                  <w:tcBorders>
                    <w:tl2br w:val="nil"/>
                    <w:tr2bl w:val="nil"/>
                  </w:tcBorders>
                  <w:noWrap w:val="0"/>
                  <w:vAlign w:val="center"/>
                </w:tcPr>
                <w:p w14:paraId="60689FC3">
                  <w:pPr>
                    <w:jc w:val="center"/>
                    <w:rPr>
                      <w:b w:val="0"/>
                      <w:bCs/>
                      <w:color w:val="auto"/>
                      <w:sz w:val="21"/>
                      <w:szCs w:val="21"/>
                      <w:highlight w:val="none"/>
                    </w:rPr>
                  </w:pPr>
                  <w:r>
                    <w:rPr>
                      <w:b w:val="0"/>
                      <w:bCs/>
                      <w:color w:val="auto"/>
                      <w:sz w:val="21"/>
                      <w:szCs w:val="21"/>
                      <w:highlight w:val="none"/>
                    </w:rPr>
                    <w:t>10</w:t>
                  </w:r>
                </w:p>
              </w:tc>
              <w:tc>
                <w:tcPr>
                  <w:tcW w:w="1377" w:type="dxa"/>
                  <w:tcBorders>
                    <w:tl2br w:val="nil"/>
                    <w:tr2bl w:val="nil"/>
                  </w:tcBorders>
                  <w:noWrap w:val="0"/>
                  <w:vAlign w:val="center"/>
                </w:tcPr>
                <w:p w14:paraId="194CDF35">
                  <w:pPr>
                    <w:jc w:val="center"/>
                    <w:rPr>
                      <w:rFonts w:hint="default" w:eastAsia="宋体"/>
                      <w:b w:val="0"/>
                      <w:bCs/>
                      <w:color w:val="auto"/>
                      <w:sz w:val="21"/>
                      <w:szCs w:val="21"/>
                      <w:highlight w:val="none"/>
                      <w:lang w:val="en-US" w:eastAsia="zh-CN"/>
                    </w:rPr>
                  </w:pPr>
                  <w:r>
                    <w:rPr>
                      <w:rFonts w:hint="eastAsia"/>
                      <w:b w:val="0"/>
                      <w:bCs/>
                      <w:color w:val="auto"/>
                      <w:sz w:val="21"/>
                      <w:szCs w:val="21"/>
                      <w:highlight w:val="none"/>
                    </w:rPr>
                    <w:t>0.00</w:t>
                  </w:r>
                  <w:r>
                    <w:rPr>
                      <w:rFonts w:hint="eastAsia"/>
                      <w:b w:val="0"/>
                      <w:bCs/>
                      <w:color w:val="auto"/>
                      <w:sz w:val="21"/>
                      <w:szCs w:val="21"/>
                      <w:highlight w:val="none"/>
                      <w:lang w:val="en-US" w:eastAsia="zh-CN"/>
                    </w:rPr>
                    <w:t>00137</w:t>
                  </w:r>
                </w:p>
              </w:tc>
            </w:tr>
            <w:tr w14:paraId="0E18C2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11" w:type="dxa"/>
                  <w:vMerge w:val="continue"/>
                  <w:tcBorders>
                    <w:tl2br w:val="nil"/>
                    <w:tr2bl w:val="nil"/>
                  </w:tcBorders>
                  <w:noWrap w:val="0"/>
                  <w:vAlign w:val="center"/>
                </w:tcPr>
                <w:p w14:paraId="2C21790A">
                  <w:pPr>
                    <w:keepNext w:val="0"/>
                    <w:keepLines w:val="0"/>
                    <w:widowControl/>
                    <w:suppressLineNumbers w:val="0"/>
                    <w:spacing w:before="0" w:beforeAutospacing="0" w:after="0" w:afterAutospacing="0"/>
                    <w:ind w:left="0" w:right="0"/>
                    <w:jc w:val="center"/>
                    <w:rPr>
                      <w:rFonts w:hint="eastAsia" w:ascii="Times New Roman" w:hAnsi="Times New Roman" w:cs="Times New Roman"/>
                      <w:color w:val="auto"/>
                      <w:kern w:val="0"/>
                      <w:sz w:val="21"/>
                      <w:szCs w:val="21"/>
                      <w:highlight w:val="none"/>
                      <w:lang w:val="en-US" w:eastAsia="zh-CN"/>
                    </w:rPr>
                  </w:pPr>
                </w:p>
              </w:tc>
              <w:tc>
                <w:tcPr>
                  <w:tcW w:w="1527" w:type="dxa"/>
                  <w:tcBorders>
                    <w:tl2br w:val="nil"/>
                    <w:tr2bl w:val="nil"/>
                  </w:tcBorders>
                  <w:noWrap w:val="0"/>
                  <w:vAlign w:val="center"/>
                </w:tcPr>
                <w:p w14:paraId="7DE067C2">
                  <w:pPr>
                    <w:jc w:val="center"/>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润滑油</w:t>
                  </w:r>
                </w:p>
                <w:p w14:paraId="5843E7B0">
                  <w:pPr>
                    <w:jc w:val="center"/>
                    <w:rPr>
                      <w:rFonts w:hint="default" w:eastAsia="宋体"/>
                      <w:b w:val="0"/>
                      <w:bCs/>
                      <w:color w:val="auto"/>
                      <w:sz w:val="21"/>
                      <w:szCs w:val="21"/>
                      <w:highlight w:val="none"/>
                      <w:lang w:val="en-US" w:eastAsia="zh-CN"/>
                    </w:rPr>
                  </w:pPr>
                  <w:r>
                    <w:rPr>
                      <w:rFonts w:hint="eastAsia"/>
                      <w:b w:val="0"/>
                      <w:bCs/>
                      <w:color w:val="auto"/>
                      <w:sz w:val="21"/>
                      <w:szCs w:val="21"/>
                      <w:highlight w:val="none"/>
                      <w:lang w:val="en-US" w:eastAsia="zh-CN"/>
                    </w:rPr>
                    <w:t>（设备内）</w:t>
                  </w:r>
                </w:p>
              </w:tc>
              <w:tc>
                <w:tcPr>
                  <w:tcW w:w="935" w:type="dxa"/>
                  <w:tcBorders>
                    <w:tl2br w:val="nil"/>
                    <w:tr2bl w:val="nil"/>
                  </w:tcBorders>
                  <w:noWrap w:val="0"/>
                  <w:vAlign w:val="center"/>
                </w:tcPr>
                <w:p w14:paraId="4C667D10">
                  <w:pPr>
                    <w:jc w:val="center"/>
                    <w:rPr>
                      <w:rFonts w:hint="eastAsia" w:eastAsia="宋体"/>
                      <w:b w:val="0"/>
                      <w:bCs/>
                      <w:color w:val="auto"/>
                      <w:sz w:val="21"/>
                      <w:szCs w:val="21"/>
                      <w:highlight w:val="none"/>
                      <w:lang w:val="en-US" w:eastAsia="zh-CN"/>
                    </w:rPr>
                  </w:pPr>
                  <w:r>
                    <w:rPr>
                      <w:rFonts w:hint="eastAsia"/>
                      <w:b w:val="0"/>
                      <w:bCs/>
                      <w:color w:val="auto"/>
                      <w:sz w:val="21"/>
                      <w:szCs w:val="21"/>
                      <w:highlight w:val="none"/>
                      <w:lang w:val="en-US" w:eastAsia="zh-CN"/>
                    </w:rPr>
                    <w:t>液体</w:t>
                  </w:r>
                </w:p>
              </w:tc>
              <w:tc>
                <w:tcPr>
                  <w:tcW w:w="1759" w:type="dxa"/>
                  <w:tcBorders>
                    <w:tl2br w:val="nil"/>
                    <w:tr2bl w:val="nil"/>
                  </w:tcBorders>
                  <w:noWrap w:val="0"/>
                  <w:vAlign w:val="center"/>
                </w:tcPr>
                <w:p w14:paraId="150E06C5">
                  <w:pPr>
                    <w:jc w:val="center"/>
                    <w:rPr>
                      <w:rFonts w:hint="default" w:eastAsia="宋体"/>
                      <w:b w:val="0"/>
                      <w:bCs/>
                      <w:color w:val="auto"/>
                      <w:sz w:val="21"/>
                      <w:szCs w:val="21"/>
                      <w:highlight w:val="none"/>
                      <w:lang w:val="en-US" w:eastAsia="zh-CN"/>
                    </w:rPr>
                  </w:pPr>
                  <w:r>
                    <w:rPr>
                      <w:rFonts w:hint="eastAsia"/>
                      <w:b w:val="0"/>
                      <w:bCs/>
                      <w:color w:val="auto"/>
                      <w:sz w:val="21"/>
                      <w:szCs w:val="21"/>
                      <w:highlight w:val="none"/>
                      <w:lang w:val="en-US" w:eastAsia="zh-CN"/>
                    </w:rPr>
                    <w:t>0.02</w:t>
                  </w:r>
                </w:p>
              </w:tc>
              <w:tc>
                <w:tcPr>
                  <w:tcW w:w="1259" w:type="dxa"/>
                  <w:tcBorders>
                    <w:tl2br w:val="nil"/>
                    <w:tr2bl w:val="nil"/>
                  </w:tcBorders>
                  <w:noWrap w:val="0"/>
                  <w:vAlign w:val="center"/>
                </w:tcPr>
                <w:p w14:paraId="086340AB">
                  <w:pPr>
                    <w:jc w:val="center"/>
                    <w:rPr>
                      <w:rFonts w:hint="default" w:eastAsia="宋体"/>
                      <w:b w:val="0"/>
                      <w:bCs/>
                      <w:color w:val="auto"/>
                      <w:sz w:val="21"/>
                      <w:szCs w:val="21"/>
                      <w:highlight w:val="none"/>
                      <w:lang w:val="en-US" w:eastAsia="zh-CN"/>
                    </w:rPr>
                  </w:pPr>
                  <w:r>
                    <w:rPr>
                      <w:rFonts w:hint="eastAsia"/>
                      <w:b w:val="0"/>
                      <w:bCs/>
                      <w:color w:val="auto"/>
                      <w:sz w:val="21"/>
                      <w:szCs w:val="21"/>
                      <w:highlight w:val="none"/>
                      <w:lang w:val="en-US" w:eastAsia="zh-CN"/>
                    </w:rPr>
                    <w:t>2500</w:t>
                  </w:r>
                </w:p>
              </w:tc>
              <w:tc>
                <w:tcPr>
                  <w:tcW w:w="1377" w:type="dxa"/>
                  <w:tcBorders>
                    <w:tl2br w:val="nil"/>
                    <w:tr2bl w:val="nil"/>
                  </w:tcBorders>
                  <w:noWrap w:val="0"/>
                  <w:vAlign w:val="center"/>
                </w:tcPr>
                <w:p w14:paraId="325D8601">
                  <w:pPr>
                    <w:jc w:val="center"/>
                    <w:rPr>
                      <w:rFonts w:hint="default" w:eastAsia="宋体"/>
                      <w:b w:val="0"/>
                      <w:bCs/>
                      <w:color w:val="auto"/>
                      <w:sz w:val="21"/>
                      <w:szCs w:val="21"/>
                      <w:highlight w:val="none"/>
                      <w:lang w:val="en-US" w:eastAsia="zh-CN"/>
                    </w:rPr>
                  </w:pPr>
                  <w:r>
                    <w:rPr>
                      <w:rFonts w:hint="eastAsia"/>
                      <w:b w:val="0"/>
                      <w:bCs/>
                      <w:color w:val="auto"/>
                      <w:sz w:val="21"/>
                      <w:szCs w:val="21"/>
                      <w:highlight w:val="none"/>
                      <w:lang w:val="en-US" w:eastAsia="zh-CN"/>
                    </w:rPr>
                    <w:t>0.000008</w:t>
                  </w:r>
                </w:p>
              </w:tc>
            </w:tr>
            <w:tr w14:paraId="494C20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11" w:type="dxa"/>
                  <w:vMerge w:val="continue"/>
                  <w:tcBorders>
                    <w:tl2br w:val="nil"/>
                    <w:tr2bl w:val="nil"/>
                  </w:tcBorders>
                  <w:noWrap w:val="0"/>
                  <w:vAlign w:val="center"/>
                </w:tcPr>
                <w:p w14:paraId="2D1A3F1F">
                  <w:pPr>
                    <w:keepNext w:val="0"/>
                    <w:keepLines w:val="0"/>
                    <w:widowControl/>
                    <w:suppressLineNumbers w:val="0"/>
                    <w:spacing w:before="0" w:beforeAutospacing="0" w:after="0" w:afterAutospacing="0"/>
                    <w:ind w:left="0" w:right="0"/>
                    <w:jc w:val="center"/>
                    <w:rPr>
                      <w:rFonts w:hint="eastAsia" w:ascii="Times New Roman" w:hAnsi="Times New Roman" w:cs="Times New Roman"/>
                      <w:color w:val="auto"/>
                      <w:kern w:val="0"/>
                      <w:sz w:val="21"/>
                      <w:szCs w:val="21"/>
                      <w:highlight w:val="none"/>
                      <w:lang w:val="en-US" w:eastAsia="zh-CN"/>
                    </w:rPr>
                  </w:pPr>
                </w:p>
              </w:tc>
              <w:tc>
                <w:tcPr>
                  <w:tcW w:w="1527" w:type="dxa"/>
                  <w:tcBorders>
                    <w:tl2br w:val="nil"/>
                    <w:tr2bl w:val="nil"/>
                  </w:tcBorders>
                  <w:shd w:val="clear" w:color="auto" w:fill="auto"/>
                  <w:noWrap w:val="0"/>
                  <w:vAlign w:val="center"/>
                </w:tcPr>
                <w:p w14:paraId="3BC01323">
                  <w:pPr>
                    <w:jc w:val="center"/>
                    <w:rPr>
                      <w:rFonts w:hint="eastAsia" w:ascii="Times New Roman" w:hAnsi="Times New Roman" w:eastAsia="宋体" w:cs="Times New Roman"/>
                      <w:b w:val="0"/>
                      <w:bCs/>
                      <w:color w:val="auto"/>
                      <w:kern w:val="2"/>
                      <w:sz w:val="21"/>
                      <w:szCs w:val="21"/>
                      <w:highlight w:val="none"/>
                      <w:lang w:val="en-US" w:eastAsia="zh-CN" w:bidi="ar-SA"/>
                    </w:rPr>
                  </w:pPr>
                  <w:r>
                    <w:rPr>
                      <w:rFonts w:hint="eastAsia"/>
                      <w:b w:val="0"/>
                      <w:bCs/>
                      <w:color w:val="auto"/>
                      <w:sz w:val="21"/>
                      <w:szCs w:val="21"/>
                      <w:highlight w:val="none"/>
                      <w:lang w:val="en-US" w:eastAsia="zh-CN"/>
                    </w:rPr>
                    <w:t>废润滑油</w:t>
                  </w:r>
                </w:p>
              </w:tc>
              <w:tc>
                <w:tcPr>
                  <w:tcW w:w="935" w:type="dxa"/>
                  <w:tcBorders>
                    <w:tl2br w:val="nil"/>
                    <w:tr2bl w:val="nil"/>
                  </w:tcBorders>
                  <w:shd w:val="clear" w:color="auto" w:fill="auto"/>
                  <w:noWrap w:val="0"/>
                  <w:vAlign w:val="center"/>
                </w:tcPr>
                <w:p w14:paraId="227D9231">
                  <w:pPr>
                    <w:jc w:val="center"/>
                    <w:rPr>
                      <w:rFonts w:hint="eastAsia" w:ascii="Times New Roman" w:hAnsi="Times New Roman" w:eastAsia="宋体" w:cs="Times New Roman"/>
                      <w:b w:val="0"/>
                      <w:bCs/>
                      <w:color w:val="auto"/>
                      <w:kern w:val="2"/>
                      <w:sz w:val="21"/>
                      <w:szCs w:val="21"/>
                      <w:highlight w:val="none"/>
                      <w:lang w:val="en-US" w:eastAsia="zh-CN" w:bidi="ar-SA"/>
                    </w:rPr>
                  </w:pPr>
                  <w:r>
                    <w:rPr>
                      <w:rFonts w:hint="eastAsia"/>
                      <w:b w:val="0"/>
                      <w:bCs/>
                      <w:color w:val="auto"/>
                      <w:sz w:val="21"/>
                      <w:szCs w:val="21"/>
                      <w:highlight w:val="none"/>
                      <w:lang w:val="en-US" w:eastAsia="zh-CN"/>
                    </w:rPr>
                    <w:t>液体</w:t>
                  </w:r>
                </w:p>
              </w:tc>
              <w:tc>
                <w:tcPr>
                  <w:tcW w:w="1759" w:type="dxa"/>
                  <w:tcBorders>
                    <w:tl2br w:val="nil"/>
                    <w:tr2bl w:val="nil"/>
                  </w:tcBorders>
                  <w:shd w:val="clear" w:color="auto" w:fill="auto"/>
                  <w:noWrap w:val="0"/>
                  <w:vAlign w:val="center"/>
                </w:tcPr>
                <w:p w14:paraId="500DBA58">
                  <w:pPr>
                    <w:jc w:val="center"/>
                    <w:rPr>
                      <w:rFonts w:hint="eastAsia" w:ascii="Times New Roman" w:hAnsi="Times New Roman" w:eastAsia="宋体" w:cs="Times New Roman"/>
                      <w:b w:val="0"/>
                      <w:bCs/>
                      <w:color w:val="auto"/>
                      <w:kern w:val="2"/>
                      <w:sz w:val="21"/>
                      <w:szCs w:val="21"/>
                      <w:highlight w:val="none"/>
                      <w:lang w:val="en-US" w:eastAsia="zh-CN" w:bidi="ar-SA"/>
                    </w:rPr>
                  </w:pPr>
                  <w:r>
                    <w:rPr>
                      <w:rFonts w:hint="eastAsia"/>
                      <w:b w:val="0"/>
                      <w:bCs/>
                      <w:color w:val="auto"/>
                      <w:sz w:val="21"/>
                      <w:szCs w:val="21"/>
                      <w:highlight w:val="none"/>
                      <w:lang w:val="en-US" w:eastAsia="zh-CN"/>
                    </w:rPr>
                    <w:t>0.005</w:t>
                  </w:r>
                </w:p>
              </w:tc>
              <w:tc>
                <w:tcPr>
                  <w:tcW w:w="1259" w:type="dxa"/>
                  <w:tcBorders>
                    <w:tl2br w:val="nil"/>
                    <w:tr2bl w:val="nil"/>
                  </w:tcBorders>
                  <w:shd w:val="clear" w:color="auto" w:fill="auto"/>
                  <w:noWrap w:val="0"/>
                  <w:vAlign w:val="center"/>
                </w:tcPr>
                <w:p w14:paraId="77FA1C95">
                  <w:pPr>
                    <w:jc w:val="center"/>
                    <w:rPr>
                      <w:rFonts w:hint="default" w:ascii="Times New Roman" w:hAnsi="Times New Roman" w:eastAsia="宋体" w:cs="Times New Roman"/>
                      <w:b w:val="0"/>
                      <w:bCs/>
                      <w:color w:val="auto"/>
                      <w:kern w:val="2"/>
                      <w:sz w:val="21"/>
                      <w:szCs w:val="21"/>
                      <w:highlight w:val="none"/>
                      <w:lang w:val="en-US" w:eastAsia="zh-CN" w:bidi="ar-SA"/>
                    </w:rPr>
                  </w:pPr>
                  <w:r>
                    <w:rPr>
                      <w:rFonts w:hint="eastAsia"/>
                      <w:b w:val="0"/>
                      <w:bCs/>
                      <w:color w:val="auto"/>
                      <w:sz w:val="21"/>
                      <w:szCs w:val="21"/>
                      <w:highlight w:val="none"/>
                      <w:lang w:val="en-US" w:eastAsia="zh-CN"/>
                    </w:rPr>
                    <w:t>50</w:t>
                  </w:r>
                </w:p>
              </w:tc>
              <w:tc>
                <w:tcPr>
                  <w:tcW w:w="1377" w:type="dxa"/>
                  <w:tcBorders>
                    <w:tl2br w:val="nil"/>
                    <w:tr2bl w:val="nil"/>
                  </w:tcBorders>
                  <w:noWrap w:val="0"/>
                  <w:vAlign w:val="center"/>
                </w:tcPr>
                <w:p w14:paraId="66AF83EE">
                  <w:pPr>
                    <w:jc w:val="center"/>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0.0001</w:t>
                  </w:r>
                </w:p>
              </w:tc>
            </w:tr>
            <w:tr w14:paraId="5BD0B9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291" w:type="dxa"/>
                  <w:gridSpan w:val="5"/>
                  <w:tcBorders>
                    <w:tl2br w:val="nil"/>
                    <w:tr2bl w:val="nil"/>
                  </w:tcBorders>
                  <w:noWrap w:val="0"/>
                  <w:vAlign w:val="center"/>
                </w:tcPr>
                <w:p w14:paraId="4B2A34B6">
                  <w:pPr>
                    <w:jc w:val="center"/>
                    <w:rPr>
                      <w:rFonts w:hint="eastAsia"/>
                      <w:b w:val="0"/>
                      <w:bCs/>
                      <w:color w:val="auto"/>
                      <w:sz w:val="21"/>
                      <w:szCs w:val="21"/>
                      <w:highlight w:val="green"/>
                      <w:lang w:val="en-US" w:eastAsia="zh-CN"/>
                    </w:rPr>
                  </w:pPr>
                  <w:r>
                    <w:rPr>
                      <w:rFonts w:hint="eastAsia"/>
                      <w:b w:val="0"/>
                      <w:bCs/>
                      <w:color w:val="auto"/>
                      <w:sz w:val="21"/>
                      <w:szCs w:val="21"/>
                      <w:highlight w:val="none"/>
                      <w:lang w:val="en-US" w:eastAsia="zh-CN"/>
                    </w:rPr>
                    <w:t>合计</w:t>
                  </w:r>
                </w:p>
              </w:tc>
              <w:tc>
                <w:tcPr>
                  <w:tcW w:w="1377" w:type="dxa"/>
                  <w:tcBorders>
                    <w:tl2br w:val="nil"/>
                    <w:tr2bl w:val="nil"/>
                  </w:tcBorders>
                  <w:noWrap w:val="0"/>
                  <w:vAlign w:val="center"/>
                </w:tcPr>
                <w:p w14:paraId="0D829445">
                  <w:pPr>
                    <w:jc w:val="center"/>
                    <w:rPr>
                      <w:rFonts w:hint="default"/>
                      <w:b w:val="0"/>
                      <w:bCs/>
                      <w:color w:val="auto"/>
                      <w:sz w:val="21"/>
                      <w:szCs w:val="21"/>
                      <w:highlight w:val="none"/>
                      <w:lang w:val="en-US" w:eastAsia="zh-CN"/>
                    </w:rPr>
                  </w:pPr>
                  <w:r>
                    <w:rPr>
                      <w:rFonts w:hint="eastAsia"/>
                      <w:b w:val="0"/>
                      <w:bCs/>
                      <w:color w:val="auto"/>
                      <w:sz w:val="21"/>
                      <w:szCs w:val="21"/>
                      <w:highlight w:val="none"/>
                    </w:rPr>
                    <w:t>0.00</w:t>
                  </w:r>
                  <w:r>
                    <w:rPr>
                      <w:rFonts w:hint="eastAsia"/>
                      <w:b w:val="0"/>
                      <w:bCs/>
                      <w:color w:val="auto"/>
                      <w:sz w:val="21"/>
                      <w:szCs w:val="21"/>
                      <w:highlight w:val="none"/>
                      <w:lang w:val="en-US" w:eastAsia="zh-CN"/>
                    </w:rPr>
                    <w:t>01217</w:t>
                  </w:r>
                </w:p>
              </w:tc>
            </w:tr>
          </w:tbl>
          <w:p w14:paraId="4E2A73AF">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b w:val="0"/>
                <w:bCs/>
                <w:color w:val="auto"/>
                <w:sz w:val="24"/>
                <w:szCs w:val="24"/>
                <w:highlight w:val="none"/>
              </w:rPr>
              <w:t>由</w:t>
            </w:r>
            <w:r>
              <w:rPr>
                <w:rFonts w:hint="eastAsia"/>
                <w:b w:val="0"/>
                <w:bCs/>
                <w:color w:val="auto"/>
                <w:sz w:val="24"/>
                <w:szCs w:val="24"/>
                <w:highlight w:val="none"/>
              </w:rPr>
              <w:t>上</w:t>
            </w:r>
            <w:r>
              <w:rPr>
                <w:b w:val="0"/>
                <w:bCs/>
                <w:color w:val="auto"/>
                <w:sz w:val="24"/>
                <w:szCs w:val="24"/>
                <w:highlight w:val="none"/>
              </w:rPr>
              <w:t>表可</w:t>
            </w:r>
            <w:r>
              <w:rPr>
                <w:rFonts w:hint="eastAsia"/>
                <w:b w:val="0"/>
                <w:bCs/>
                <w:color w:val="auto"/>
                <w:sz w:val="24"/>
                <w:szCs w:val="24"/>
                <w:highlight w:val="none"/>
              </w:rPr>
              <w:t>知</w:t>
            </w:r>
            <w:r>
              <w:rPr>
                <w:b w:val="0"/>
                <w:bCs/>
                <w:color w:val="auto"/>
                <w:sz w:val="24"/>
                <w:szCs w:val="24"/>
                <w:highlight w:val="none"/>
              </w:rPr>
              <w:t>，项目Q值</w:t>
            </w:r>
            <w:r>
              <w:rPr>
                <w:rFonts w:hint="eastAsia"/>
                <w:b w:val="0"/>
                <w:bCs/>
                <w:color w:val="auto"/>
                <w:sz w:val="24"/>
                <w:szCs w:val="24"/>
                <w:highlight w:val="none"/>
              </w:rPr>
              <w:t>最大为0.0001217</w:t>
            </w:r>
            <w:r>
              <w:rPr>
                <w:b w:val="0"/>
                <w:bCs/>
                <w:color w:val="auto"/>
                <w:sz w:val="24"/>
                <w:szCs w:val="24"/>
                <w:highlight w:val="none"/>
              </w:rPr>
              <w:t>，</w:t>
            </w:r>
            <w:r>
              <w:rPr>
                <w:rFonts w:hint="eastAsia"/>
                <w:b w:val="0"/>
                <w:bCs/>
                <w:color w:val="auto"/>
                <w:sz w:val="24"/>
                <w:szCs w:val="24"/>
                <w:highlight w:val="none"/>
              </w:rPr>
              <w:t>Q＜1</w:t>
            </w:r>
            <w:r>
              <w:rPr>
                <w:b w:val="0"/>
                <w:bCs/>
                <w:color w:val="auto"/>
                <w:sz w:val="24"/>
                <w:szCs w:val="24"/>
                <w:highlight w:val="none"/>
              </w:rPr>
              <w:t>，</w:t>
            </w:r>
            <w:r>
              <w:rPr>
                <w:rFonts w:hint="eastAsia"/>
                <w:b w:val="0"/>
                <w:bCs/>
                <w:color w:val="auto"/>
                <w:sz w:val="24"/>
                <w:szCs w:val="24"/>
                <w:highlight w:val="none"/>
              </w:rPr>
              <w:t>项目环境风险潜势为I，只进行简单分析。</w:t>
            </w:r>
          </w:p>
          <w:p w14:paraId="78607A4F">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rFonts w:hint="eastAsia"/>
                <w:b w:val="0"/>
                <w:bCs/>
                <w:color w:val="auto"/>
                <w:sz w:val="24"/>
                <w:szCs w:val="24"/>
                <w:highlight w:val="none"/>
                <w:lang w:eastAsia="zh-CN"/>
              </w:rPr>
              <w:t>（</w:t>
            </w:r>
            <w:r>
              <w:rPr>
                <w:rFonts w:hint="eastAsia"/>
                <w:b w:val="0"/>
                <w:bCs/>
                <w:color w:val="auto"/>
                <w:sz w:val="24"/>
                <w:szCs w:val="24"/>
                <w:highlight w:val="none"/>
                <w:lang w:val="en-US" w:eastAsia="zh-CN"/>
              </w:rPr>
              <w:t>3</w:t>
            </w:r>
            <w:r>
              <w:rPr>
                <w:rFonts w:hint="eastAsia"/>
                <w:b w:val="0"/>
                <w:bCs/>
                <w:color w:val="auto"/>
                <w:sz w:val="24"/>
                <w:szCs w:val="24"/>
                <w:highlight w:val="none"/>
                <w:lang w:eastAsia="zh-CN"/>
              </w:rPr>
              <w:t>）</w:t>
            </w:r>
            <w:r>
              <w:rPr>
                <w:rFonts w:hint="eastAsia"/>
                <w:b w:val="0"/>
                <w:bCs/>
                <w:color w:val="auto"/>
                <w:sz w:val="24"/>
                <w:szCs w:val="24"/>
                <w:highlight w:val="none"/>
              </w:rPr>
              <w:t>环境风险影响分析</w:t>
            </w:r>
          </w:p>
          <w:p w14:paraId="21A6B336">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rFonts w:hint="eastAsia"/>
                <w:b w:val="0"/>
                <w:bCs/>
                <w:color w:val="auto"/>
                <w:sz w:val="24"/>
                <w:szCs w:val="24"/>
                <w:highlight w:val="none"/>
              </w:rPr>
              <w:t>①泄漏</w:t>
            </w:r>
          </w:p>
          <w:p w14:paraId="25B7BF39">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default"/>
                <w:b w:val="0"/>
                <w:bCs/>
                <w:color w:val="auto"/>
                <w:sz w:val="24"/>
                <w:szCs w:val="24"/>
                <w:highlight w:val="none"/>
                <w:lang w:val="en-US"/>
              </w:rPr>
            </w:pPr>
            <w:r>
              <w:rPr>
                <w:rFonts w:hint="eastAsia"/>
                <w:b w:val="0"/>
                <w:bCs/>
                <w:color w:val="auto"/>
                <w:sz w:val="24"/>
                <w:szCs w:val="24"/>
                <w:highlight w:val="none"/>
              </w:rPr>
              <w:t>本项目运营过程中</w:t>
            </w:r>
            <w:r>
              <w:rPr>
                <w:rFonts w:hint="eastAsia"/>
                <w:b w:val="0"/>
                <w:bCs/>
                <w:color w:val="auto"/>
                <w:sz w:val="24"/>
                <w:szCs w:val="24"/>
                <w:highlight w:val="none"/>
                <w:lang w:eastAsia="zh-CN"/>
              </w:rPr>
              <w:t>涉及</w:t>
            </w:r>
            <w:r>
              <w:rPr>
                <w:rFonts w:hint="eastAsia"/>
                <w:b w:val="0"/>
                <w:bCs/>
                <w:color w:val="auto"/>
                <w:sz w:val="24"/>
                <w:szCs w:val="24"/>
                <w:highlight w:val="none"/>
              </w:rPr>
              <w:t>的危险物质为天然气</w:t>
            </w:r>
            <w:r>
              <w:rPr>
                <w:rFonts w:hint="eastAsia"/>
                <w:b w:val="0"/>
                <w:bCs/>
                <w:color w:val="auto"/>
                <w:sz w:val="24"/>
                <w:szCs w:val="24"/>
                <w:highlight w:val="none"/>
                <w:lang w:val="en-US" w:eastAsia="zh-CN"/>
              </w:rPr>
              <w:t>和润滑油、废润滑油</w:t>
            </w:r>
            <w:r>
              <w:rPr>
                <w:rFonts w:hint="eastAsia"/>
                <w:b w:val="0"/>
                <w:bCs/>
                <w:color w:val="auto"/>
                <w:sz w:val="24"/>
                <w:szCs w:val="24"/>
                <w:highlight w:val="none"/>
              </w:rPr>
              <w:t>，潜在的环境事故风险主要为锅炉房运行过程中天然气管道发生泄漏，可能会污染所在地的大气环境。</w:t>
            </w:r>
            <w:r>
              <w:rPr>
                <w:rFonts w:hint="eastAsia"/>
                <w:b w:val="0"/>
                <w:bCs/>
                <w:color w:val="auto"/>
                <w:sz w:val="24"/>
                <w:szCs w:val="24"/>
                <w:highlight w:val="none"/>
                <w:lang w:val="en-US" w:eastAsia="zh-CN"/>
              </w:rPr>
              <w:t>润滑油不在</w:t>
            </w:r>
            <w:r>
              <w:rPr>
                <w:rFonts w:hint="eastAsia"/>
                <w:b w:val="0"/>
                <w:bCs/>
                <w:color w:val="auto"/>
                <w:sz w:val="24"/>
                <w:szCs w:val="24"/>
                <w:highlight w:val="none"/>
              </w:rPr>
              <w:t>锅炉房储存</w:t>
            </w:r>
            <w:r>
              <w:rPr>
                <w:rFonts w:hint="eastAsia"/>
                <w:b w:val="0"/>
                <w:bCs/>
                <w:color w:val="auto"/>
                <w:sz w:val="24"/>
                <w:szCs w:val="24"/>
                <w:highlight w:val="none"/>
                <w:lang w:eastAsia="zh-CN"/>
              </w:rPr>
              <w:t>，</w:t>
            </w:r>
            <w:r>
              <w:rPr>
                <w:rFonts w:hint="eastAsia"/>
                <w:b w:val="0"/>
                <w:bCs/>
                <w:color w:val="auto"/>
                <w:sz w:val="24"/>
                <w:szCs w:val="24"/>
                <w:highlight w:val="none"/>
                <w:lang w:val="en-US" w:eastAsia="zh-CN"/>
              </w:rPr>
              <w:t>废润滑油暂存量较少，废润滑油泄漏处置不当会对地表水和土壤产生影响。</w:t>
            </w:r>
          </w:p>
          <w:p w14:paraId="1185B2CA">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rFonts w:hint="eastAsia"/>
                <w:b w:val="0"/>
                <w:bCs/>
                <w:color w:val="auto"/>
                <w:sz w:val="24"/>
                <w:szCs w:val="24"/>
                <w:highlight w:val="none"/>
              </w:rPr>
              <w:t>②火灾/爆炸事故产生的次生/伴生污染</w:t>
            </w:r>
          </w:p>
          <w:p w14:paraId="173FB67B">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rFonts w:hint="eastAsia"/>
                <w:b w:val="0"/>
                <w:bCs/>
                <w:color w:val="auto"/>
                <w:sz w:val="24"/>
                <w:szCs w:val="24"/>
                <w:highlight w:val="none"/>
              </w:rPr>
              <w:t>本项目风险物质泄漏后，遇明火或高温高压燃烧或爆炸后产生的</w:t>
            </w:r>
            <w:r>
              <w:rPr>
                <w:rFonts w:hint="eastAsia"/>
                <w:b w:val="0"/>
                <w:bCs/>
                <w:color w:val="auto"/>
                <w:sz w:val="24"/>
                <w:szCs w:val="24"/>
                <w:highlight w:val="none"/>
                <w:lang w:eastAsia="zh-CN"/>
              </w:rPr>
              <w:t>颗粒物</w:t>
            </w:r>
            <w:r>
              <w:rPr>
                <w:rFonts w:hint="eastAsia"/>
                <w:b w:val="0"/>
                <w:bCs/>
                <w:color w:val="auto"/>
                <w:sz w:val="24"/>
                <w:szCs w:val="24"/>
                <w:highlight w:val="none"/>
              </w:rPr>
              <w:t>、一氧化碳、氮氧化物等次生/伴生污染物，对周围环境空气会产生一定的影响。</w:t>
            </w:r>
          </w:p>
          <w:p w14:paraId="6222DE9B">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rFonts w:hint="eastAsia"/>
                <w:b w:val="0"/>
                <w:bCs/>
                <w:color w:val="auto"/>
                <w:sz w:val="24"/>
                <w:szCs w:val="24"/>
                <w:highlight w:val="none"/>
                <w:lang w:eastAsia="zh-CN"/>
              </w:rPr>
              <w:t>（</w:t>
            </w:r>
            <w:r>
              <w:rPr>
                <w:rFonts w:hint="eastAsia"/>
                <w:b w:val="0"/>
                <w:bCs/>
                <w:color w:val="auto"/>
                <w:sz w:val="24"/>
                <w:szCs w:val="24"/>
                <w:highlight w:val="none"/>
                <w:lang w:val="en-US" w:eastAsia="zh-CN"/>
              </w:rPr>
              <w:t>4</w:t>
            </w:r>
            <w:r>
              <w:rPr>
                <w:rFonts w:hint="eastAsia"/>
                <w:b w:val="0"/>
                <w:bCs/>
                <w:color w:val="auto"/>
                <w:sz w:val="24"/>
                <w:szCs w:val="24"/>
                <w:highlight w:val="none"/>
                <w:lang w:eastAsia="zh-CN"/>
              </w:rPr>
              <w:t>）</w:t>
            </w:r>
            <w:r>
              <w:rPr>
                <w:rFonts w:hint="eastAsia"/>
                <w:b w:val="0"/>
                <w:bCs/>
                <w:color w:val="auto"/>
                <w:sz w:val="24"/>
                <w:szCs w:val="24"/>
                <w:highlight w:val="none"/>
              </w:rPr>
              <w:t>环境风险防范措施</w:t>
            </w:r>
          </w:p>
          <w:p w14:paraId="0749F05A">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rFonts w:hint="eastAsia"/>
                <w:b w:val="0"/>
                <w:bCs/>
                <w:color w:val="auto"/>
                <w:sz w:val="24"/>
                <w:szCs w:val="24"/>
                <w:highlight w:val="none"/>
              </w:rPr>
              <w:t>本项目营运期主要采取的风险防范措施如下：</w:t>
            </w:r>
          </w:p>
          <w:p w14:paraId="694595A8">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rFonts w:hint="eastAsia"/>
                <w:b w:val="0"/>
                <w:bCs/>
                <w:color w:val="auto"/>
                <w:sz w:val="24"/>
                <w:szCs w:val="24"/>
                <w:highlight w:val="none"/>
              </w:rPr>
              <w:t>①安装可燃气体报警装置、火灾自动报警、水喷雾自动灭火系统，设置防爆风机；可燃气体报警器信号与燃气总电动快速切断阀、事故排风风机</w:t>
            </w:r>
            <w:r>
              <w:rPr>
                <w:rFonts w:hint="eastAsia"/>
                <w:b w:val="0"/>
                <w:bCs/>
                <w:color w:val="auto"/>
                <w:sz w:val="24"/>
                <w:szCs w:val="24"/>
                <w:highlight w:val="none"/>
                <w:lang w:eastAsia="zh-CN"/>
              </w:rPr>
              <w:t>联锁</w:t>
            </w:r>
            <w:r>
              <w:rPr>
                <w:rFonts w:hint="eastAsia"/>
                <w:b w:val="0"/>
                <w:bCs/>
                <w:color w:val="auto"/>
                <w:sz w:val="24"/>
                <w:szCs w:val="24"/>
                <w:highlight w:val="none"/>
              </w:rPr>
              <w:t>，水喷雾系统与火灾自动报警系统</w:t>
            </w:r>
            <w:r>
              <w:rPr>
                <w:rFonts w:hint="eastAsia"/>
                <w:b w:val="0"/>
                <w:bCs/>
                <w:color w:val="auto"/>
                <w:sz w:val="24"/>
                <w:szCs w:val="24"/>
                <w:highlight w:val="none"/>
                <w:lang w:eastAsia="zh-CN"/>
              </w:rPr>
              <w:t>联锁</w:t>
            </w:r>
            <w:r>
              <w:rPr>
                <w:rFonts w:hint="eastAsia"/>
                <w:b w:val="0"/>
                <w:bCs/>
                <w:color w:val="auto"/>
                <w:sz w:val="24"/>
                <w:szCs w:val="24"/>
                <w:highlight w:val="none"/>
              </w:rPr>
              <w:t>。</w:t>
            </w:r>
          </w:p>
          <w:p w14:paraId="7F5FE83F">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rFonts w:hint="eastAsia"/>
                <w:b w:val="0"/>
                <w:bCs/>
                <w:color w:val="auto"/>
                <w:sz w:val="24"/>
                <w:szCs w:val="24"/>
                <w:highlight w:val="none"/>
              </w:rPr>
              <w:t>②天然气管道设置流量计和快速切断阀、自力式调节阀。</w:t>
            </w:r>
          </w:p>
          <w:p w14:paraId="66916F70">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rFonts w:hint="eastAsia"/>
                <w:b w:val="0"/>
                <w:bCs/>
                <w:color w:val="auto"/>
                <w:sz w:val="24"/>
                <w:szCs w:val="24"/>
                <w:highlight w:val="none"/>
              </w:rPr>
              <w:t>③天然气调压站自带控制系统；控制系统实时监视。</w:t>
            </w:r>
          </w:p>
          <w:p w14:paraId="7F38370B">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rFonts w:hint="eastAsia"/>
                <w:b w:val="0"/>
                <w:bCs/>
                <w:color w:val="auto"/>
                <w:sz w:val="24"/>
                <w:szCs w:val="24"/>
                <w:highlight w:val="none"/>
              </w:rPr>
              <w:t>④锅炉等设备设工作接地、保护接地、防雷接地、防静电接地的共同接地系统，接地系统安全可靠。</w:t>
            </w:r>
          </w:p>
          <w:p w14:paraId="3EC7AE38">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rFonts w:hint="eastAsia"/>
                <w:b w:val="0"/>
                <w:bCs/>
                <w:color w:val="auto"/>
                <w:sz w:val="24"/>
                <w:szCs w:val="24"/>
                <w:highlight w:val="none"/>
              </w:rPr>
              <w:t>⑤严格执行《建筑设计防火规范》（GB50016-2014）等相关要求，按有关安全规定配备使用、有效和足够的消防器材，以便能在起火之处迅速扑灭；配备必要的救灾防毒器具及防护用品。燃烧起火后使用</w:t>
            </w:r>
            <w:r>
              <w:rPr>
                <w:rFonts w:hint="eastAsia"/>
                <w:b w:val="0"/>
                <w:bCs/>
                <w:color w:val="auto"/>
                <w:sz w:val="24"/>
                <w:szCs w:val="24"/>
                <w:highlight w:val="none"/>
                <w:lang w:eastAsia="zh-CN"/>
              </w:rPr>
              <w:t>消防砂</w:t>
            </w:r>
            <w:r>
              <w:rPr>
                <w:rFonts w:hint="eastAsia"/>
                <w:b w:val="0"/>
                <w:bCs/>
                <w:color w:val="auto"/>
                <w:sz w:val="24"/>
                <w:szCs w:val="24"/>
                <w:highlight w:val="none"/>
              </w:rPr>
              <w:t>扑灭，可使用干粉、二氧化碳、泡沫灭火剂。凡禁火区均设置明显标志牌。各种易燃易爆物料均储存在阴凉、通风处，远离火源，避免与强氧化剂接触。</w:t>
            </w:r>
          </w:p>
          <w:p w14:paraId="4BB7F688">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rFonts w:hint="eastAsia"/>
                <w:b w:val="0"/>
                <w:bCs/>
                <w:color w:val="auto"/>
                <w:sz w:val="24"/>
                <w:szCs w:val="24"/>
                <w:highlight w:val="none"/>
              </w:rPr>
              <w:t>⑥制定安全生产制度，严格按照程序生产，确保安全生产。制定消防工作计划，开展每月一次的防火安全检查，加强日常的防火巡查，确定重点防火部位，明确检查内容，发现问题及时汇报整改。</w:t>
            </w:r>
          </w:p>
          <w:p w14:paraId="6E1CB1E7">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b w:val="0"/>
                <w:bCs/>
                <w:color w:val="auto"/>
                <w:sz w:val="24"/>
                <w:szCs w:val="24"/>
                <w:highlight w:val="none"/>
              </w:rPr>
            </w:pPr>
            <w:r>
              <w:rPr>
                <w:rFonts w:hint="eastAsia"/>
                <w:b w:val="0"/>
                <w:bCs/>
                <w:color w:val="auto"/>
                <w:sz w:val="24"/>
                <w:szCs w:val="24"/>
                <w:highlight w:val="none"/>
                <w:lang w:eastAsia="zh-CN"/>
              </w:rPr>
              <w:t>（</w:t>
            </w:r>
            <w:r>
              <w:rPr>
                <w:rFonts w:hint="eastAsia"/>
                <w:b w:val="0"/>
                <w:bCs/>
                <w:color w:val="auto"/>
                <w:sz w:val="24"/>
                <w:szCs w:val="24"/>
                <w:highlight w:val="none"/>
                <w:lang w:val="en-US" w:eastAsia="zh-CN"/>
              </w:rPr>
              <w:t>5</w:t>
            </w:r>
            <w:r>
              <w:rPr>
                <w:rFonts w:hint="eastAsia"/>
                <w:b w:val="0"/>
                <w:bCs/>
                <w:color w:val="auto"/>
                <w:sz w:val="24"/>
                <w:szCs w:val="24"/>
                <w:highlight w:val="none"/>
                <w:lang w:eastAsia="zh-CN"/>
              </w:rPr>
              <w:t>）</w:t>
            </w:r>
            <w:r>
              <w:rPr>
                <w:rFonts w:hint="eastAsia"/>
                <w:b w:val="0"/>
                <w:bCs/>
                <w:color w:val="auto"/>
                <w:sz w:val="24"/>
                <w:szCs w:val="24"/>
                <w:highlight w:val="none"/>
              </w:rPr>
              <w:t>环境风险评价结论</w:t>
            </w:r>
          </w:p>
          <w:p w14:paraId="45B315AA">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b w:val="0"/>
                <w:bCs/>
                <w:color w:val="auto"/>
                <w:spacing w:val="-10"/>
                <w:sz w:val="24"/>
                <w:szCs w:val="24"/>
                <w:highlight w:val="green"/>
              </w:rPr>
            </w:pPr>
            <w:r>
              <w:rPr>
                <w:rFonts w:hint="eastAsia"/>
                <w:b w:val="0"/>
                <w:bCs/>
                <w:color w:val="auto"/>
                <w:sz w:val="24"/>
                <w:szCs w:val="24"/>
                <w:highlight w:val="none"/>
              </w:rPr>
              <w:t>建设单位应做到思想上高度重视、认识上见微知著，防范上时刻不忘，按国家有关技术规范和本报告表落实相关环境风险防范措施，切实加强组织领导，扎实加强应急能力建设，努力规范和完善应急预案，认真组织应急预案演练，力争在风险发生的最初时间就确保风险源能够得到及时有效</w:t>
            </w:r>
            <w:r>
              <w:rPr>
                <w:rFonts w:hint="eastAsia"/>
                <w:b w:val="0"/>
                <w:bCs/>
                <w:color w:val="auto"/>
                <w:sz w:val="24"/>
                <w:szCs w:val="24"/>
                <w:highlight w:val="none"/>
                <w:lang w:eastAsia="zh-CN"/>
              </w:rPr>
              <w:t>的</w:t>
            </w:r>
            <w:r>
              <w:rPr>
                <w:rFonts w:hint="eastAsia"/>
                <w:b w:val="0"/>
                <w:bCs/>
                <w:color w:val="auto"/>
                <w:sz w:val="24"/>
                <w:szCs w:val="24"/>
                <w:highlight w:val="none"/>
              </w:rPr>
              <w:t>控制，尽可能避免重大人员伤亡和财产损失事故的发生，同时尽可能减轻对周围环境造成影响。</w:t>
            </w:r>
          </w:p>
        </w:tc>
      </w:tr>
    </w:tbl>
    <w:p w14:paraId="3F77F252">
      <w:pPr>
        <w:adjustRightInd w:val="0"/>
        <w:snapToGrid w:val="0"/>
        <w:spacing w:line="360" w:lineRule="auto"/>
        <w:rPr>
          <w:b/>
          <w:color w:val="auto"/>
          <w:kern w:val="0"/>
          <w:sz w:val="28"/>
          <w:szCs w:val="28"/>
          <w:highlight w:val="green"/>
        </w:rPr>
        <w:sectPr>
          <w:pgSz w:w="11905" w:h="16838"/>
          <w:pgMar w:top="1134" w:right="1134" w:bottom="1134" w:left="1247" w:header="851" w:footer="1077" w:gutter="0"/>
          <w:pgBorders>
            <w:top w:val="none" w:sz="0" w:space="0"/>
            <w:left w:val="none" w:sz="0" w:space="0"/>
            <w:bottom w:val="none" w:sz="0" w:space="0"/>
            <w:right w:val="none" w:sz="0" w:space="0"/>
          </w:pgBorders>
          <w:pgNumType w:fmt="decimal"/>
          <w:cols w:space="720" w:num="1"/>
          <w:docGrid w:linePitch="312" w:charSpace="0"/>
        </w:sectPr>
      </w:pPr>
    </w:p>
    <w:p w14:paraId="6E2CAB25">
      <w:pPr>
        <w:pStyle w:val="33"/>
        <w:spacing w:before="0" w:beforeAutospacing="0" w:after="0" w:afterAutospacing="0"/>
        <w:jc w:val="center"/>
        <w:outlineLvl w:val="0"/>
        <w:rPr>
          <w:rFonts w:ascii="黑体" w:hAnsi="黑体" w:eastAsia="黑体"/>
          <w:snapToGrid w:val="0"/>
          <w:color w:val="auto"/>
          <w:sz w:val="30"/>
          <w:szCs w:val="30"/>
          <w:highlight w:val="none"/>
        </w:rPr>
      </w:pPr>
      <w:bookmarkStart w:id="22" w:name="_Toc31539"/>
      <w:r>
        <w:rPr>
          <w:rFonts w:ascii="黑体" w:hAnsi="黑体" w:eastAsia="黑体"/>
          <w:snapToGrid w:val="0"/>
          <w:color w:val="auto"/>
          <w:sz w:val="30"/>
          <w:szCs w:val="30"/>
          <w:highlight w:val="none"/>
        </w:rPr>
        <w:t>五、</w:t>
      </w:r>
      <w:bookmarkStart w:id="23" w:name="_Hlk54167917"/>
      <w:r>
        <w:rPr>
          <w:rFonts w:ascii="黑体" w:hAnsi="黑体" w:eastAsia="黑体"/>
          <w:snapToGrid w:val="0"/>
          <w:color w:val="auto"/>
          <w:sz w:val="30"/>
          <w:szCs w:val="30"/>
          <w:highlight w:val="none"/>
        </w:rPr>
        <w:t>环境保护措施监督检查清单</w:t>
      </w:r>
      <w:bookmarkEnd w:id="22"/>
      <w:bookmarkEnd w:id="23"/>
    </w:p>
    <w:tbl>
      <w:tblPr>
        <w:tblStyle w:val="37"/>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1763"/>
        <w:gridCol w:w="1437"/>
        <w:gridCol w:w="1950"/>
        <w:gridCol w:w="3297"/>
      </w:tblGrid>
      <w:tr w14:paraId="19C1CC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76" w:type="dxa"/>
            <w:tcBorders>
              <w:tl2br w:val="single" w:color="auto" w:sz="4" w:space="0"/>
            </w:tcBorders>
            <w:noWrap w:val="0"/>
            <w:vAlign w:val="center"/>
          </w:tcPr>
          <w:p w14:paraId="64669F4E">
            <w:pPr>
              <w:adjustRightInd w:val="0"/>
              <w:snapToGrid w:val="0"/>
              <w:ind w:firstLine="480" w:firstLineChars="200"/>
              <w:jc w:val="center"/>
              <w:rPr>
                <w:color w:val="auto"/>
                <w:sz w:val="24"/>
                <w:szCs w:val="24"/>
                <w:highlight w:val="none"/>
              </w:rPr>
            </w:pPr>
            <w:r>
              <w:rPr>
                <w:rFonts w:hAnsi="宋体"/>
                <w:color w:val="auto"/>
                <w:sz w:val="24"/>
                <w:szCs w:val="24"/>
                <w:highlight w:val="none"/>
              </w:rPr>
              <w:t>内容</w:t>
            </w:r>
          </w:p>
          <w:p w14:paraId="57B266C2">
            <w:pPr>
              <w:adjustRightInd w:val="0"/>
              <w:snapToGrid w:val="0"/>
              <w:rPr>
                <w:color w:val="auto"/>
                <w:sz w:val="24"/>
                <w:szCs w:val="24"/>
                <w:highlight w:val="none"/>
              </w:rPr>
            </w:pPr>
            <w:r>
              <w:rPr>
                <w:rFonts w:hAnsi="宋体"/>
                <w:color w:val="auto"/>
                <w:sz w:val="24"/>
                <w:szCs w:val="24"/>
                <w:highlight w:val="none"/>
              </w:rPr>
              <w:t>要素</w:t>
            </w:r>
          </w:p>
        </w:tc>
        <w:tc>
          <w:tcPr>
            <w:tcW w:w="1763" w:type="dxa"/>
            <w:noWrap w:val="0"/>
            <w:vAlign w:val="center"/>
          </w:tcPr>
          <w:p w14:paraId="39580D3B">
            <w:pPr>
              <w:adjustRightInd w:val="0"/>
              <w:snapToGrid w:val="0"/>
              <w:jc w:val="center"/>
              <w:rPr>
                <w:rFonts w:hAnsi="宋体"/>
                <w:color w:val="auto"/>
                <w:sz w:val="24"/>
                <w:szCs w:val="24"/>
                <w:highlight w:val="none"/>
              </w:rPr>
            </w:pPr>
            <w:r>
              <w:rPr>
                <w:rFonts w:hAnsi="宋体"/>
                <w:color w:val="auto"/>
                <w:sz w:val="24"/>
                <w:szCs w:val="24"/>
                <w:highlight w:val="none"/>
              </w:rPr>
              <w:t>排放口</w:t>
            </w:r>
          </w:p>
          <w:p w14:paraId="4D61B225">
            <w:pPr>
              <w:adjustRightInd w:val="0"/>
              <w:snapToGrid w:val="0"/>
              <w:jc w:val="center"/>
              <w:rPr>
                <w:color w:val="auto"/>
                <w:sz w:val="24"/>
                <w:szCs w:val="24"/>
                <w:highlight w:val="none"/>
              </w:rPr>
            </w:pPr>
            <w:r>
              <w:rPr>
                <w:rFonts w:hint="eastAsia"/>
                <w:color w:val="auto"/>
                <w:sz w:val="24"/>
                <w:szCs w:val="24"/>
                <w:highlight w:val="none"/>
                <w:lang w:eastAsia="zh-CN"/>
              </w:rPr>
              <w:t>（</w:t>
            </w:r>
            <w:r>
              <w:rPr>
                <w:rFonts w:hAnsi="宋体"/>
                <w:color w:val="auto"/>
                <w:sz w:val="24"/>
                <w:szCs w:val="24"/>
                <w:highlight w:val="none"/>
              </w:rPr>
              <w:t>编号、名称</w:t>
            </w:r>
            <w:r>
              <w:rPr>
                <w:rFonts w:hint="eastAsia" w:hAnsi="宋体"/>
                <w:color w:val="auto"/>
                <w:sz w:val="24"/>
                <w:szCs w:val="24"/>
                <w:highlight w:val="none"/>
                <w:lang w:eastAsia="zh-CN"/>
              </w:rPr>
              <w:t>）</w:t>
            </w:r>
            <w:r>
              <w:rPr>
                <w:color w:val="auto"/>
                <w:sz w:val="24"/>
                <w:szCs w:val="24"/>
                <w:highlight w:val="none"/>
              </w:rPr>
              <w:t>/</w:t>
            </w:r>
            <w:r>
              <w:rPr>
                <w:rFonts w:hAnsi="宋体"/>
                <w:color w:val="auto"/>
                <w:sz w:val="24"/>
                <w:szCs w:val="24"/>
                <w:highlight w:val="none"/>
              </w:rPr>
              <w:t>污染源</w:t>
            </w:r>
          </w:p>
        </w:tc>
        <w:tc>
          <w:tcPr>
            <w:tcW w:w="1437" w:type="dxa"/>
            <w:noWrap w:val="0"/>
            <w:vAlign w:val="center"/>
          </w:tcPr>
          <w:p w14:paraId="4F258D16">
            <w:pPr>
              <w:adjustRightInd w:val="0"/>
              <w:snapToGrid w:val="0"/>
              <w:jc w:val="center"/>
              <w:rPr>
                <w:color w:val="auto"/>
                <w:sz w:val="24"/>
                <w:szCs w:val="24"/>
                <w:highlight w:val="none"/>
              </w:rPr>
            </w:pPr>
            <w:r>
              <w:rPr>
                <w:rFonts w:hAnsi="宋体"/>
                <w:color w:val="auto"/>
                <w:sz w:val="24"/>
                <w:szCs w:val="24"/>
                <w:highlight w:val="none"/>
              </w:rPr>
              <w:t>污染物项目</w:t>
            </w:r>
          </w:p>
        </w:tc>
        <w:tc>
          <w:tcPr>
            <w:tcW w:w="1950" w:type="dxa"/>
            <w:noWrap w:val="0"/>
            <w:vAlign w:val="center"/>
          </w:tcPr>
          <w:p w14:paraId="274C784D">
            <w:pPr>
              <w:adjustRightInd w:val="0"/>
              <w:snapToGrid w:val="0"/>
              <w:jc w:val="center"/>
              <w:rPr>
                <w:color w:val="auto"/>
                <w:sz w:val="24"/>
                <w:szCs w:val="24"/>
                <w:highlight w:val="none"/>
              </w:rPr>
            </w:pPr>
            <w:r>
              <w:rPr>
                <w:rFonts w:hAnsi="宋体"/>
                <w:color w:val="auto"/>
                <w:sz w:val="24"/>
                <w:szCs w:val="24"/>
                <w:highlight w:val="none"/>
              </w:rPr>
              <w:t>环境保护措施</w:t>
            </w:r>
          </w:p>
        </w:tc>
        <w:tc>
          <w:tcPr>
            <w:tcW w:w="3297" w:type="dxa"/>
            <w:noWrap w:val="0"/>
            <w:vAlign w:val="center"/>
          </w:tcPr>
          <w:p w14:paraId="747F2989">
            <w:pPr>
              <w:adjustRightInd w:val="0"/>
              <w:snapToGrid w:val="0"/>
              <w:jc w:val="center"/>
              <w:rPr>
                <w:color w:val="auto"/>
                <w:sz w:val="24"/>
                <w:szCs w:val="24"/>
                <w:highlight w:val="none"/>
              </w:rPr>
            </w:pPr>
            <w:r>
              <w:rPr>
                <w:rFonts w:hAnsi="宋体"/>
                <w:color w:val="auto"/>
                <w:sz w:val="24"/>
                <w:szCs w:val="24"/>
                <w:highlight w:val="none"/>
              </w:rPr>
              <w:t>执行标准</w:t>
            </w:r>
          </w:p>
        </w:tc>
      </w:tr>
      <w:tr w14:paraId="762907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034" w:hRule="atLeast"/>
        </w:trPr>
        <w:tc>
          <w:tcPr>
            <w:tcW w:w="1176" w:type="dxa"/>
            <w:noWrap w:val="0"/>
            <w:vAlign w:val="center"/>
          </w:tcPr>
          <w:p w14:paraId="3BB7EBB0">
            <w:pPr>
              <w:adjustRightInd w:val="0"/>
              <w:snapToGrid w:val="0"/>
              <w:jc w:val="center"/>
              <w:rPr>
                <w:color w:val="auto"/>
                <w:sz w:val="24"/>
                <w:szCs w:val="24"/>
                <w:highlight w:val="none"/>
              </w:rPr>
            </w:pPr>
            <w:r>
              <w:rPr>
                <w:rFonts w:hAnsi="宋体"/>
                <w:color w:val="auto"/>
                <w:sz w:val="24"/>
                <w:szCs w:val="24"/>
                <w:highlight w:val="none"/>
              </w:rPr>
              <w:t>大气环境</w:t>
            </w:r>
          </w:p>
        </w:tc>
        <w:tc>
          <w:tcPr>
            <w:tcW w:w="1763" w:type="dxa"/>
            <w:noWrap w:val="0"/>
            <w:vAlign w:val="center"/>
          </w:tcPr>
          <w:p w14:paraId="7BF8DF62">
            <w:pPr>
              <w:adjustRightInd w:val="0"/>
              <w:snapToGrid w:val="0"/>
              <w:jc w:val="center"/>
              <w:rPr>
                <w:rFonts w:hint="default" w:hAnsi="宋体"/>
                <w:color w:val="auto"/>
                <w:sz w:val="24"/>
                <w:szCs w:val="24"/>
                <w:highlight w:val="none"/>
                <w:lang w:val="en-US"/>
              </w:rPr>
            </w:pPr>
            <w:r>
              <w:rPr>
                <w:rFonts w:hint="eastAsia" w:hAnsi="宋体" w:cs="Times New Roman"/>
                <w:color w:val="auto"/>
                <w:kern w:val="2"/>
                <w:sz w:val="24"/>
                <w:szCs w:val="24"/>
                <w:highlight w:val="none"/>
                <w:lang w:val="en-US" w:eastAsia="zh-CN" w:bidi="ar-SA"/>
              </w:rPr>
              <w:t>燃气锅炉排放口（DA001）</w:t>
            </w:r>
          </w:p>
        </w:tc>
        <w:tc>
          <w:tcPr>
            <w:tcW w:w="1437" w:type="dxa"/>
            <w:noWrap w:val="0"/>
            <w:vAlign w:val="center"/>
          </w:tcPr>
          <w:p w14:paraId="3A978365">
            <w:pPr>
              <w:adjustRightInd w:val="0"/>
              <w:snapToGrid w:val="0"/>
              <w:jc w:val="center"/>
              <w:rPr>
                <w:color w:val="auto"/>
                <w:sz w:val="24"/>
                <w:szCs w:val="24"/>
                <w:highlight w:val="none"/>
              </w:rPr>
            </w:pPr>
            <w:r>
              <w:rPr>
                <w:rFonts w:hint="eastAsia"/>
                <w:color w:val="auto"/>
                <w:sz w:val="24"/>
                <w:szCs w:val="24"/>
                <w:highlight w:val="none"/>
                <w:lang w:eastAsia="zh-CN"/>
              </w:rPr>
              <w:t>林格曼黑度、</w:t>
            </w:r>
            <w:r>
              <w:rPr>
                <w:rFonts w:hint="eastAsia"/>
                <w:color w:val="auto"/>
                <w:sz w:val="24"/>
                <w:szCs w:val="24"/>
                <w:highlight w:val="none"/>
              </w:rPr>
              <w:t>颗粒物、</w:t>
            </w:r>
            <w:r>
              <w:rPr>
                <w:color w:val="auto"/>
                <w:sz w:val="24"/>
                <w:szCs w:val="24"/>
                <w:highlight w:val="none"/>
              </w:rPr>
              <w:t>SO</w:t>
            </w:r>
            <w:r>
              <w:rPr>
                <w:color w:val="auto"/>
                <w:sz w:val="24"/>
                <w:szCs w:val="24"/>
                <w:highlight w:val="none"/>
                <w:vertAlign w:val="subscript"/>
              </w:rPr>
              <w:t>2</w:t>
            </w:r>
            <w:r>
              <w:rPr>
                <w:rFonts w:hint="eastAsia"/>
                <w:color w:val="auto"/>
                <w:sz w:val="24"/>
                <w:szCs w:val="24"/>
                <w:highlight w:val="none"/>
              </w:rPr>
              <w:t>、</w:t>
            </w:r>
            <w:r>
              <w:rPr>
                <w:color w:val="auto"/>
                <w:sz w:val="24"/>
                <w:szCs w:val="24"/>
                <w:highlight w:val="none"/>
              </w:rPr>
              <w:t>NO</w:t>
            </w:r>
            <w:r>
              <w:rPr>
                <w:color w:val="auto"/>
                <w:sz w:val="24"/>
                <w:szCs w:val="24"/>
                <w:highlight w:val="none"/>
                <w:vertAlign w:val="subscript"/>
              </w:rPr>
              <w:t>X</w:t>
            </w:r>
          </w:p>
        </w:tc>
        <w:tc>
          <w:tcPr>
            <w:tcW w:w="1950" w:type="dxa"/>
            <w:noWrap w:val="0"/>
            <w:vAlign w:val="center"/>
          </w:tcPr>
          <w:p w14:paraId="189E9BC3">
            <w:pPr>
              <w:adjustRightInd w:val="0"/>
              <w:snapToGrid w:val="0"/>
              <w:jc w:val="center"/>
              <w:rPr>
                <w:color w:val="auto"/>
                <w:sz w:val="24"/>
                <w:szCs w:val="24"/>
                <w:highlight w:val="none"/>
              </w:rPr>
            </w:pPr>
            <w:r>
              <w:rPr>
                <w:rFonts w:hint="eastAsia"/>
                <w:color w:val="auto"/>
                <w:sz w:val="24"/>
                <w:szCs w:val="24"/>
                <w:highlight w:val="none"/>
                <w:lang w:eastAsia="zh-CN"/>
              </w:rPr>
              <w:t>低氮燃烧系统</w:t>
            </w:r>
            <w:r>
              <w:rPr>
                <w:rFonts w:hint="eastAsia"/>
                <w:color w:val="auto"/>
                <w:sz w:val="24"/>
                <w:szCs w:val="24"/>
                <w:highlight w:val="none"/>
                <w:lang w:val="en-US" w:eastAsia="zh-CN"/>
              </w:rPr>
              <w:t>+不低于18</w:t>
            </w:r>
            <w:r>
              <w:rPr>
                <w:rFonts w:hint="eastAsia"/>
                <w:color w:val="auto"/>
                <w:sz w:val="24"/>
                <w:szCs w:val="24"/>
                <w:highlight w:val="none"/>
              </w:rPr>
              <w:t>m排气筒</w:t>
            </w:r>
          </w:p>
        </w:tc>
        <w:tc>
          <w:tcPr>
            <w:tcW w:w="3297" w:type="dxa"/>
            <w:noWrap w:val="0"/>
            <w:vAlign w:val="center"/>
          </w:tcPr>
          <w:p w14:paraId="66EDE9C6">
            <w:pPr>
              <w:adjustRightInd w:val="0"/>
              <w:snapToGrid w:val="0"/>
              <w:jc w:val="center"/>
              <w:rPr>
                <w:rFonts w:hint="eastAsia" w:eastAsia="宋体"/>
                <w:color w:val="auto"/>
                <w:sz w:val="24"/>
                <w:szCs w:val="24"/>
                <w:highlight w:val="none"/>
                <w:lang w:eastAsia="zh-CN"/>
              </w:rPr>
            </w:pPr>
            <w:r>
              <w:rPr>
                <w:color w:val="auto"/>
                <w:sz w:val="24"/>
                <w:szCs w:val="24"/>
                <w:highlight w:val="none"/>
              </w:rPr>
              <w:t>《锅炉大气污染物排放标准》</w:t>
            </w:r>
            <w:r>
              <w:rPr>
                <w:rFonts w:hint="eastAsia"/>
                <w:color w:val="auto"/>
                <w:sz w:val="24"/>
                <w:szCs w:val="24"/>
                <w:highlight w:val="none"/>
              </w:rPr>
              <w:t>（</w:t>
            </w:r>
            <w:r>
              <w:rPr>
                <w:color w:val="auto"/>
                <w:sz w:val="24"/>
                <w:szCs w:val="24"/>
                <w:highlight w:val="none"/>
              </w:rPr>
              <w:t>DB61/1226-2018</w:t>
            </w:r>
            <w:r>
              <w:rPr>
                <w:rFonts w:hint="eastAsia"/>
                <w:color w:val="auto"/>
                <w:sz w:val="24"/>
                <w:szCs w:val="24"/>
                <w:highlight w:val="none"/>
              </w:rPr>
              <w:t>）</w:t>
            </w:r>
            <w:r>
              <w:rPr>
                <w:rFonts w:hint="eastAsia"/>
                <w:color w:val="auto"/>
                <w:sz w:val="24"/>
                <w:szCs w:val="24"/>
                <w:highlight w:val="none"/>
                <w:lang w:eastAsia="zh-CN"/>
              </w:rPr>
              <w:t>、</w:t>
            </w:r>
            <w:r>
              <w:rPr>
                <w:rFonts w:hAnsi="宋体"/>
                <w:b w:val="0"/>
                <w:bCs w:val="0"/>
                <w:color w:val="auto"/>
                <w:sz w:val="24"/>
                <w:szCs w:val="24"/>
                <w:highlight w:val="none"/>
              </w:rPr>
              <w:t>《锅炉大气污染物排放标准》</w:t>
            </w:r>
            <w:r>
              <w:rPr>
                <w:rFonts w:hint="eastAsia" w:hAnsi="宋体"/>
                <w:b w:val="0"/>
                <w:bCs w:val="0"/>
                <w:color w:val="auto"/>
                <w:sz w:val="24"/>
                <w:szCs w:val="24"/>
                <w:highlight w:val="none"/>
              </w:rPr>
              <w:t>（</w:t>
            </w:r>
            <w:r>
              <w:rPr>
                <w:rFonts w:hint="eastAsia"/>
                <w:b w:val="0"/>
                <w:bCs w:val="0"/>
                <w:color w:val="auto"/>
                <w:sz w:val="24"/>
                <w:szCs w:val="24"/>
                <w:highlight w:val="none"/>
              </w:rPr>
              <w:t>G</w:t>
            </w:r>
            <w:r>
              <w:rPr>
                <w:b w:val="0"/>
                <w:bCs w:val="0"/>
                <w:color w:val="auto"/>
                <w:sz w:val="24"/>
                <w:szCs w:val="24"/>
                <w:highlight w:val="none"/>
              </w:rPr>
              <w:t>B</w:t>
            </w:r>
            <w:r>
              <w:rPr>
                <w:rFonts w:hint="eastAsia"/>
                <w:b w:val="0"/>
                <w:bCs w:val="0"/>
                <w:color w:val="auto"/>
                <w:sz w:val="24"/>
                <w:szCs w:val="24"/>
                <w:highlight w:val="none"/>
              </w:rPr>
              <w:t>13271</w:t>
            </w:r>
            <w:r>
              <w:rPr>
                <w:b w:val="0"/>
                <w:bCs w:val="0"/>
                <w:color w:val="auto"/>
                <w:sz w:val="24"/>
                <w:szCs w:val="24"/>
                <w:highlight w:val="none"/>
              </w:rPr>
              <w:t>-201</w:t>
            </w:r>
            <w:r>
              <w:rPr>
                <w:rFonts w:hint="eastAsia"/>
                <w:b w:val="0"/>
                <w:bCs w:val="0"/>
                <w:color w:val="auto"/>
                <w:sz w:val="24"/>
                <w:szCs w:val="24"/>
                <w:highlight w:val="none"/>
              </w:rPr>
              <w:t>4）</w:t>
            </w:r>
          </w:p>
        </w:tc>
      </w:tr>
      <w:tr w14:paraId="0FCE9A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76" w:type="dxa"/>
            <w:noWrap w:val="0"/>
            <w:vAlign w:val="center"/>
          </w:tcPr>
          <w:p w14:paraId="243DA1CC">
            <w:pPr>
              <w:adjustRightInd w:val="0"/>
              <w:snapToGrid w:val="0"/>
              <w:jc w:val="center"/>
              <w:rPr>
                <w:rFonts w:hAnsi="宋体"/>
                <w:color w:val="auto"/>
                <w:sz w:val="24"/>
                <w:szCs w:val="24"/>
                <w:highlight w:val="none"/>
              </w:rPr>
            </w:pPr>
            <w:r>
              <w:rPr>
                <w:rFonts w:hint="eastAsia" w:hAnsi="宋体"/>
                <w:color w:val="auto"/>
                <w:sz w:val="24"/>
                <w:szCs w:val="24"/>
                <w:highlight w:val="none"/>
              </w:rPr>
              <w:t>地表水</w:t>
            </w:r>
          </w:p>
          <w:p w14:paraId="796D4E53">
            <w:pPr>
              <w:adjustRightInd w:val="0"/>
              <w:snapToGrid w:val="0"/>
              <w:jc w:val="center"/>
              <w:rPr>
                <w:rFonts w:hAnsi="宋体"/>
                <w:color w:val="auto"/>
                <w:sz w:val="24"/>
                <w:szCs w:val="24"/>
                <w:highlight w:val="none"/>
              </w:rPr>
            </w:pPr>
            <w:r>
              <w:rPr>
                <w:rFonts w:hAnsi="宋体"/>
                <w:color w:val="auto"/>
                <w:sz w:val="24"/>
                <w:szCs w:val="24"/>
                <w:highlight w:val="none"/>
              </w:rPr>
              <w:t>环境</w:t>
            </w:r>
          </w:p>
        </w:tc>
        <w:tc>
          <w:tcPr>
            <w:tcW w:w="1763" w:type="dxa"/>
            <w:noWrap w:val="0"/>
            <w:vAlign w:val="center"/>
          </w:tcPr>
          <w:p w14:paraId="10C231DA">
            <w:pPr>
              <w:pStyle w:val="178"/>
              <w:spacing w:line="240" w:lineRule="auto"/>
              <w:jc w:val="center"/>
              <w:rPr>
                <w:rFonts w:hint="eastAsia"/>
                <w:color w:val="auto"/>
                <w:kern w:val="2"/>
                <w:sz w:val="24"/>
                <w:szCs w:val="24"/>
                <w:highlight w:val="none"/>
                <w:lang w:val="en-US" w:eastAsia="zh-CN" w:bidi="ar-SA"/>
              </w:rPr>
            </w:pPr>
            <w:r>
              <w:rPr>
                <w:rFonts w:hint="eastAsia"/>
                <w:color w:val="auto"/>
                <w:sz w:val="24"/>
                <w:szCs w:val="24"/>
                <w:highlight w:val="none"/>
                <w:lang w:val="en-US" w:eastAsia="zh-CN"/>
              </w:rPr>
              <w:t>锅炉房废水</w:t>
            </w:r>
            <w:r>
              <w:rPr>
                <w:color w:val="auto"/>
                <w:sz w:val="24"/>
                <w:szCs w:val="24"/>
                <w:highlight w:val="none"/>
              </w:rPr>
              <w:t>排口</w:t>
            </w:r>
            <w:r>
              <w:rPr>
                <w:rFonts w:hint="eastAsia" w:hAnsi="宋体" w:cs="Times New Roman"/>
                <w:color w:val="auto"/>
                <w:kern w:val="2"/>
                <w:sz w:val="24"/>
                <w:szCs w:val="24"/>
                <w:highlight w:val="none"/>
                <w:lang w:val="en-US" w:eastAsia="zh-CN" w:bidi="ar-SA"/>
              </w:rPr>
              <w:t>（DW001）</w:t>
            </w:r>
          </w:p>
        </w:tc>
        <w:tc>
          <w:tcPr>
            <w:tcW w:w="1437" w:type="dxa"/>
            <w:noWrap w:val="0"/>
            <w:vAlign w:val="center"/>
          </w:tcPr>
          <w:p w14:paraId="5CA14A18">
            <w:pPr>
              <w:adjustRightInd w:val="0"/>
              <w:snapToGrid w:val="0"/>
              <w:jc w:val="center"/>
              <w:rPr>
                <w:rFonts w:hint="eastAsia" w:eastAsia="宋体"/>
                <w:color w:val="auto"/>
                <w:sz w:val="24"/>
                <w:szCs w:val="24"/>
                <w:highlight w:val="none"/>
                <w:lang w:val="en-US" w:eastAsia="zh-CN"/>
              </w:rPr>
            </w:pPr>
            <w:r>
              <w:rPr>
                <w:rFonts w:hint="eastAsia"/>
                <w:color w:val="auto"/>
                <w:sz w:val="24"/>
                <w:szCs w:val="24"/>
                <w:highlight w:val="none"/>
                <w:lang w:val="en-US" w:eastAsia="zh-CN"/>
              </w:rPr>
              <w:t>pH、</w:t>
            </w:r>
            <w:r>
              <w:rPr>
                <w:rFonts w:hint="eastAsia"/>
                <w:color w:val="auto"/>
                <w:sz w:val="24"/>
                <w:szCs w:val="24"/>
                <w:highlight w:val="none"/>
              </w:rPr>
              <w:t>COD、BOD</w:t>
            </w:r>
            <w:r>
              <w:rPr>
                <w:rFonts w:hint="eastAsia"/>
                <w:color w:val="auto"/>
                <w:sz w:val="24"/>
                <w:szCs w:val="24"/>
                <w:highlight w:val="none"/>
                <w:vertAlign w:val="subscript"/>
              </w:rPr>
              <w:t>5</w:t>
            </w:r>
            <w:r>
              <w:rPr>
                <w:rFonts w:hint="eastAsia"/>
                <w:color w:val="auto"/>
                <w:sz w:val="24"/>
                <w:szCs w:val="24"/>
                <w:highlight w:val="none"/>
              </w:rPr>
              <w:t>、SS</w:t>
            </w:r>
            <w:r>
              <w:rPr>
                <w:rFonts w:hint="eastAsia"/>
                <w:color w:val="auto"/>
                <w:sz w:val="24"/>
                <w:szCs w:val="24"/>
                <w:highlight w:val="none"/>
                <w:lang w:val="en-US" w:eastAsia="zh-CN"/>
              </w:rPr>
              <w:t>等</w:t>
            </w:r>
          </w:p>
        </w:tc>
        <w:tc>
          <w:tcPr>
            <w:tcW w:w="1950" w:type="dxa"/>
            <w:noWrap w:val="0"/>
            <w:vAlign w:val="center"/>
          </w:tcPr>
          <w:p w14:paraId="5F8C49C1">
            <w:pPr>
              <w:adjustRightInd w:val="0"/>
              <w:snapToGrid w:val="0"/>
              <w:jc w:val="center"/>
              <w:rPr>
                <w:rFonts w:hint="default"/>
                <w:color w:val="auto"/>
                <w:sz w:val="24"/>
                <w:szCs w:val="24"/>
                <w:highlight w:val="none"/>
                <w:lang w:val="en-US"/>
              </w:rPr>
            </w:pPr>
            <w:r>
              <w:rPr>
                <w:rFonts w:hint="eastAsia"/>
                <w:color w:val="auto"/>
                <w:sz w:val="24"/>
                <w:szCs w:val="24"/>
                <w:highlight w:val="none"/>
                <w:lang w:val="en-US" w:eastAsia="zh-CN"/>
              </w:rPr>
              <w:t>经冷却水槽冷却后排入小区化粪池</w:t>
            </w:r>
          </w:p>
        </w:tc>
        <w:tc>
          <w:tcPr>
            <w:tcW w:w="3297" w:type="dxa"/>
            <w:noWrap w:val="0"/>
            <w:vAlign w:val="center"/>
          </w:tcPr>
          <w:p w14:paraId="0E03D280">
            <w:pPr>
              <w:adjustRightInd w:val="0"/>
              <w:snapToGrid w:val="0"/>
              <w:jc w:val="center"/>
              <w:rPr>
                <w:rFonts w:hint="eastAsia"/>
                <w:iCs/>
                <w:color w:val="auto"/>
                <w:kern w:val="2"/>
                <w:sz w:val="24"/>
                <w:szCs w:val="24"/>
                <w:highlight w:val="none"/>
                <w:lang w:val="en-US" w:eastAsia="zh-CN" w:bidi="ar-SA"/>
              </w:rPr>
            </w:pPr>
            <w:r>
              <w:rPr>
                <w:rFonts w:hint="eastAsia" w:hAnsi="宋体"/>
                <w:b w:val="0"/>
                <w:bCs w:val="0"/>
                <w:color w:val="auto"/>
                <w:sz w:val="24"/>
                <w:szCs w:val="24"/>
                <w:highlight w:val="none"/>
                <w:lang w:eastAsia="zh-CN"/>
              </w:rPr>
              <w:t>《污水综合排放标准》（GB8978-1996）</w:t>
            </w:r>
            <w:r>
              <w:rPr>
                <w:rFonts w:hAnsi="宋体"/>
                <w:b w:val="0"/>
                <w:bCs w:val="0"/>
                <w:color w:val="auto"/>
                <w:sz w:val="24"/>
                <w:szCs w:val="24"/>
                <w:highlight w:val="none"/>
              </w:rPr>
              <w:t>中的三级标准及《</w:t>
            </w:r>
            <w:r>
              <w:rPr>
                <w:rFonts w:hint="eastAsia" w:hAnsi="宋体"/>
                <w:b w:val="0"/>
                <w:bCs w:val="0"/>
                <w:color w:val="auto"/>
                <w:sz w:val="24"/>
                <w:szCs w:val="24"/>
                <w:highlight w:val="none"/>
                <w:lang w:eastAsia="zh-CN"/>
              </w:rPr>
              <w:t>污水排入城镇下水道水质标准</w:t>
            </w:r>
            <w:r>
              <w:rPr>
                <w:rFonts w:hAnsi="宋体"/>
                <w:b w:val="0"/>
                <w:bCs w:val="0"/>
                <w:color w:val="auto"/>
                <w:sz w:val="24"/>
                <w:szCs w:val="24"/>
                <w:highlight w:val="none"/>
              </w:rPr>
              <w:t>》（</w:t>
            </w:r>
            <w:r>
              <w:rPr>
                <w:b w:val="0"/>
                <w:bCs w:val="0"/>
                <w:color w:val="auto"/>
                <w:sz w:val="24"/>
                <w:szCs w:val="24"/>
                <w:highlight w:val="none"/>
              </w:rPr>
              <w:t>GB/T31962-2015</w:t>
            </w:r>
            <w:r>
              <w:rPr>
                <w:rFonts w:hAnsi="宋体"/>
                <w:b w:val="0"/>
                <w:bCs w:val="0"/>
                <w:color w:val="auto"/>
                <w:sz w:val="24"/>
                <w:szCs w:val="24"/>
                <w:highlight w:val="none"/>
              </w:rPr>
              <w:t>）中的</w:t>
            </w:r>
            <w:r>
              <w:rPr>
                <w:rFonts w:hint="eastAsia"/>
                <w:b w:val="0"/>
                <w:bCs w:val="0"/>
                <w:color w:val="auto"/>
                <w:sz w:val="24"/>
                <w:szCs w:val="24"/>
                <w:highlight w:val="none"/>
              </w:rPr>
              <w:t>B</w:t>
            </w:r>
            <w:r>
              <w:rPr>
                <w:rFonts w:hAnsi="宋体"/>
                <w:b w:val="0"/>
                <w:bCs w:val="0"/>
                <w:color w:val="auto"/>
                <w:sz w:val="24"/>
                <w:szCs w:val="24"/>
                <w:highlight w:val="none"/>
              </w:rPr>
              <w:t>级标准</w:t>
            </w:r>
          </w:p>
        </w:tc>
      </w:tr>
      <w:tr w14:paraId="7C33E1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21" w:hRule="atLeast"/>
        </w:trPr>
        <w:tc>
          <w:tcPr>
            <w:tcW w:w="1176" w:type="dxa"/>
            <w:noWrap w:val="0"/>
            <w:vAlign w:val="center"/>
          </w:tcPr>
          <w:p w14:paraId="1F68AAE2">
            <w:pPr>
              <w:adjustRightInd w:val="0"/>
              <w:snapToGrid w:val="0"/>
              <w:jc w:val="center"/>
              <w:rPr>
                <w:rFonts w:hAnsi="宋体"/>
                <w:color w:val="auto"/>
                <w:sz w:val="24"/>
                <w:szCs w:val="24"/>
                <w:highlight w:val="none"/>
              </w:rPr>
            </w:pPr>
            <w:r>
              <w:rPr>
                <w:rFonts w:hAnsi="宋体"/>
                <w:color w:val="auto"/>
                <w:sz w:val="24"/>
                <w:szCs w:val="24"/>
                <w:highlight w:val="none"/>
              </w:rPr>
              <w:t>声环境</w:t>
            </w:r>
          </w:p>
        </w:tc>
        <w:tc>
          <w:tcPr>
            <w:tcW w:w="1763" w:type="dxa"/>
            <w:noWrap w:val="0"/>
            <w:vAlign w:val="center"/>
          </w:tcPr>
          <w:p w14:paraId="2107055A">
            <w:pPr>
              <w:widowControl/>
              <w:jc w:val="center"/>
              <w:rPr>
                <w:rFonts w:hAnsi="宋体"/>
                <w:color w:val="auto"/>
                <w:sz w:val="24"/>
                <w:szCs w:val="24"/>
                <w:highlight w:val="none"/>
              </w:rPr>
            </w:pPr>
            <w:r>
              <w:rPr>
                <w:rFonts w:hint="eastAsia"/>
                <w:color w:val="auto"/>
                <w:kern w:val="0"/>
                <w:sz w:val="24"/>
                <w:szCs w:val="24"/>
                <w:highlight w:val="none"/>
              </w:rPr>
              <w:t>水泵等设备</w:t>
            </w:r>
          </w:p>
        </w:tc>
        <w:tc>
          <w:tcPr>
            <w:tcW w:w="1437" w:type="dxa"/>
            <w:noWrap w:val="0"/>
            <w:vAlign w:val="center"/>
          </w:tcPr>
          <w:p w14:paraId="68F0A8E7">
            <w:pPr>
              <w:adjustRightInd w:val="0"/>
              <w:snapToGrid w:val="0"/>
              <w:jc w:val="center"/>
              <w:rPr>
                <w:rFonts w:ascii="Times New Roman" w:hAnsi="宋体" w:eastAsia="宋体" w:cs="Times New Roman"/>
                <w:color w:val="auto"/>
                <w:sz w:val="24"/>
                <w:szCs w:val="24"/>
                <w:highlight w:val="none"/>
              </w:rPr>
            </w:pPr>
            <w:r>
              <w:rPr>
                <w:rFonts w:ascii="Times New Roman" w:hAnsi="宋体" w:eastAsia="宋体" w:cs="Times New Roman"/>
                <w:color w:val="auto"/>
                <w:sz w:val="24"/>
                <w:szCs w:val="24"/>
                <w:highlight w:val="none"/>
              </w:rPr>
              <w:t>等效连续</w:t>
            </w:r>
          </w:p>
          <w:p w14:paraId="3B62CA7E">
            <w:pPr>
              <w:adjustRightInd w:val="0"/>
              <w:snapToGrid w:val="0"/>
              <w:jc w:val="center"/>
              <w:rPr>
                <w:rFonts w:ascii="Times New Roman" w:hAnsi="宋体" w:eastAsia="宋体" w:cs="Times New Roman"/>
                <w:color w:val="auto"/>
                <w:sz w:val="24"/>
                <w:szCs w:val="24"/>
                <w:highlight w:val="none"/>
              </w:rPr>
            </w:pPr>
            <w:r>
              <w:rPr>
                <w:rFonts w:ascii="Times New Roman" w:hAnsi="宋体" w:eastAsia="宋体" w:cs="Times New Roman"/>
                <w:color w:val="auto"/>
                <w:sz w:val="24"/>
                <w:szCs w:val="24"/>
                <w:highlight w:val="none"/>
              </w:rPr>
              <w:t>A声级</w:t>
            </w:r>
          </w:p>
        </w:tc>
        <w:tc>
          <w:tcPr>
            <w:tcW w:w="1950" w:type="dxa"/>
            <w:noWrap w:val="0"/>
            <w:vAlign w:val="center"/>
          </w:tcPr>
          <w:p w14:paraId="0518BC77">
            <w:pPr>
              <w:adjustRightInd w:val="0"/>
              <w:snapToGrid w:val="0"/>
              <w:jc w:val="center"/>
              <w:rPr>
                <w:rFonts w:hint="default"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lang w:val="en-US" w:eastAsia="zh-CN"/>
              </w:rPr>
              <w:t>低噪声设备，水泵基础进行</w:t>
            </w:r>
            <w:r>
              <w:rPr>
                <w:rFonts w:hint="eastAsia" w:hAnsi="宋体" w:cs="Times New Roman"/>
                <w:color w:val="auto"/>
                <w:sz w:val="24"/>
                <w:szCs w:val="24"/>
                <w:highlight w:val="none"/>
                <w:lang w:val="en-US" w:eastAsia="zh-CN"/>
              </w:rPr>
              <w:t>减振</w:t>
            </w:r>
            <w:r>
              <w:rPr>
                <w:rFonts w:hint="eastAsia" w:ascii="Times New Roman" w:hAnsi="宋体" w:eastAsia="宋体" w:cs="Times New Roman"/>
                <w:color w:val="auto"/>
                <w:sz w:val="24"/>
                <w:szCs w:val="24"/>
                <w:highlight w:val="none"/>
                <w:lang w:val="en-US" w:eastAsia="zh-CN"/>
              </w:rPr>
              <w:t>处理，隔声封闭、锅炉房墙壁加装隔声棉</w:t>
            </w:r>
          </w:p>
        </w:tc>
        <w:tc>
          <w:tcPr>
            <w:tcW w:w="3297" w:type="dxa"/>
            <w:noWrap w:val="0"/>
            <w:vAlign w:val="center"/>
          </w:tcPr>
          <w:p w14:paraId="6E2838E1">
            <w:pPr>
              <w:adjustRightInd w:val="0"/>
              <w:snapToGrid w:val="0"/>
              <w:jc w:val="center"/>
              <w:rPr>
                <w:color w:val="auto"/>
                <w:sz w:val="24"/>
                <w:szCs w:val="24"/>
                <w:highlight w:val="none"/>
              </w:rPr>
            </w:pPr>
            <w:r>
              <w:rPr>
                <w:color w:val="auto"/>
                <w:sz w:val="24"/>
                <w:szCs w:val="24"/>
                <w:highlight w:val="none"/>
              </w:rPr>
              <w:t>《工业企业厂界环境噪声排放标准》</w:t>
            </w:r>
            <w:r>
              <w:rPr>
                <w:rFonts w:hint="eastAsia"/>
                <w:color w:val="auto"/>
                <w:sz w:val="24"/>
                <w:szCs w:val="24"/>
                <w:highlight w:val="none"/>
                <w:lang w:eastAsia="zh-CN"/>
              </w:rPr>
              <w:t>（</w:t>
            </w:r>
            <w:r>
              <w:rPr>
                <w:color w:val="auto"/>
                <w:sz w:val="24"/>
                <w:szCs w:val="24"/>
                <w:highlight w:val="none"/>
              </w:rPr>
              <w:t>GB12348-2008</w:t>
            </w:r>
            <w:r>
              <w:rPr>
                <w:rFonts w:hint="eastAsia"/>
                <w:color w:val="auto"/>
                <w:sz w:val="24"/>
                <w:szCs w:val="24"/>
                <w:highlight w:val="none"/>
                <w:lang w:eastAsia="zh-CN"/>
              </w:rPr>
              <w:t>）</w:t>
            </w:r>
            <w:r>
              <w:rPr>
                <w:color w:val="auto"/>
                <w:sz w:val="24"/>
                <w:szCs w:val="24"/>
                <w:highlight w:val="none"/>
              </w:rPr>
              <w:t>中</w:t>
            </w:r>
          </w:p>
          <w:p w14:paraId="4989D263">
            <w:pPr>
              <w:adjustRightInd w:val="0"/>
              <w:snapToGrid w:val="0"/>
              <w:jc w:val="center"/>
              <w:rPr>
                <w:color w:val="auto"/>
                <w:sz w:val="24"/>
                <w:szCs w:val="24"/>
                <w:highlight w:val="none"/>
              </w:rPr>
            </w:pPr>
            <w:r>
              <w:rPr>
                <w:rFonts w:hint="eastAsia"/>
                <w:color w:val="auto"/>
                <w:sz w:val="24"/>
                <w:szCs w:val="24"/>
                <w:highlight w:val="none"/>
              </w:rPr>
              <w:t>2</w:t>
            </w:r>
            <w:r>
              <w:rPr>
                <w:color w:val="auto"/>
                <w:sz w:val="24"/>
                <w:szCs w:val="24"/>
                <w:highlight w:val="none"/>
              </w:rPr>
              <w:t>类</w:t>
            </w:r>
            <w:r>
              <w:rPr>
                <w:rFonts w:hint="eastAsia"/>
                <w:color w:val="auto"/>
                <w:sz w:val="24"/>
                <w:szCs w:val="24"/>
                <w:highlight w:val="none"/>
              </w:rPr>
              <w:t>标准</w:t>
            </w:r>
          </w:p>
        </w:tc>
      </w:tr>
      <w:tr w14:paraId="6B2D64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39" w:hRule="atLeast"/>
        </w:trPr>
        <w:tc>
          <w:tcPr>
            <w:tcW w:w="1176" w:type="dxa"/>
            <w:vMerge w:val="restart"/>
            <w:noWrap w:val="0"/>
            <w:vAlign w:val="center"/>
          </w:tcPr>
          <w:p w14:paraId="60F33AC3">
            <w:pPr>
              <w:adjustRightInd w:val="0"/>
              <w:snapToGrid w:val="0"/>
              <w:jc w:val="center"/>
              <w:rPr>
                <w:rFonts w:hAnsi="宋体"/>
                <w:color w:val="auto"/>
                <w:sz w:val="24"/>
                <w:szCs w:val="24"/>
                <w:highlight w:val="none"/>
              </w:rPr>
            </w:pPr>
            <w:r>
              <w:rPr>
                <w:rFonts w:hAnsi="宋体"/>
                <w:color w:val="auto"/>
                <w:sz w:val="24"/>
                <w:szCs w:val="24"/>
                <w:highlight w:val="none"/>
              </w:rPr>
              <w:t>固体废物</w:t>
            </w:r>
          </w:p>
        </w:tc>
        <w:tc>
          <w:tcPr>
            <w:tcW w:w="1763" w:type="dxa"/>
            <w:vMerge w:val="restart"/>
            <w:noWrap w:val="0"/>
            <w:vAlign w:val="center"/>
          </w:tcPr>
          <w:p w14:paraId="2DF27BD6">
            <w:pPr>
              <w:adjustRightInd w:val="0"/>
              <w:snapToGrid w:val="0"/>
              <w:jc w:val="center"/>
              <w:rPr>
                <w:rFonts w:hAnsi="宋体"/>
                <w:color w:val="auto"/>
                <w:sz w:val="24"/>
                <w:szCs w:val="24"/>
                <w:highlight w:val="none"/>
              </w:rPr>
            </w:pPr>
            <w:r>
              <w:rPr>
                <w:rFonts w:hint="eastAsia" w:hAnsi="宋体"/>
                <w:color w:val="auto"/>
                <w:sz w:val="24"/>
                <w:szCs w:val="24"/>
                <w:highlight w:val="none"/>
              </w:rPr>
              <w:t>一般固废</w:t>
            </w:r>
          </w:p>
        </w:tc>
        <w:tc>
          <w:tcPr>
            <w:tcW w:w="1437" w:type="dxa"/>
            <w:noWrap w:val="0"/>
            <w:vAlign w:val="center"/>
          </w:tcPr>
          <w:p w14:paraId="584CBDA8">
            <w:pPr>
              <w:adjustRightInd w:val="0"/>
              <w:snapToGrid w:val="0"/>
              <w:jc w:val="center"/>
              <w:rPr>
                <w:rFonts w:hint="default"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rPr>
              <w:t>离子交换树脂</w:t>
            </w:r>
          </w:p>
        </w:tc>
        <w:tc>
          <w:tcPr>
            <w:tcW w:w="1950" w:type="dxa"/>
            <w:noWrap w:val="0"/>
            <w:vAlign w:val="center"/>
          </w:tcPr>
          <w:p w14:paraId="02279A22">
            <w:pPr>
              <w:adjustRightInd w:val="0"/>
              <w:snapToGrid w:val="0"/>
              <w:jc w:val="center"/>
              <w:rPr>
                <w:rFonts w:hint="default" w:ascii="Times New Roman" w:hAnsi="宋体" w:eastAsia="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定期由维保单位更换后回收处置</w:t>
            </w:r>
          </w:p>
        </w:tc>
        <w:tc>
          <w:tcPr>
            <w:tcW w:w="3297" w:type="dxa"/>
            <w:vMerge w:val="restart"/>
            <w:noWrap w:val="0"/>
            <w:vAlign w:val="center"/>
          </w:tcPr>
          <w:p w14:paraId="6132FE38">
            <w:pPr>
              <w:adjustRightInd w:val="0"/>
              <w:snapToGrid w:val="0"/>
              <w:jc w:val="center"/>
              <w:rPr>
                <w:color w:val="auto"/>
                <w:sz w:val="24"/>
                <w:szCs w:val="24"/>
                <w:highlight w:val="none"/>
              </w:rPr>
            </w:pPr>
            <w:r>
              <w:rPr>
                <w:rFonts w:hint="eastAsia"/>
                <w:color w:val="auto"/>
                <w:sz w:val="24"/>
                <w:szCs w:val="24"/>
                <w:highlight w:val="none"/>
              </w:rPr>
              <w:t>《中华人民共和国固体废物污染环境防治法</w:t>
            </w:r>
            <w:r>
              <w:rPr>
                <w:rFonts w:hint="eastAsia"/>
                <w:color w:val="auto"/>
                <w:sz w:val="24"/>
                <w:szCs w:val="24"/>
                <w:highlight w:val="none"/>
                <w:lang w:eastAsia="zh-CN"/>
              </w:rPr>
              <w:t>》</w:t>
            </w:r>
            <w:r>
              <w:rPr>
                <w:rFonts w:hint="eastAsia"/>
                <w:color w:val="auto"/>
                <w:sz w:val="24"/>
                <w:szCs w:val="24"/>
                <w:highlight w:val="none"/>
              </w:rPr>
              <w:t>的相关要求</w:t>
            </w:r>
          </w:p>
        </w:tc>
      </w:tr>
      <w:tr w14:paraId="669174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176" w:type="dxa"/>
            <w:vMerge w:val="continue"/>
            <w:noWrap w:val="0"/>
            <w:vAlign w:val="center"/>
          </w:tcPr>
          <w:p w14:paraId="312C1D1B">
            <w:pPr>
              <w:adjustRightInd w:val="0"/>
              <w:snapToGrid w:val="0"/>
              <w:jc w:val="center"/>
              <w:rPr>
                <w:rFonts w:hAnsi="宋体"/>
                <w:color w:val="auto"/>
                <w:sz w:val="24"/>
                <w:szCs w:val="24"/>
                <w:highlight w:val="none"/>
              </w:rPr>
            </w:pPr>
          </w:p>
        </w:tc>
        <w:tc>
          <w:tcPr>
            <w:tcW w:w="1763" w:type="dxa"/>
            <w:vMerge w:val="continue"/>
            <w:noWrap w:val="0"/>
            <w:vAlign w:val="center"/>
          </w:tcPr>
          <w:p w14:paraId="7C935200">
            <w:pPr>
              <w:adjustRightInd w:val="0"/>
              <w:snapToGrid w:val="0"/>
              <w:jc w:val="center"/>
              <w:rPr>
                <w:rFonts w:hint="eastAsia" w:hAnsi="宋体"/>
                <w:color w:val="auto"/>
                <w:sz w:val="24"/>
                <w:szCs w:val="24"/>
                <w:highlight w:val="none"/>
              </w:rPr>
            </w:pPr>
          </w:p>
        </w:tc>
        <w:tc>
          <w:tcPr>
            <w:tcW w:w="1437" w:type="dxa"/>
            <w:noWrap w:val="0"/>
            <w:vAlign w:val="center"/>
          </w:tcPr>
          <w:p w14:paraId="00AAAACC">
            <w:pPr>
              <w:adjustRightInd w:val="0"/>
              <w:snapToGrid w:val="0"/>
              <w:jc w:val="center"/>
              <w:rPr>
                <w:rFonts w:hint="default" w:ascii="Times New Roman" w:hAnsi="宋体" w:eastAsia="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废包装材料</w:t>
            </w:r>
          </w:p>
        </w:tc>
        <w:tc>
          <w:tcPr>
            <w:tcW w:w="1950" w:type="dxa"/>
            <w:noWrap w:val="0"/>
            <w:vAlign w:val="center"/>
          </w:tcPr>
          <w:p w14:paraId="0A2C095C">
            <w:pPr>
              <w:adjustRightInd w:val="0"/>
              <w:snapToGrid w:val="0"/>
              <w:jc w:val="center"/>
              <w:rPr>
                <w:rFonts w:hint="default" w:ascii="Times New Roman" w:hAnsi="宋体" w:eastAsia="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集中收集后出售综合利用</w:t>
            </w:r>
          </w:p>
        </w:tc>
        <w:tc>
          <w:tcPr>
            <w:tcW w:w="3297" w:type="dxa"/>
            <w:vMerge w:val="continue"/>
            <w:noWrap w:val="0"/>
            <w:vAlign w:val="center"/>
          </w:tcPr>
          <w:p w14:paraId="20E82640">
            <w:pPr>
              <w:adjustRightInd w:val="0"/>
              <w:snapToGrid w:val="0"/>
              <w:jc w:val="center"/>
              <w:rPr>
                <w:rFonts w:hint="eastAsia"/>
                <w:color w:val="auto"/>
                <w:sz w:val="24"/>
                <w:szCs w:val="24"/>
                <w:highlight w:val="none"/>
              </w:rPr>
            </w:pPr>
          </w:p>
        </w:tc>
      </w:tr>
      <w:tr w14:paraId="3E716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176" w:type="dxa"/>
            <w:vMerge w:val="continue"/>
            <w:noWrap w:val="0"/>
            <w:vAlign w:val="center"/>
          </w:tcPr>
          <w:p w14:paraId="5D21415A">
            <w:pPr>
              <w:adjustRightInd w:val="0"/>
              <w:snapToGrid w:val="0"/>
              <w:jc w:val="center"/>
              <w:rPr>
                <w:rFonts w:hAnsi="宋体"/>
                <w:color w:val="auto"/>
                <w:sz w:val="24"/>
                <w:szCs w:val="24"/>
                <w:highlight w:val="none"/>
              </w:rPr>
            </w:pPr>
          </w:p>
        </w:tc>
        <w:tc>
          <w:tcPr>
            <w:tcW w:w="1763" w:type="dxa"/>
            <w:vMerge w:val="restart"/>
            <w:noWrap w:val="0"/>
            <w:vAlign w:val="center"/>
          </w:tcPr>
          <w:p w14:paraId="3C7F6347">
            <w:pPr>
              <w:adjustRightInd w:val="0"/>
              <w:snapToGrid w:val="0"/>
              <w:jc w:val="center"/>
              <w:rPr>
                <w:rFonts w:hint="default" w:hAnsi="宋体" w:eastAsia="宋体"/>
                <w:color w:val="auto"/>
                <w:sz w:val="24"/>
                <w:szCs w:val="24"/>
                <w:highlight w:val="none"/>
                <w:lang w:val="en-US" w:eastAsia="zh-CN"/>
              </w:rPr>
            </w:pPr>
            <w:r>
              <w:rPr>
                <w:rFonts w:hint="eastAsia" w:hAnsi="宋体"/>
                <w:color w:val="auto"/>
                <w:sz w:val="24"/>
                <w:szCs w:val="24"/>
                <w:highlight w:val="none"/>
                <w:lang w:val="en-US" w:eastAsia="zh-CN"/>
              </w:rPr>
              <w:t>危险废物</w:t>
            </w:r>
          </w:p>
        </w:tc>
        <w:tc>
          <w:tcPr>
            <w:tcW w:w="1437" w:type="dxa"/>
            <w:shd w:val="clear" w:color="auto" w:fill="auto"/>
            <w:noWrap w:val="0"/>
            <w:vAlign w:val="center"/>
          </w:tcPr>
          <w:p w14:paraId="634D59F5">
            <w:pPr>
              <w:adjustRightInd w:val="0"/>
              <w:snapToGrid w:val="0"/>
              <w:jc w:val="center"/>
              <w:rPr>
                <w:rFonts w:hint="eastAsia"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lang w:val="en-US" w:eastAsia="zh-CN"/>
              </w:rPr>
              <w:t>废润滑油</w:t>
            </w:r>
          </w:p>
        </w:tc>
        <w:tc>
          <w:tcPr>
            <w:tcW w:w="1950" w:type="dxa"/>
            <w:vMerge w:val="restart"/>
            <w:noWrap w:val="0"/>
            <w:vAlign w:val="center"/>
          </w:tcPr>
          <w:p w14:paraId="6E553F90">
            <w:pPr>
              <w:adjustRightInd w:val="0"/>
              <w:snapToGrid w:val="0"/>
              <w:jc w:val="center"/>
              <w:rPr>
                <w:rFonts w:hint="default" w:hAnsi="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委托有资质单位处置</w:t>
            </w:r>
          </w:p>
        </w:tc>
        <w:tc>
          <w:tcPr>
            <w:tcW w:w="3297" w:type="dxa"/>
            <w:vMerge w:val="restart"/>
            <w:noWrap w:val="0"/>
            <w:vAlign w:val="center"/>
          </w:tcPr>
          <w:p w14:paraId="2C0574AA">
            <w:pPr>
              <w:adjustRightInd w:val="0"/>
              <w:snapToGrid w:val="0"/>
              <w:jc w:val="center"/>
              <w:rPr>
                <w:rFonts w:hint="eastAsia"/>
                <w:color w:val="auto"/>
                <w:sz w:val="24"/>
                <w:szCs w:val="24"/>
                <w:highlight w:val="none"/>
              </w:rPr>
            </w:pPr>
            <w:r>
              <w:rPr>
                <w:rFonts w:hint="eastAsia"/>
                <w:color w:val="auto"/>
                <w:sz w:val="24"/>
                <w:szCs w:val="24"/>
                <w:highlight w:val="none"/>
              </w:rPr>
              <w:t>委托有资质单位处置</w:t>
            </w:r>
          </w:p>
        </w:tc>
      </w:tr>
      <w:tr w14:paraId="6F6AFE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176" w:type="dxa"/>
            <w:vMerge w:val="continue"/>
            <w:noWrap w:val="0"/>
            <w:vAlign w:val="center"/>
          </w:tcPr>
          <w:p w14:paraId="2813D7B3">
            <w:pPr>
              <w:adjustRightInd w:val="0"/>
              <w:snapToGrid w:val="0"/>
              <w:jc w:val="center"/>
              <w:rPr>
                <w:rFonts w:hAnsi="宋体"/>
                <w:color w:val="auto"/>
                <w:sz w:val="24"/>
                <w:szCs w:val="24"/>
                <w:highlight w:val="none"/>
              </w:rPr>
            </w:pPr>
          </w:p>
        </w:tc>
        <w:tc>
          <w:tcPr>
            <w:tcW w:w="1763" w:type="dxa"/>
            <w:vMerge w:val="continue"/>
            <w:noWrap w:val="0"/>
            <w:vAlign w:val="center"/>
          </w:tcPr>
          <w:p w14:paraId="18C75123">
            <w:pPr>
              <w:adjustRightInd w:val="0"/>
              <w:snapToGrid w:val="0"/>
              <w:jc w:val="center"/>
              <w:rPr>
                <w:rFonts w:hint="eastAsia" w:hAnsi="宋体"/>
                <w:color w:val="auto"/>
                <w:sz w:val="24"/>
                <w:szCs w:val="24"/>
                <w:highlight w:val="none"/>
              </w:rPr>
            </w:pPr>
          </w:p>
        </w:tc>
        <w:tc>
          <w:tcPr>
            <w:tcW w:w="1437" w:type="dxa"/>
            <w:shd w:val="clear" w:color="auto" w:fill="auto"/>
            <w:noWrap w:val="0"/>
            <w:vAlign w:val="center"/>
          </w:tcPr>
          <w:p w14:paraId="52A79149">
            <w:pPr>
              <w:adjustRightInd w:val="0"/>
              <w:snapToGrid w:val="0"/>
              <w:jc w:val="center"/>
              <w:rPr>
                <w:rFonts w:hint="eastAsia"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lang w:val="en-US" w:eastAsia="zh-CN"/>
              </w:rPr>
              <w:t>废油桶</w:t>
            </w:r>
          </w:p>
        </w:tc>
        <w:tc>
          <w:tcPr>
            <w:tcW w:w="1950" w:type="dxa"/>
            <w:vMerge w:val="continue"/>
            <w:noWrap w:val="0"/>
            <w:vAlign w:val="center"/>
          </w:tcPr>
          <w:p w14:paraId="0839C652">
            <w:pPr>
              <w:adjustRightInd w:val="0"/>
              <w:snapToGrid w:val="0"/>
              <w:jc w:val="center"/>
              <w:rPr>
                <w:rFonts w:hint="eastAsia" w:hAnsi="宋体" w:cs="Times New Roman"/>
                <w:color w:val="auto"/>
                <w:sz w:val="24"/>
                <w:szCs w:val="24"/>
                <w:highlight w:val="none"/>
                <w:lang w:val="en-US" w:eastAsia="zh-CN"/>
              </w:rPr>
            </w:pPr>
          </w:p>
        </w:tc>
        <w:tc>
          <w:tcPr>
            <w:tcW w:w="3297" w:type="dxa"/>
            <w:vMerge w:val="continue"/>
            <w:noWrap w:val="0"/>
            <w:vAlign w:val="center"/>
          </w:tcPr>
          <w:p w14:paraId="239BA9A8">
            <w:pPr>
              <w:adjustRightInd w:val="0"/>
              <w:snapToGrid w:val="0"/>
              <w:jc w:val="center"/>
              <w:rPr>
                <w:rFonts w:hint="eastAsia"/>
                <w:color w:val="auto"/>
                <w:sz w:val="24"/>
                <w:szCs w:val="24"/>
                <w:highlight w:val="none"/>
              </w:rPr>
            </w:pPr>
          </w:p>
        </w:tc>
      </w:tr>
      <w:tr w14:paraId="228FCC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176" w:type="dxa"/>
            <w:vMerge w:val="continue"/>
            <w:noWrap w:val="0"/>
            <w:vAlign w:val="center"/>
          </w:tcPr>
          <w:p w14:paraId="0D88FFDB">
            <w:pPr>
              <w:adjustRightInd w:val="0"/>
              <w:snapToGrid w:val="0"/>
              <w:jc w:val="center"/>
              <w:rPr>
                <w:rFonts w:hAnsi="宋体"/>
                <w:color w:val="auto"/>
                <w:sz w:val="24"/>
                <w:szCs w:val="24"/>
                <w:highlight w:val="none"/>
              </w:rPr>
            </w:pPr>
          </w:p>
        </w:tc>
        <w:tc>
          <w:tcPr>
            <w:tcW w:w="1763" w:type="dxa"/>
            <w:vMerge w:val="continue"/>
            <w:noWrap w:val="0"/>
            <w:vAlign w:val="center"/>
          </w:tcPr>
          <w:p w14:paraId="502A562E">
            <w:pPr>
              <w:adjustRightInd w:val="0"/>
              <w:snapToGrid w:val="0"/>
              <w:jc w:val="center"/>
              <w:rPr>
                <w:rFonts w:hint="eastAsia" w:hAnsi="宋体"/>
                <w:color w:val="auto"/>
                <w:sz w:val="24"/>
                <w:szCs w:val="24"/>
                <w:highlight w:val="none"/>
              </w:rPr>
            </w:pPr>
          </w:p>
        </w:tc>
        <w:tc>
          <w:tcPr>
            <w:tcW w:w="1437" w:type="dxa"/>
            <w:shd w:val="clear" w:color="auto" w:fill="auto"/>
            <w:noWrap w:val="0"/>
            <w:vAlign w:val="center"/>
          </w:tcPr>
          <w:p w14:paraId="4AA59B31">
            <w:pPr>
              <w:adjustRightInd w:val="0"/>
              <w:snapToGrid w:val="0"/>
              <w:jc w:val="center"/>
              <w:rPr>
                <w:rFonts w:hint="eastAsia"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lang w:val="en-US" w:eastAsia="zh-CN"/>
              </w:rPr>
              <w:t>废含油抹布</w:t>
            </w:r>
          </w:p>
        </w:tc>
        <w:tc>
          <w:tcPr>
            <w:tcW w:w="1950" w:type="dxa"/>
            <w:vMerge w:val="continue"/>
            <w:noWrap w:val="0"/>
            <w:vAlign w:val="center"/>
          </w:tcPr>
          <w:p w14:paraId="5A1A6C17">
            <w:pPr>
              <w:adjustRightInd w:val="0"/>
              <w:snapToGrid w:val="0"/>
              <w:jc w:val="center"/>
              <w:rPr>
                <w:rFonts w:hint="eastAsia" w:hAnsi="宋体" w:cs="Times New Roman"/>
                <w:color w:val="auto"/>
                <w:sz w:val="24"/>
                <w:szCs w:val="24"/>
                <w:highlight w:val="none"/>
                <w:lang w:val="en-US" w:eastAsia="zh-CN"/>
              </w:rPr>
            </w:pPr>
          </w:p>
        </w:tc>
        <w:tc>
          <w:tcPr>
            <w:tcW w:w="3297" w:type="dxa"/>
            <w:vMerge w:val="continue"/>
            <w:noWrap w:val="0"/>
            <w:vAlign w:val="center"/>
          </w:tcPr>
          <w:p w14:paraId="246EB475">
            <w:pPr>
              <w:adjustRightInd w:val="0"/>
              <w:snapToGrid w:val="0"/>
              <w:jc w:val="center"/>
              <w:rPr>
                <w:rFonts w:hint="eastAsia"/>
                <w:color w:val="auto"/>
                <w:sz w:val="24"/>
                <w:szCs w:val="24"/>
                <w:highlight w:val="none"/>
              </w:rPr>
            </w:pPr>
          </w:p>
        </w:tc>
      </w:tr>
      <w:tr w14:paraId="6EA929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3" w:hRule="atLeast"/>
        </w:trPr>
        <w:tc>
          <w:tcPr>
            <w:tcW w:w="1176" w:type="dxa"/>
            <w:noWrap w:val="0"/>
            <w:vAlign w:val="center"/>
          </w:tcPr>
          <w:p w14:paraId="1CB1DE33">
            <w:pPr>
              <w:adjustRightInd w:val="0"/>
              <w:snapToGrid w:val="0"/>
              <w:jc w:val="center"/>
              <w:rPr>
                <w:color w:val="auto"/>
                <w:sz w:val="24"/>
                <w:szCs w:val="24"/>
                <w:highlight w:val="none"/>
              </w:rPr>
            </w:pPr>
            <w:r>
              <w:rPr>
                <w:rFonts w:hAnsi="宋体"/>
                <w:color w:val="auto"/>
                <w:sz w:val="24"/>
                <w:szCs w:val="24"/>
                <w:highlight w:val="none"/>
              </w:rPr>
              <w:t>土壤及地下水污染防治措施</w:t>
            </w:r>
          </w:p>
        </w:tc>
        <w:tc>
          <w:tcPr>
            <w:tcW w:w="8447" w:type="dxa"/>
            <w:gridSpan w:val="4"/>
            <w:noWrap w:val="0"/>
            <w:vAlign w:val="center"/>
          </w:tcPr>
          <w:p w14:paraId="76A2D6F3">
            <w:pPr>
              <w:adjustRightInd w:val="0"/>
              <w:snapToGrid w:val="0"/>
              <w:jc w:val="center"/>
              <w:rPr>
                <w:rFonts w:hint="default" w:hAnsi="宋体" w:eastAsia="宋体"/>
                <w:color w:val="auto"/>
                <w:sz w:val="24"/>
                <w:szCs w:val="24"/>
                <w:highlight w:val="none"/>
                <w:lang w:val="en-US" w:eastAsia="zh-CN"/>
              </w:rPr>
            </w:pPr>
            <w:r>
              <w:rPr>
                <w:rFonts w:hint="eastAsia" w:hAnsi="宋体"/>
                <w:color w:val="auto"/>
                <w:sz w:val="24"/>
                <w:szCs w:val="24"/>
                <w:highlight w:val="none"/>
                <w:lang w:val="en-US" w:eastAsia="zh-CN"/>
              </w:rPr>
              <w:t>热源站</w:t>
            </w:r>
            <w:r>
              <w:rPr>
                <w:rFonts w:hint="default" w:hAnsi="宋体" w:eastAsia="宋体"/>
                <w:color w:val="auto"/>
                <w:sz w:val="24"/>
                <w:szCs w:val="24"/>
                <w:highlight w:val="none"/>
                <w:lang w:val="en-US" w:eastAsia="zh-CN"/>
              </w:rPr>
              <w:t>地面全部硬化</w:t>
            </w:r>
            <w:r>
              <w:rPr>
                <w:rFonts w:hint="eastAsia" w:hAnsi="宋体"/>
                <w:color w:val="auto"/>
                <w:sz w:val="24"/>
                <w:szCs w:val="24"/>
                <w:highlight w:val="none"/>
                <w:lang w:val="en-US" w:eastAsia="zh-CN"/>
              </w:rPr>
              <w:t>，废润滑桶设置防渗托盘等</w:t>
            </w:r>
            <w:r>
              <w:rPr>
                <w:rFonts w:hint="default" w:hAnsi="宋体" w:eastAsia="宋体"/>
                <w:color w:val="auto"/>
                <w:sz w:val="24"/>
                <w:szCs w:val="24"/>
                <w:highlight w:val="none"/>
                <w:lang w:val="en-US" w:eastAsia="zh-CN"/>
              </w:rPr>
              <w:t>。</w:t>
            </w:r>
          </w:p>
        </w:tc>
      </w:tr>
      <w:tr w14:paraId="625AE0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76" w:type="dxa"/>
            <w:noWrap w:val="0"/>
            <w:vAlign w:val="center"/>
          </w:tcPr>
          <w:p w14:paraId="6FA02C2E">
            <w:pPr>
              <w:adjustRightInd w:val="0"/>
              <w:snapToGrid w:val="0"/>
              <w:jc w:val="center"/>
              <w:rPr>
                <w:color w:val="auto"/>
                <w:sz w:val="24"/>
                <w:szCs w:val="24"/>
                <w:highlight w:val="none"/>
              </w:rPr>
            </w:pPr>
            <w:r>
              <w:rPr>
                <w:rFonts w:hAnsi="宋体"/>
                <w:color w:val="auto"/>
                <w:sz w:val="24"/>
                <w:szCs w:val="24"/>
                <w:highlight w:val="none"/>
              </w:rPr>
              <w:t>生态保护措施</w:t>
            </w:r>
          </w:p>
        </w:tc>
        <w:tc>
          <w:tcPr>
            <w:tcW w:w="8447" w:type="dxa"/>
            <w:gridSpan w:val="4"/>
            <w:noWrap w:val="0"/>
            <w:vAlign w:val="center"/>
          </w:tcPr>
          <w:p w14:paraId="5A5A1322">
            <w:pPr>
              <w:adjustRightInd w:val="0"/>
              <w:snapToGrid w:val="0"/>
              <w:jc w:val="center"/>
              <w:rPr>
                <w:color w:val="auto"/>
                <w:sz w:val="24"/>
                <w:szCs w:val="24"/>
                <w:highlight w:val="none"/>
              </w:rPr>
            </w:pPr>
            <w:r>
              <w:rPr>
                <w:rFonts w:hAnsi="宋体"/>
                <w:color w:val="auto"/>
                <w:sz w:val="24"/>
                <w:szCs w:val="24"/>
                <w:highlight w:val="none"/>
              </w:rPr>
              <w:t>无</w:t>
            </w:r>
          </w:p>
        </w:tc>
      </w:tr>
      <w:tr w14:paraId="31FDEB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76" w:type="dxa"/>
            <w:noWrap w:val="0"/>
            <w:vAlign w:val="center"/>
          </w:tcPr>
          <w:p w14:paraId="512D7FA6">
            <w:pPr>
              <w:adjustRightInd w:val="0"/>
              <w:snapToGrid w:val="0"/>
              <w:spacing w:line="360" w:lineRule="exact"/>
              <w:jc w:val="center"/>
              <w:rPr>
                <w:color w:val="auto"/>
                <w:spacing w:val="-8"/>
                <w:sz w:val="24"/>
                <w:szCs w:val="24"/>
                <w:highlight w:val="none"/>
              </w:rPr>
            </w:pPr>
            <w:r>
              <w:rPr>
                <w:rFonts w:hAnsi="宋体"/>
                <w:color w:val="auto"/>
                <w:spacing w:val="-8"/>
                <w:sz w:val="24"/>
                <w:szCs w:val="24"/>
                <w:highlight w:val="none"/>
              </w:rPr>
              <w:t>环境风险</w:t>
            </w:r>
          </w:p>
          <w:p w14:paraId="0BA74E25">
            <w:pPr>
              <w:adjustRightInd w:val="0"/>
              <w:snapToGrid w:val="0"/>
              <w:spacing w:line="360" w:lineRule="exact"/>
              <w:jc w:val="center"/>
              <w:rPr>
                <w:color w:val="auto"/>
                <w:spacing w:val="-8"/>
                <w:sz w:val="24"/>
                <w:szCs w:val="24"/>
                <w:highlight w:val="none"/>
              </w:rPr>
            </w:pPr>
            <w:r>
              <w:rPr>
                <w:rFonts w:hAnsi="宋体"/>
                <w:color w:val="auto"/>
                <w:spacing w:val="-8"/>
                <w:sz w:val="24"/>
                <w:szCs w:val="24"/>
                <w:highlight w:val="none"/>
              </w:rPr>
              <w:t>防范措施</w:t>
            </w:r>
          </w:p>
        </w:tc>
        <w:tc>
          <w:tcPr>
            <w:tcW w:w="8447" w:type="dxa"/>
            <w:gridSpan w:val="4"/>
            <w:noWrap w:val="0"/>
            <w:vAlign w:val="center"/>
          </w:tcPr>
          <w:p w14:paraId="4779F608">
            <w:pPr>
              <w:adjustRightInd w:val="0"/>
              <w:snapToGrid w:val="0"/>
              <w:spacing w:line="360" w:lineRule="exact"/>
              <w:jc w:val="left"/>
              <w:rPr>
                <w:color w:val="auto"/>
                <w:sz w:val="24"/>
                <w:szCs w:val="24"/>
                <w:highlight w:val="none"/>
              </w:rPr>
            </w:pPr>
            <w:r>
              <w:rPr>
                <w:rFonts w:hint="eastAsia"/>
                <w:color w:val="auto"/>
                <w:sz w:val="24"/>
                <w:szCs w:val="24"/>
                <w:highlight w:val="none"/>
              </w:rPr>
              <w:t>环境风险防范措施如下：</w:t>
            </w:r>
          </w:p>
          <w:p w14:paraId="15102C47">
            <w:pPr>
              <w:adjustRightInd w:val="0"/>
              <w:snapToGrid w:val="0"/>
              <w:spacing w:line="360" w:lineRule="exact"/>
              <w:ind w:firstLine="480" w:firstLineChars="200"/>
              <w:jc w:val="left"/>
              <w:rPr>
                <w:color w:val="auto"/>
                <w:sz w:val="24"/>
                <w:szCs w:val="24"/>
                <w:highlight w:val="none"/>
              </w:rPr>
            </w:pPr>
            <w:r>
              <w:rPr>
                <w:rFonts w:hint="eastAsia"/>
                <w:color w:val="auto"/>
                <w:sz w:val="24"/>
                <w:szCs w:val="24"/>
                <w:highlight w:val="none"/>
              </w:rPr>
              <w:t>①</w:t>
            </w:r>
            <w:r>
              <w:rPr>
                <w:color w:val="auto"/>
                <w:sz w:val="24"/>
                <w:szCs w:val="24"/>
                <w:highlight w:val="none"/>
              </w:rPr>
              <w:t>建立安全管理制度，明确安全责任。</w:t>
            </w:r>
          </w:p>
          <w:p w14:paraId="115B15FC">
            <w:pPr>
              <w:adjustRightInd w:val="0"/>
              <w:snapToGrid w:val="0"/>
              <w:spacing w:line="360" w:lineRule="exact"/>
              <w:ind w:firstLine="480" w:firstLineChars="200"/>
              <w:jc w:val="left"/>
              <w:rPr>
                <w:color w:val="auto"/>
                <w:sz w:val="24"/>
                <w:szCs w:val="24"/>
                <w:highlight w:val="none"/>
              </w:rPr>
            </w:pPr>
            <w:r>
              <w:rPr>
                <w:rFonts w:hint="eastAsia"/>
                <w:color w:val="auto"/>
                <w:sz w:val="24"/>
                <w:szCs w:val="24"/>
                <w:highlight w:val="none"/>
              </w:rPr>
              <w:t>②</w:t>
            </w:r>
            <w:r>
              <w:rPr>
                <w:color w:val="auto"/>
                <w:sz w:val="24"/>
                <w:szCs w:val="24"/>
                <w:highlight w:val="none"/>
              </w:rPr>
              <w:t>对电气线路加强维护和检修，严防电器火灾。</w:t>
            </w:r>
          </w:p>
          <w:p w14:paraId="4728675C">
            <w:pPr>
              <w:adjustRightInd w:val="0"/>
              <w:snapToGrid w:val="0"/>
              <w:spacing w:line="360" w:lineRule="exact"/>
              <w:ind w:firstLine="480" w:firstLineChars="200"/>
              <w:jc w:val="left"/>
              <w:rPr>
                <w:color w:val="auto"/>
                <w:sz w:val="24"/>
                <w:szCs w:val="24"/>
                <w:highlight w:val="none"/>
              </w:rPr>
            </w:pPr>
            <w:r>
              <w:rPr>
                <w:rFonts w:hint="eastAsia"/>
                <w:color w:val="auto"/>
                <w:sz w:val="24"/>
                <w:szCs w:val="24"/>
                <w:highlight w:val="none"/>
              </w:rPr>
              <w:t>③</w:t>
            </w:r>
            <w:r>
              <w:rPr>
                <w:color w:val="auto"/>
                <w:sz w:val="24"/>
                <w:szCs w:val="24"/>
                <w:highlight w:val="none"/>
              </w:rPr>
              <w:t>保持消防设施完好，灭火器定期检测、更新。</w:t>
            </w:r>
          </w:p>
          <w:p w14:paraId="51641D23">
            <w:pPr>
              <w:adjustRightInd w:val="0"/>
              <w:snapToGrid w:val="0"/>
              <w:spacing w:line="360" w:lineRule="exact"/>
              <w:ind w:firstLine="480" w:firstLineChars="200"/>
              <w:jc w:val="left"/>
              <w:rPr>
                <w:color w:val="auto"/>
                <w:sz w:val="24"/>
                <w:szCs w:val="24"/>
                <w:highlight w:val="none"/>
              </w:rPr>
            </w:pPr>
            <w:r>
              <w:rPr>
                <w:rFonts w:hint="eastAsia" w:ascii="Times New Roman" w:hAnsi="Times New Roman" w:eastAsia="宋体" w:cs="Times New Roman"/>
                <w:color w:val="auto"/>
                <w:sz w:val="24"/>
                <w:szCs w:val="24"/>
                <w:highlight w:val="none"/>
              </w:rPr>
              <w:t>④锅炉房</w:t>
            </w:r>
            <w:r>
              <w:rPr>
                <w:rFonts w:ascii="Times New Roman" w:hAnsi="Times New Roman" w:eastAsia="宋体" w:cs="Times New Roman"/>
                <w:color w:val="auto"/>
                <w:sz w:val="24"/>
                <w:szCs w:val="24"/>
                <w:highlight w:val="none"/>
              </w:rPr>
              <w:t>等部位应设置具有火灾、爆炸危险的地方或物质的标识。</w:t>
            </w:r>
          </w:p>
        </w:tc>
      </w:tr>
      <w:tr w14:paraId="28190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76" w:type="dxa"/>
            <w:noWrap w:val="0"/>
            <w:vAlign w:val="center"/>
          </w:tcPr>
          <w:p w14:paraId="283B6854">
            <w:pPr>
              <w:adjustRightInd w:val="0"/>
              <w:snapToGrid w:val="0"/>
              <w:spacing w:line="360" w:lineRule="exact"/>
              <w:jc w:val="center"/>
              <w:rPr>
                <w:color w:val="auto"/>
                <w:spacing w:val="-8"/>
                <w:sz w:val="24"/>
                <w:szCs w:val="24"/>
                <w:highlight w:val="none"/>
              </w:rPr>
            </w:pPr>
            <w:r>
              <w:rPr>
                <w:rFonts w:hAnsi="宋体"/>
                <w:color w:val="auto"/>
                <w:spacing w:val="-8"/>
                <w:sz w:val="24"/>
                <w:szCs w:val="24"/>
                <w:highlight w:val="none"/>
              </w:rPr>
              <w:t>其他环境</w:t>
            </w:r>
          </w:p>
          <w:p w14:paraId="486C8792">
            <w:pPr>
              <w:adjustRightInd w:val="0"/>
              <w:snapToGrid w:val="0"/>
              <w:spacing w:line="360" w:lineRule="exact"/>
              <w:jc w:val="center"/>
              <w:rPr>
                <w:color w:val="auto"/>
                <w:spacing w:val="-8"/>
                <w:sz w:val="24"/>
                <w:szCs w:val="24"/>
                <w:highlight w:val="none"/>
              </w:rPr>
            </w:pPr>
            <w:r>
              <w:rPr>
                <w:rFonts w:hAnsi="宋体"/>
                <w:color w:val="auto"/>
                <w:spacing w:val="-8"/>
                <w:sz w:val="24"/>
                <w:szCs w:val="24"/>
                <w:highlight w:val="none"/>
              </w:rPr>
              <w:t>管理要求</w:t>
            </w:r>
          </w:p>
        </w:tc>
        <w:tc>
          <w:tcPr>
            <w:tcW w:w="8447" w:type="dxa"/>
            <w:gridSpan w:val="4"/>
            <w:noWrap w:val="0"/>
            <w:vAlign w:val="center"/>
          </w:tcPr>
          <w:p w14:paraId="21AE6287">
            <w:pPr>
              <w:spacing w:line="360" w:lineRule="auto"/>
              <w:ind w:firstLine="482" w:firstLineChars="200"/>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eastAsia="zh-CN"/>
              </w:rPr>
              <w:t>1.</w:t>
            </w:r>
            <w:r>
              <w:rPr>
                <w:rFonts w:hint="default" w:ascii="Times New Roman" w:hAnsi="Times New Roman" w:cs="Times New Roman"/>
                <w:b/>
                <w:bCs/>
                <w:color w:val="auto"/>
                <w:sz w:val="24"/>
                <w:szCs w:val="24"/>
                <w:highlight w:val="none"/>
              </w:rPr>
              <w:t>环境管理要求</w:t>
            </w:r>
          </w:p>
          <w:p w14:paraId="0196DA42">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（1）基本要求</w:t>
            </w:r>
          </w:p>
          <w:p w14:paraId="127F04E2">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①根据国家环保政策、标准及环境监测要求，制定该项目运行期环保管理规章制度、各种污染物排放控制指标；</w:t>
            </w:r>
          </w:p>
          <w:p w14:paraId="05D72B1F">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②负责该项目内所有环保设施的日常运行管理，保障各环保设施的正常运行，并对环保设施的改进提出积极的建议；</w:t>
            </w:r>
          </w:p>
          <w:p w14:paraId="38D66A3F">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③负责该项目运行期环境监测工作，及时掌握该项目污染状况，整理监测数据，建立污染源档案；</w:t>
            </w:r>
          </w:p>
          <w:p w14:paraId="3CF9C648">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④负责对职工进行环保宣传教育工作，以及检查、监督单位环保制度的执行情况；</w:t>
            </w:r>
          </w:p>
          <w:p w14:paraId="17044803">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⑤建立健全环境档案管理与保密制度、污染防治设施设计技术改进及运行资料、污染源调查技术档案、环境监测及评价资料、项目平面图和给排水管网图等。</w:t>
            </w:r>
          </w:p>
          <w:p w14:paraId="66D04849">
            <w:pPr>
              <w:spacing w:line="360" w:lineRule="auto"/>
              <w:ind w:firstLine="482" w:firstLineChars="200"/>
              <w:rPr>
                <w:rFonts w:hint="default" w:ascii="Times New Roman" w:hAnsi="Times New Roman" w:cs="Times New Roman"/>
                <w:b/>
                <w:color w:val="auto"/>
                <w:sz w:val="24"/>
                <w:szCs w:val="24"/>
                <w:highlight w:val="none"/>
              </w:rPr>
            </w:pPr>
            <w:r>
              <w:rPr>
                <w:rFonts w:hint="eastAsia" w:cs="Times New Roman"/>
                <w:b/>
                <w:color w:val="auto"/>
                <w:sz w:val="24"/>
                <w:szCs w:val="24"/>
                <w:highlight w:val="none"/>
                <w:lang w:eastAsia="zh-CN"/>
              </w:rPr>
              <w:t>2.</w:t>
            </w:r>
            <w:r>
              <w:rPr>
                <w:rFonts w:hint="default" w:ascii="Times New Roman" w:hAnsi="Times New Roman" w:cs="Times New Roman"/>
                <w:b/>
                <w:color w:val="auto"/>
                <w:sz w:val="24"/>
                <w:szCs w:val="24"/>
                <w:highlight w:val="none"/>
              </w:rPr>
              <w:t>社会公开信息内容</w:t>
            </w:r>
          </w:p>
          <w:p w14:paraId="162D6051">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根据相关要求，企业事业单位应当建立健全本单位环境信息公开制度，</w:t>
            </w:r>
            <w:r>
              <w:rPr>
                <w:rFonts w:hint="eastAsia" w:cs="Times New Roman"/>
                <w:color w:val="auto"/>
                <w:sz w:val="24"/>
                <w:szCs w:val="24"/>
                <w:highlight w:val="none"/>
                <w:lang w:val="en-US" w:eastAsia="zh-CN"/>
              </w:rPr>
              <w:t>按要求及时</w:t>
            </w:r>
            <w:r>
              <w:rPr>
                <w:rFonts w:hint="default" w:ascii="Times New Roman" w:hAnsi="Times New Roman" w:cs="Times New Roman"/>
                <w:color w:val="auto"/>
                <w:sz w:val="24"/>
                <w:szCs w:val="24"/>
                <w:highlight w:val="none"/>
              </w:rPr>
              <w:t>公开。</w:t>
            </w:r>
          </w:p>
          <w:p w14:paraId="430C9E2E">
            <w:pPr>
              <w:spacing w:line="360" w:lineRule="auto"/>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（1）环境信息公开方式</w:t>
            </w:r>
          </w:p>
          <w:p w14:paraId="259EBE11">
            <w:pPr>
              <w:spacing w:line="360" w:lineRule="auto"/>
              <w:ind w:firstLine="480" w:firstLineChars="200"/>
              <w:rPr>
                <w:rFonts w:hint="default" w:ascii="Times New Roman" w:hAnsi="Times New Roman" w:cs="Times New Roman"/>
                <w:b/>
                <w:color w:val="auto"/>
                <w:sz w:val="24"/>
                <w:szCs w:val="24"/>
                <w:highlight w:val="none"/>
              </w:rPr>
            </w:pPr>
            <w:r>
              <w:rPr>
                <w:rFonts w:hint="default" w:ascii="Times New Roman" w:hAnsi="Times New Roman" w:cs="Times New Roman"/>
                <w:color w:val="auto"/>
                <w:sz w:val="24"/>
                <w:szCs w:val="24"/>
                <w:highlight w:val="none"/>
              </w:rPr>
              <w:t>建设单位</w:t>
            </w:r>
            <w:r>
              <w:rPr>
                <w:rFonts w:hint="eastAsia" w:cs="Times New Roman"/>
                <w:color w:val="auto"/>
                <w:sz w:val="24"/>
                <w:szCs w:val="24"/>
                <w:highlight w:val="none"/>
                <w:lang w:eastAsia="zh-CN"/>
              </w:rPr>
              <w:t>可以</w:t>
            </w:r>
            <w:r>
              <w:rPr>
                <w:rFonts w:hint="default" w:ascii="Times New Roman" w:hAnsi="Times New Roman" w:cs="Times New Roman"/>
                <w:color w:val="auto"/>
                <w:sz w:val="24"/>
                <w:szCs w:val="24"/>
                <w:highlight w:val="none"/>
              </w:rPr>
              <w:t>通过采取以下一种或者几种方式予以公开：</w:t>
            </w:r>
          </w:p>
          <w:p w14:paraId="0E511038">
            <w:pPr>
              <w:spacing w:line="360" w:lineRule="auto"/>
              <w:ind w:firstLine="480" w:firstLineChars="200"/>
              <w:rPr>
                <w:rFonts w:hint="default" w:ascii="Times New Roman" w:hAnsi="Times New Roman" w:cs="Times New Roman"/>
                <w:b/>
                <w:color w:val="auto"/>
                <w:sz w:val="24"/>
                <w:szCs w:val="24"/>
                <w:highlight w:val="none"/>
              </w:rPr>
            </w:pPr>
            <w:r>
              <w:rPr>
                <w:rFonts w:hint="default" w:ascii="Times New Roman" w:hAnsi="Times New Roman" w:cs="Times New Roman"/>
                <w:color w:val="auto"/>
                <w:sz w:val="24"/>
                <w:szCs w:val="24"/>
                <w:highlight w:val="none"/>
              </w:rPr>
              <w:t>①公告或者公开发行的信息专刊；</w:t>
            </w:r>
          </w:p>
          <w:p w14:paraId="3C46E820">
            <w:pPr>
              <w:spacing w:line="360" w:lineRule="auto"/>
              <w:ind w:firstLine="480" w:firstLineChars="200"/>
              <w:rPr>
                <w:rFonts w:hint="default" w:ascii="Times New Roman" w:hAnsi="Times New Roman" w:cs="Times New Roman"/>
                <w:b/>
                <w:color w:val="auto"/>
                <w:sz w:val="24"/>
                <w:szCs w:val="24"/>
                <w:highlight w:val="none"/>
              </w:rPr>
            </w:pPr>
            <w:r>
              <w:rPr>
                <w:rFonts w:hint="default" w:ascii="Times New Roman" w:hAnsi="Times New Roman" w:cs="Times New Roman"/>
                <w:color w:val="auto"/>
                <w:sz w:val="24"/>
                <w:szCs w:val="24"/>
                <w:highlight w:val="none"/>
              </w:rPr>
              <w:t>②广播、电视、网站等新闻媒体；</w:t>
            </w:r>
          </w:p>
          <w:p w14:paraId="1F00F22E">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③信息公开服务、监督热线电话；</w:t>
            </w:r>
          </w:p>
          <w:p w14:paraId="1C8668AE">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④单位的资料索取点、信息公开栏、信息亭、电子屏幕等场所或者设施；</w:t>
            </w:r>
          </w:p>
          <w:p w14:paraId="40AEEDE0">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⑤其他便于公众及时、准确获得信息的方式。</w:t>
            </w:r>
          </w:p>
          <w:p w14:paraId="1F481976">
            <w:pPr>
              <w:spacing w:line="360" w:lineRule="auto"/>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（2）环境信息公开内容</w:t>
            </w:r>
          </w:p>
          <w:p w14:paraId="3C3EC781">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①基础信息，包括单位名称、组织机构代码、法定代表人、生产地址、联系方式，以及生产经营和管理服务的主要内容、产品及规模；</w:t>
            </w:r>
          </w:p>
          <w:p w14:paraId="3455C0C1">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②排污信息，包括主要污染物及特征污染物的名称、排放方式、排放口数量和分布情况、排放浓度和总量、超标情况，以及执行的污染物排放标准、核定的排放总量；</w:t>
            </w:r>
          </w:p>
          <w:p w14:paraId="31C2DC1F">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③防治污染设施</w:t>
            </w:r>
            <w:r>
              <w:rPr>
                <w:rFonts w:hint="eastAsia" w:cs="Times New Roman"/>
                <w:color w:val="auto"/>
                <w:sz w:val="24"/>
                <w:szCs w:val="24"/>
                <w:highlight w:val="none"/>
                <w:lang w:eastAsia="zh-CN"/>
              </w:rPr>
              <w:t>的</w:t>
            </w:r>
            <w:r>
              <w:rPr>
                <w:rFonts w:hint="default" w:ascii="Times New Roman" w:hAnsi="Times New Roman" w:cs="Times New Roman"/>
                <w:color w:val="auto"/>
                <w:sz w:val="24"/>
                <w:szCs w:val="24"/>
                <w:highlight w:val="none"/>
              </w:rPr>
              <w:t>建设和运行情况；</w:t>
            </w:r>
          </w:p>
          <w:p w14:paraId="3DA1A5EF">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④建设项目环境影响评价及其他环境保护行政许可情况；</w:t>
            </w:r>
          </w:p>
          <w:p w14:paraId="2E21DAA4">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⑤其他应当公开的环境信息。</w:t>
            </w:r>
          </w:p>
          <w:p w14:paraId="757F2EC9">
            <w:pPr>
              <w:spacing w:line="360" w:lineRule="auto"/>
              <w:ind w:firstLine="482" w:firstLineChars="200"/>
              <w:rPr>
                <w:rFonts w:hint="default" w:ascii="Times New Roman" w:hAnsi="Times New Roman" w:cs="Times New Roman"/>
                <w:b/>
                <w:color w:val="auto"/>
                <w:sz w:val="24"/>
                <w:szCs w:val="24"/>
                <w:highlight w:val="none"/>
              </w:rPr>
            </w:pPr>
            <w:r>
              <w:rPr>
                <w:rFonts w:hint="eastAsia" w:cs="Times New Roman"/>
                <w:b/>
                <w:color w:val="auto"/>
                <w:sz w:val="24"/>
                <w:szCs w:val="24"/>
                <w:highlight w:val="none"/>
                <w:lang w:eastAsia="zh-CN"/>
              </w:rPr>
              <w:t>3.</w:t>
            </w:r>
            <w:r>
              <w:rPr>
                <w:rFonts w:hint="default" w:ascii="Times New Roman" w:hAnsi="Times New Roman" w:cs="Times New Roman"/>
                <w:b/>
                <w:color w:val="auto"/>
                <w:sz w:val="24"/>
                <w:szCs w:val="24"/>
                <w:highlight w:val="none"/>
              </w:rPr>
              <w:t>日常环境管理要求</w:t>
            </w:r>
          </w:p>
          <w:p w14:paraId="3D8287BB">
            <w:pPr>
              <w:spacing w:line="360" w:lineRule="auto"/>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（1）环境管理机构设置</w:t>
            </w:r>
          </w:p>
          <w:p w14:paraId="17C042DD">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境管理的基本任务是控制污染物的排放量和避免或减轻排出污染物对环境的损害。为了控制污染物的排放，就需要加强计划、生产、技术、质量、设备、劳动等方面的管理，把环境管理渗透到整个企业的管理中，将环境目标与生产目标融合在一起，以减少从生产过程中各环节排出的污染物。按照《建设项目环境保护管理设计规定》等有关要求，建设单位应建立健全环境管理机构与职责，加强对项目环保设施的运行管理和污染预防，应设环保</w:t>
            </w:r>
            <w:r>
              <w:rPr>
                <w:rFonts w:hint="eastAsia" w:cs="Times New Roman"/>
                <w:color w:val="auto"/>
                <w:sz w:val="24"/>
                <w:szCs w:val="24"/>
                <w:highlight w:val="none"/>
                <w:lang w:val="en-US" w:eastAsia="zh-CN"/>
              </w:rPr>
              <w:t>兼职</w:t>
            </w:r>
            <w:r>
              <w:rPr>
                <w:rFonts w:hint="default" w:ascii="Times New Roman" w:hAnsi="Times New Roman" w:cs="Times New Roman"/>
                <w:color w:val="auto"/>
                <w:sz w:val="24"/>
                <w:szCs w:val="24"/>
                <w:highlight w:val="none"/>
              </w:rPr>
              <w:t>管理人员。</w:t>
            </w:r>
          </w:p>
          <w:p w14:paraId="50F0D759">
            <w:pPr>
              <w:spacing w:line="360" w:lineRule="auto"/>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（2）环境管理职责</w:t>
            </w:r>
          </w:p>
          <w:p w14:paraId="1E3376FB">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①认真贯彻国家环境保护政策、法规，制定环保规划与环保规章制度，并实施检查和监督。</w:t>
            </w:r>
          </w:p>
          <w:p w14:paraId="0269653F">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②拟定环保工作计划，配合领导完成环境保护责任目标。</w:t>
            </w:r>
          </w:p>
          <w:p w14:paraId="2E63B290">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③组织、配合环境监测部门开展环境与污染源监测，落实环保工程治理方案。</w:t>
            </w:r>
          </w:p>
          <w:p w14:paraId="7124C449">
            <w:pPr>
              <w:spacing w:line="360" w:lineRule="auto"/>
              <w:ind w:firstLine="480" w:firstLineChars="200"/>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④确保固体废物等能够按照国家规范处置</w:t>
            </w:r>
            <w:r>
              <w:rPr>
                <w:rFonts w:hint="eastAsia" w:cs="Times New Roman"/>
                <w:color w:val="auto"/>
                <w:sz w:val="24"/>
                <w:szCs w:val="24"/>
                <w:highlight w:val="none"/>
                <w:lang w:eastAsia="zh-CN"/>
              </w:rPr>
              <w:t>。</w:t>
            </w:r>
          </w:p>
          <w:p w14:paraId="611349C7">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⑤执行建设项目环境影响评价制度，组织专家和有关管理部门对工程进行竣工验收，配合领导完成环保责任目标，保证污染物达标排放。</w:t>
            </w:r>
          </w:p>
          <w:p w14:paraId="5C718483">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⑥建立环境保护档案，开展日常环境保护工作。</w:t>
            </w:r>
          </w:p>
          <w:p w14:paraId="34D842F4">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⑦明确各层次职责，加强环境保护宣传教育培训和专业培训，普及环保知识，</w:t>
            </w:r>
            <w:r>
              <w:rPr>
                <w:rFonts w:hint="default" w:ascii="Times New Roman" w:hAnsi="Times New Roman" w:cs="Times New Roman"/>
                <w:color w:val="auto"/>
                <w:sz w:val="24"/>
                <w:szCs w:val="24"/>
                <w:highlight w:val="none"/>
                <w:lang w:eastAsia="zh-CN"/>
              </w:rPr>
              <w:t>增强</w:t>
            </w:r>
            <w:r>
              <w:rPr>
                <w:rFonts w:hint="default" w:ascii="Times New Roman" w:hAnsi="Times New Roman" w:cs="Times New Roman"/>
                <w:color w:val="auto"/>
                <w:sz w:val="24"/>
                <w:szCs w:val="24"/>
                <w:highlight w:val="none"/>
              </w:rPr>
              <w:t>员工环保意识和能力，确保实现持续改进。</w:t>
            </w:r>
          </w:p>
          <w:p w14:paraId="6FBE730B">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⑧负责环境绿化和环境保护管理，主动接受上级主管部门工作指导和检查。</w:t>
            </w:r>
          </w:p>
          <w:p w14:paraId="374AC10B">
            <w:pPr>
              <w:spacing w:line="360" w:lineRule="auto"/>
              <w:ind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lang w:val="en-US" w:eastAsia="zh-CN"/>
              </w:rPr>
              <w:t>（3）排污口规范化管理</w:t>
            </w:r>
          </w:p>
          <w:p w14:paraId="6A706DA8">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①排污口规范管理原则</w:t>
            </w:r>
          </w:p>
          <w:p w14:paraId="6967C3CB">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ⅰ、排污口设置合理，按照环监[96]470号文件进行规范化管理；并按照自行监测方案开展自行监测。</w:t>
            </w:r>
          </w:p>
          <w:p w14:paraId="42453CD4">
            <w:pPr>
              <w:spacing w:line="360" w:lineRule="auto"/>
              <w:ind w:firstLine="480" w:firstLineChars="200"/>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val="en-US" w:eastAsia="zh-CN"/>
              </w:rPr>
              <w:t>ⅱ、废气</w:t>
            </w:r>
            <w:r>
              <w:rPr>
                <w:rFonts w:hint="eastAsia" w:cs="Times New Roman"/>
                <w:color w:val="auto"/>
                <w:sz w:val="24"/>
                <w:szCs w:val="24"/>
                <w:highlight w:val="none"/>
                <w:lang w:val="en-US" w:eastAsia="zh-CN"/>
              </w:rPr>
              <w:t>排放口和监测点位按照</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排污单位污染物排放口监测点位设置技术规范（HJ 1405—2024）</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进行设置。</w:t>
            </w:r>
          </w:p>
          <w:p w14:paraId="2945A516">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②排污口规范化</w:t>
            </w:r>
          </w:p>
          <w:p w14:paraId="3D38D446">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国家环境保护部《关于开展排放口规范化整治工作的通知》（环发〔1999〕24号）、《危险废物识别标志设置技术规范（GB1276-2022）》及《环境保护图形标志—固体废物暂存（处置）场》（GB15562.2-1995）修改单及《</w:t>
            </w:r>
            <w:r>
              <w:rPr>
                <w:rFonts w:hint="eastAsia" w:cs="Times New Roman"/>
                <w:color w:val="auto"/>
                <w:sz w:val="24"/>
                <w:szCs w:val="24"/>
                <w:highlight w:val="none"/>
                <w:lang w:val="en-US" w:eastAsia="zh-CN"/>
              </w:rPr>
              <w:t>环境保护图形标志-排放口（源）</w:t>
            </w:r>
            <w:r>
              <w:rPr>
                <w:rFonts w:hint="default" w:ascii="Times New Roman" w:hAnsi="Times New Roman" w:eastAsia="宋体" w:cs="Times New Roman"/>
                <w:color w:val="auto"/>
                <w:sz w:val="24"/>
                <w:szCs w:val="24"/>
                <w:highlight w:val="none"/>
                <w:lang w:val="en-US" w:eastAsia="zh-CN"/>
              </w:rPr>
              <w:t>》（GB15562.1-1995）</w:t>
            </w:r>
            <w:r>
              <w:rPr>
                <w:rFonts w:hint="eastAsia" w:cs="Times New Roman"/>
                <w:color w:val="auto"/>
                <w:sz w:val="24"/>
                <w:szCs w:val="24"/>
                <w:highlight w:val="none"/>
                <w:lang w:val="en-US" w:eastAsia="zh-CN"/>
              </w:rPr>
              <w:t>等</w:t>
            </w:r>
            <w:r>
              <w:rPr>
                <w:rFonts w:hint="default" w:ascii="Times New Roman" w:hAnsi="Times New Roman" w:eastAsia="宋体" w:cs="Times New Roman"/>
                <w:color w:val="auto"/>
                <w:sz w:val="24"/>
                <w:szCs w:val="24"/>
                <w:highlight w:val="none"/>
                <w:lang w:val="en-US" w:eastAsia="zh-CN"/>
              </w:rPr>
              <w:t>规定，设置环境保护图形标志牌。环境保护图形标志牌设置位置应距污染物排放口（源）、固体废物贮存（堆放）场或采样点较近且醒目处，并能长久保留。</w:t>
            </w:r>
          </w:p>
          <w:p w14:paraId="68ABF633">
            <w:pPr>
              <w:autoSpaceDE w:val="0"/>
              <w:adjustRightInd w:val="0"/>
              <w:snapToGrid w:val="0"/>
              <w:spacing w:line="360" w:lineRule="exact"/>
              <w:ind w:firstLine="482" w:firstLineChars="200"/>
              <w:jc w:val="center"/>
              <w:rPr>
                <w:rFonts w:hint="default" w:ascii="Times New Roman" w:hAnsi="宋体" w:eastAsia="宋体" w:cs="Times New Roman"/>
                <w:b/>
                <w:bCs/>
                <w:color w:val="auto"/>
                <w:sz w:val="24"/>
                <w:szCs w:val="24"/>
                <w:highlight w:val="none"/>
                <w:lang w:val="en-US" w:eastAsia="zh-CN"/>
              </w:rPr>
            </w:pPr>
            <w:r>
              <w:rPr>
                <w:rFonts w:hint="eastAsia" w:ascii="Times New Roman" w:hAnsi="宋体" w:eastAsia="宋体" w:cs="Times New Roman"/>
                <w:b/>
                <w:bCs/>
                <w:color w:val="auto"/>
                <w:sz w:val="24"/>
                <w:szCs w:val="24"/>
                <w:highlight w:val="none"/>
                <w:lang w:val="en-US" w:eastAsia="zh-CN"/>
              </w:rPr>
              <w:t>表5-1</w:t>
            </w:r>
            <w:r>
              <w:rPr>
                <w:rFonts w:hint="default" w:ascii="Times New Roman" w:hAnsi="宋体" w:eastAsia="宋体" w:cs="Times New Roman"/>
                <w:b/>
                <w:bCs/>
                <w:color w:val="auto"/>
                <w:sz w:val="24"/>
                <w:szCs w:val="24"/>
                <w:highlight w:val="none"/>
                <w:lang w:val="en-US" w:eastAsia="zh-CN"/>
              </w:rPr>
              <w:t xml:space="preserve">  环境保护图形符号一览表</w:t>
            </w:r>
          </w:p>
          <w:tbl>
            <w:tblPr>
              <w:tblStyle w:val="37"/>
              <w:tblW w:w="8296" w:type="dxa"/>
              <w:tblInd w:w="1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2740"/>
              <w:gridCol w:w="2974"/>
              <w:gridCol w:w="2582"/>
            </w:tblGrid>
            <w:tr w14:paraId="573690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740" w:type="dxa"/>
                  <w:tcBorders>
                    <w:tl2br w:val="nil"/>
                    <w:tr2bl w:val="nil"/>
                  </w:tcBorders>
                  <w:noWrap w:val="0"/>
                  <w:vAlign w:val="center"/>
                </w:tcPr>
                <w:p w14:paraId="5D2A152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图形标志</w:t>
                  </w:r>
                </w:p>
              </w:tc>
              <w:tc>
                <w:tcPr>
                  <w:tcW w:w="2974" w:type="dxa"/>
                  <w:tcBorders>
                    <w:tl2br w:val="nil"/>
                    <w:tr2bl w:val="nil"/>
                  </w:tcBorders>
                  <w:noWrap w:val="0"/>
                  <w:vAlign w:val="center"/>
                </w:tcPr>
                <w:p w14:paraId="4DD9838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图形代表意义</w:t>
                  </w:r>
                </w:p>
              </w:tc>
              <w:tc>
                <w:tcPr>
                  <w:tcW w:w="2582" w:type="dxa"/>
                  <w:tcBorders>
                    <w:tl2br w:val="nil"/>
                    <w:tr2bl w:val="nil"/>
                  </w:tcBorders>
                  <w:noWrap w:val="0"/>
                  <w:vAlign w:val="center"/>
                </w:tcPr>
                <w:p w14:paraId="53C9635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符号简介</w:t>
                  </w:r>
                </w:p>
              </w:tc>
            </w:tr>
            <w:tr w14:paraId="16E6F5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43" w:hRule="atLeast"/>
              </w:trPr>
              <w:tc>
                <w:tcPr>
                  <w:tcW w:w="2740" w:type="dxa"/>
                  <w:tcBorders>
                    <w:tl2br w:val="nil"/>
                    <w:tr2bl w:val="nil"/>
                  </w:tcBorders>
                  <w:noWrap w:val="0"/>
                  <w:vAlign w:val="center"/>
                </w:tcPr>
                <w:p w14:paraId="3E0F839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drawing>
                      <wp:inline distT="0" distB="0" distL="114300" distR="114300">
                        <wp:extent cx="678180" cy="653415"/>
                        <wp:effectExtent l="0" t="0" r="7620" b="13335"/>
                        <wp:docPr id="2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6"/>
                                <pic:cNvPicPr>
                                  <a:picLocks noChangeAspect="1"/>
                                </pic:cNvPicPr>
                              </pic:nvPicPr>
                              <pic:blipFill>
                                <a:blip r:embed="rId21"/>
                                <a:stretch>
                                  <a:fillRect/>
                                </a:stretch>
                              </pic:blipFill>
                              <pic:spPr>
                                <a:xfrm>
                                  <a:off x="0" y="0"/>
                                  <a:ext cx="678180" cy="653415"/>
                                </a:xfrm>
                                <a:prstGeom prst="rect">
                                  <a:avLst/>
                                </a:prstGeom>
                                <a:noFill/>
                                <a:ln>
                                  <a:noFill/>
                                </a:ln>
                              </pic:spPr>
                            </pic:pic>
                          </a:graphicData>
                        </a:graphic>
                      </wp:inline>
                    </w:drawing>
                  </w:r>
                </w:p>
              </w:tc>
              <w:tc>
                <w:tcPr>
                  <w:tcW w:w="2974" w:type="dxa"/>
                  <w:tcBorders>
                    <w:tl2br w:val="nil"/>
                    <w:tr2bl w:val="nil"/>
                  </w:tcBorders>
                  <w:noWrap w:val="0"/>
                  <w:vAlign w:val="center"/>
                </w:tcPr>
                <w:p w14:paraId="15A1E87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标志名称：污水排放口GB15562.1-1995《</w:t>
                  </w:r>
                  <w:r>
                    <w:rPr>
                      <w:rFonts w:hint="eastAsia" w:cs="Times New Roman"/>
                      <w:color w:val="auto"/>
                      <w:sz w:val="21"/>
                      <w:szCs w:val="21"/>
                      <w:highlight w:val="none"/>
                      <w:lang w:eastAsia="zh-CN"/>
                    </w:rPr>
                    <w:t>环境保护图形标志-排放口（源）</w:t>
                  </w:r>
                  <w:r>
                    <w:rPr>
                      <w:rFonts w:hint="default" w:ascii="Times New Roman" w:hAnsi="Times New Roman" w:eastAsia="宋体" w:cs="Times New Roman"/>
                      <w:color w:val="auto"/>
                      <w:sz w:val="21"/>
                      <w:szCs w:val="21"/>
                      <w:highlight w:val="none"/>
                    </w:rPr>
                    <w:t>》</w:t>
                  </w:r>
                </w:p>
              </w:tc>
              <w:tc>
                <w:tcPr>
                  <w:tcW w:w="2582" w:type="dxa"/>
                  <w:tcBorders>
                    <w:tl2br w:val="nil"/>
                    <w:tr2bl w:val="nil"/>
                  </w:tcBorders>
                  <w:noWrap w:val="0"/>
                  <w:vAlign w:val="center"/>
                </w:tcPr>
                <w:p w14:paraId="2828597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提示图形符号污水排放口</w:t>
                  </w:r>
                </w:p>
                <w:p w14:paraId="381383A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表示污水向水体排放</w:t>
                  </w:r>
                </w:p>
              </w:tc>
            </w:tr>
            <w:tr w14:paraId="711835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75" w:hRule="atLeast"/>
              </w:trPr>
              <w:tc>
                <w:tcPr>
                  <w:tcW w:w="2740" w:type="dxa"/>
                  <w:tcBorders>
                    <w:tl2br w:val="nil"/>
                    <w:tr2bl w:val="nil"/>
                  </w:tcBorders>
                  <w:noWrap w:val="0"/>
                  <w:vAlign w:val="center"/>
                </w:tcPr>
                <w:p w14:paraId="62688F3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drawing>
                      <wp:inline distT="0" distB="0" distL="114300" distR="114300">
                        <wp:extent cx="795020" cy="737235"/>
                        <wp:effectExtent l="0" t="0" r="5080" b="5715"/>
                        <wp:docPr id="2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7"/>
                                <pic:cNvPicPr>
                                  <a:picLocks noChangeAspect="1"/>
                                </pic:cNvPicPr>
                              </pic:nvPicPr>
                              <pic:blipFill>
                                <a:blip r:embed="rId22"/>
                                <a:stretch>
                                  <a:fillRect/>
                                </a:stretch>
                              </pic:blipFill>
                              <pic:spPr>
                                <a:xfrm>
                                  <a:off x="0" y="0"/>
                                  <a:ext cx="795020" cy="737235"/>
                                </a:xfrm>
                                <a:prstGeom prst="rect">
                                  <a:avLst/>
                                </a:prstGeom>
                                <a:noFill/>
                                <a:ln>
                                  <a:noFill/>
                                </a:ln>
                              </pic:spPr>
                            </pic:pic>
                          </a:graphicData>
                        </a:graphic>
                      </wp:inline>
                    </w:drawing>
                  </w:r>
                </w:p>
              </w:tc>
              <w:tc>
                <w:tcPr>
                  <w:tcW w:w="2974" w:type="dxa"/>
                  <w:tcBorders>
                    <w:tl2br w:val="nil"/>
                    <w:tr2bl w:val="nil"/>
                  </w:tcBorders>
                  <w:noWrap w:val="0"/>
                  <w:vAlign w:val="center"/>
                </w:tcPr>
                <w:p w14:paraId="40FA1C3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标志名称：污水排放口GB15562.1-1995《</w:t>
                  </w:r>
                  <w:r>
                    <w:rPr>
                      <w:rFonts w:hint="eastAsia" w:cs="Times New Roman"/>
                      <w:color w:val="auto"/>
                      <w:sz w:val="21"/>
                      <w:szCs w:val="21"/>
                      <w:highlight w:val="none"/>
                      <w:lang w:eastAsia="zh-CN"/>
                    </w:rPr>
                    <w:t>环境保护图形标志-排放口（源）</w:t>
                  </w:r>
                  <w:r>
                    <w:rPr>
                      <w:rFonts w:hint="default" w:ascii="Times New Roman" w:hAnsi="Times New Roman" w:eastAsia="宋体" w:cs="Times New Roman"/>
                      <w:color w:val="auto"/>
                      <w:sz w:val="21"/>
                      <w:szCs w:val="21"/>
                      <w:highlight w:val="none"/>
                    </w:rPr>
                    <w:t>》</w:t>
                  </w:r>
                </w:p>
              </w:tc>
              <w:tc>
                <w:tcPr>
                  <w:tcW w:w="2582" w:type="dxa"/>
                  <w:tcBorders>
                    <w:tl2br w:val="nil"/>
                    <w:tr2bl w:val="nil"/>
                  </w:tcBorders>
                  <w:noWrap w:val="0"/>
                  <w:vAlign w:val="center"/>
                </w:tcPr>
                <w:p w14:paraId="7E964AD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警告图形符号污水排放口</w:t>
                  </w:r>
                </w:p>
                <w:p w14:paraId="2F2C35C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表示污水向水体排放</w:t>
                  </w:r>
                </w:p>
              </w:tc>
            </w:tr>
            <w:tr w14:paraId="019199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230" w:hRule="atLeast"/>
              </w:trPr>
              <w:tc>
                <w:tcPr>
                  <w:tcW w:w="2740" w:type="dxa"/>
                  <w:tcBorders>
                    <w:tl2br w:val="nil"/>
                    <w:tr2bl w:val="nil"/>
                  </w:tcBorders>
                  <w:noWrap w:val="0"/>
                  <w:vAlign w:val="center"/>
                </w:tcPr>
                <w:p w14:paraId="4FD647B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drawing>
                      <wp:inline distT="0" distB="0" distL="114300" distR="114300">
                        <wp:extent cx="761365" cy="772160"/>
                        <wp:effectExtent l="0" t="0" r="635" b="8890"/>
                        <wp:docPr id="2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8"/>
                                <pic:cNvPicPr>
                                  <a:picLocks noChangeAspect="1"/>
                                </pic:cNvPicPr>
                              </pic:nvPicPr>
                              <pic:blipFill>
                                <a:blip r:embed="rId23"/>
                                <a:stretch>
                                  <a:fillRect/>
                                </a:stretch>
                              </pic:blipFill>
                              <pic:spPr>
                                <a:xfrm>
                                  <a:off x="0" y="0"/>
                                  <a:ext cx="761365" cy="772160"/>
                                </a:xfrm>
                                <a:prstGeom prst="rect">
                                  <a:avLst/>
                                </a:prstGeom>
                                <a:noFill/>
                                <a:ln>
                                  <a:noFill/>
                                </a:ln>
                              </pic:spPr>
                            </pic:pic>
                          </a:graphicData>
                        </a:graphic>
                      </wp:inline>
                    </w:drawing>
                  </w:r>
                </w:p>
              </w:tc>
              <w:tc>
                <w:tcPr>
                  <w:tcW w:w="2974" w:type="dxa"/>
                  <w:tcBorders>
                    <w:tl2br w:val="nil"/>
                    <w:tr2bl w:val="nil"/>
                  </w:tcBorders>
                  <w:noWrap w:val="0"/>
                  <w:vAlign w:val="center"/>
                </w:tcPr>
                <w:p w14:paraId="2A32FD5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标志名称：废气排放口GB15562.1-1995《</w:t>
                  </w:r>
                  <w:r>
                    <w:rPr>
                      <w:rFonts w:hint="eastAsia" w:cs="Times New Roman"/>
                      <w:color w:val="auto"/>
                      <w:sz w:val="21"/>
                      <w:szCs w:val="21"/>
                      <w:highlight w:val="none"/>
                      <w:lang w:eastAsia="zh-CN"/>
                    </w:rPr>
                    <w:t>环境保护图形标志-排放口（源）</w:t>
                  </w:r>
                  <w:r>
                    <w:rPr>
                      <w:rFonts w:hint="default" w:ascii="Times New Roman" w:hAnsi="Times New Roman" w:eastAsia="宋体" w:cs="Times New Roman"/>
                      <w:color w:val="auto"/>
                      <w:sz w:val="21"/>
                      <w:szCs w:val="21"/>
                      <w:highlight w:val="none"/>
                    </w:rPr>
                    <w:t>》</w:t>
                  </w:r>
                </w:p>
              </w:tc>
              <w:tc>
                <w:tcPr>
                  <w:tcW w:w="2582" w:type="dxa"/>
                  <w:tcBorders>
                    <w:tl2br w:val="nil"/>
                    <w:tr2bl w:val="nil"/>
                  </w:tcBorders>
                  <w:noWrap w:val="0"/>
                  <w:vAlign w:val="center"/>
                </w:tcPr>
                <w:p w14:paraId="6FB2ABA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提示图形符号废气排放口</w:t>
                  </w:r>
                </w:p>
                <w:p w14:paraId="5436080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表示废气向大气环境排放</w:t>
                  </w:r>
                </w:p>
              </w:tc>
            </w:tr>
            <w:tr w14:paraId="2CF858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85" w:hRule="atLeast"/>
              </w:trPr>
              <w:tc>
                <w:tcPr>
                  <w:tcW w:w="2740" w:type="dxa"/>
                  <w:tcBorders>
                    <w:tl2br w:val="nil"/>
                    <w:tr2bl w:val="nil"/>
                  </w:tcBorders>
                  <w:noWrap w:val="0"/>
                  <w:vAlign w:val="center"/>
                </w:tcPr>
                <w:p w14:paraId="076468F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drawing>
                      <wp:inline distT="0" distB="0" distL="114300" distR="114300">
                        <wp:extent cx="793750" cy="743585"/>
                        <wp:effectExtent l="0" t="0" r="6350" b="18415"/>
                        <wp:docPr id="2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9"/>
                                <pic:cNvPicPr>
                                  <a:picLocks noChangeAspect="1"/>
                                </pic:cNvPicPr>
                              </pic:nvPicPr>
                              <pic:blipFill>
                                <a:blip r:embed="rId24"/>
                                <a:stretch>
                                  <a:fillRect/>
                                </a:stretch>
                              </pic:blipFill>
                              <pic:spPr>
                                <a:xfrm>
                                  <a:off x="0" y="0"/>
                                  <a:ext cx="793750" cy="743585"/>
                                </a:xfrm>
                                <a:prstGeom prst="rect">
                                  <a:avLst/>
                                </a:prstGeom>
                                <a:noFill/>
                                <a:ln>
                                  <a:noFill/>
                                </a:ln>
                              </pic:spPr>
                            </pic:pic>
                          </a:graphicData>
                        </a:graphic>
                      </wp:inline>
                    </w:drawing>
                  </w:r>
                </w:p>
              </w:tc>
              <w:tc>
                <w:tcPr>
                  <w:tcW w:w="2974" w:type="dxa"/>
                  <w:tcBorders>
                    <w:tl2br w:val="nil"/>
                    <w:tr2bl w:val="nil"/>
                  </w:tcBorders>
                  <w:noWrap w:val="0"/>
                  <w:vAlign w:val="center"/>
                </w:tcPr>
                <w:p w14:paraId="31DD08D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标志名称：废气排放口GB15562.1-1995《</w:t>
                  </w:r>
                  <w:r>
                    <w:rPr>
                      <w:rFonts w:hint="eastAsia" w:cs="Times New Roman"/>
                      <w:color w:val="auto"/>
                      <w:sz w:val="21"/>
                      <w:szCs w:val="21"/>
                      <w:highlight w:val="none"/>
                      <w:lang w:eastAsia="zh-CN"/>
                    </w:rPr>
                    <w:t>环境保护图形标志-排放口（源）</w:t>
                  </w:r>
                  <w:r>
                    <w:rPr>
                      <w:rFonts w:hint="default" w:ascii="Times New Roman" w:hAnsi="Times New Roman" w:eastAsia="宋体" w:cs="Times New Roman"/>
                      <w:color w:val="auto"/>
                      <w:sz w:val="21"/>
                      <w:szCs w:val="21"/>
                      <w:highlight w:val="none"/>
                    </w:rPr>
                    <w:t>》</w:t>
                  </w:r>
                </w:p>
              </w:tc>
              <w:tc>
                <w:tcPr>
                  <w:tcW w:w="2582" w:type="dxa"/>
                  <w:tcBorders>
                    <w:tl2br w:val="nil"/>
                    <w:tr2bl w:val="nil"/>
                  </w:tcBorders>
                  <w:noWrap w:val="0"/>
                  <w:vAlign w:val="center"/>
                </w:tcPr>
                <w:p w14:paraId="4BBEBA9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警告图形符号废气排放口</w:t>
                  </w:r>
                </w:p>
                <w:p w14:paraId="045079B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表示废气向大气环境排放</w:t>
                  </w:r>
                </w:p>
              </w:tc>
            </w:tr>
            <w:tr w14:paraId="3FFD4C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52" w:hRule="atLeast"/>
              </w:trPr>
              <w:tc>
                <w:tcPr>
                  <w:tcW w:w="2740" w:type="dxa"/>
                  <w:tcBorders>
                    <w:tl2br w:val="nil"/>
                    <w:tr2bl w:val="nil"/>
                  </w:tcBorders>
                  <w:noWrap w:val="0"/>
                  <w:vAlign w:val="center"/>
                </w:tcPr>
                <w:p w14:paraId="4BED05B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drawing>
                      <wp:inline distT="0" distB="0" distL="114300" distR="114300">
                        <wp:extent cx="720725" cy="722630"/>
                        <wp:effectExtent l="0" t="0" r="3175" b="1270"/>
                        <wp:docPr id="2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0"/>
                                <pic:cNvPicPr>
                                  <a:picLocks noChangeAspect="1"/>
                                </pic:cNvPicPr>
                              </pic:nvPicPr>
                              <pic:blipFill>
                                <a:blip r:embed="rId25"/>
                                <a:stretch>
                                  <a:fillRect/>
                                </a:stretch>
                              </pic:blipFill>
                              <pic:spPr>
                                <a:xfrm>
                                  <a:off x="0" y="0"/>
                                  <a:ext cx="720725" cy="722630"/>
                                </a:xfrm>
                                <a:prstGeom prst="rect">
                                  <a:avLst/>
                                </a:prstGeom>
                                <a:noFill/>
                                <a:ln>
                                  <a:noFill/>
                                </a:ln>
                              </pic:spPr>
                            </pic:pic>
                          </a:graphicData>
                        </a:graphic>
                      </wp:inline>
                    </w:drawing>
                  </w:r>
                </w:p>
              </w:tc>
              <w:tc>
                <w:tcPr>
                  <w:tcW w:w="2974" w:type="dxa"/>
                  <w:tcBorders>
                    <w:tl2br w:val="nil"/>
                    <w:tr2bl w:val="nil"/>
                  </w:tcBorders>
                  <w:noWrap w:val="0"/>
                  <w:vAlign w:val="center"/>
                </w:tcPr>
                <w:p w14:paraId="071D571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标志名称：噪声排放源GB15562.1-1995《</w:t>
                  </w:r>
                  <w:r>
                    <w:rPr>
                      <w:rFonts w:hint="eastAsia" w:cs="Times New Roman"/>
                      <w:color w:val="auto"/>
                      <w:sz w:val="21"/>
                      <w:szCs w:val="21"/>
                      <w:highlight w:val="none"/>
                      <w:lang w:eastAsia="zh-CN"/>
                    </w:rPr>
                    <w:t>环境保护图形标志-排放口（源）</w:t>
                  </w:r>
                  <w:r>
                    <w:rPr>
                      <w:rFonts w:hint="default" w:ascii="Times New Roman" w:hAnsi="Times New Roman" w:eastAsia="宋体" w:cs="Times New Roman"/>
                      <w:color w:val="auto"/>
                      <w:sz w:val="21"/>
                      <w:szCs w:val="21"/>
                      <w:highlight w:val="none"/>
                    </w:rPr>
                    <w:t>》</w:t>
                  </w:r>
                </w:p>
              </w:tc>
              <w:tc>
                <w:tcPr>
                  <w:tcW w:w="2582" w:type="dxa"/>
                  <w:tcBorders>
                    <w:tl2br w:val="nil"/>
                    <w:tr2bl w:val="nil"/>
                  </w:tcBorders>
                  <w:noWrap w:val="0"/>
                  <w:vAlign w:val="center"/>
                </w:tcPr>
                <w:p w14:paraId="26C153D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提示图形符号噪声排放源</w:t>
                  </w:r>
                </w:p>
                <w:p w14:paraId="03BB86C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表示噪声向外环境排放</w:t>
                  </w:r>
                </w:p>
              </w:tc>
            </w:tr>
            <w:tr w14:paraId="70433D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66" w:hRule="atLeast"/>
              </w:trPr>
              <w:tc>
                <w:tcPr>
                  <w:tcW w:w="2740" w:type="dxa"/>
                  <w:tcBorders>
                    <w:tl2br w:val="nil"/>
                    <w:tr2bl w:val="nil"/>
                  </w:tcBorders>
                  <w:noWrap w:val="0"/>
                  <w:vAlign w:val="center"/>
                </w:tcPr>
                <w:p w14:paraId="11ABFA1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drawing>
                      <wp:inline distT="0" distB="0" distL="114300" distR="114300">
                        <wp:extent cx="754380" cy="731520"/>
                        <wp:effectExtent l="0" t="0" r="7620" b="11430"/>
                        <wp:docPr id="2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1"/>
                                <pic:cNvPicPr>
                                  <a:picLocks noChangeAspect="1"/>
                                </pic:cNvPicPr>
                              </pic:nvPicPr>
                              <pic:blipFill>
                                <a:blip r:embed="rId26"/>
                                <a:stretch>
                                  <a:fillRect/>
                                </a:stretch>
                              </pic:blipFill>
                              <pic:spPr>
                                <a:xfrm>
                                  <a:off x="0" y="0"/>
                                  <a:ext cx="754380" cy="731520"/>
                                </a:xfrm>
                                <a:prstGeom prst="rect">
                                  <a:avLst/>
                                </a:prstGeom>
                                <a:noFill/>
                                <a:ln>
                                  <a:noFill/>
                                </a:ln>
                              </pic:spPr>
                            </pic:pic>
                          </a:graphicData>
                        </a:graphic>
                      </wp:inline>
                    </w:drawing>
                  </w:r>
                </w:p>
              </w:tc>
              <w:tc>
                <w:tcPr>
                  <w:tcW w:w="2974" w:type="dxa"/>
                  <w:tcBorders>
                    <w:tl2br w:val="nil"/>
                    <w:tr2bl w:val="nil"/>
                  </w:tcBorders>
                  <w:noWrap w:val="0"/>
                  <w:vAlign w:val="center"/>
                </w:tcPr>
                <w:p w14:paraId="51DABA0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标志名称：噪声排放源GB15562.1-1995《</w:t>
                  </w:r>
                  <w:r>
                    <w:rPr>
                      <w:rFonts w:hint="eastAsia" w:cs="Times New Roman"/>
                      <w:color w:val="auto"/>
                      <w:sz w:val="21"/>
                      <w:szCs w:val="21"/>
                      <w:highlight w:val="none"/>
                      <w:lang w:eastAsia="zh-CN"/>
                    </w:rPr>
                    <w:t>环境保护图形标志-排放口（源）</w:t>
                  </w:r>
                  <w:r>
                    <w:rPr>
                      <w:rFonts w:hint="default" w:ascii="Times New Roman" w:hAnsi="Times New Roman" w:eastAsia="宋体" w:cs="Times New Roman"/>
                      <w:color w:val="auto"/>
                      <w:sz w:val="21"/>
                      <w:szCs w:val="21"/>
                      <w:highlight w:val="none"/>
                    </w:rPr>
                    <w:t>》</w:t>
                  </w:r>
                </w:p>
              </w:tc>
              <w:tc>
                <w:tcPr>
                  <w:tcW w:w="2582" w:type="dxa"/>
                  <w:tcBorders>
                    <w:tl2br w:val="nil"/>
                    <w:tr2bl w:val="nil"/>
                  </w:tcBorders>
                  <w:noWrap w:val="0"/>
                  <w:vAlign w:val="center"/>
                </w:tcPr>
                <w:p w14:paraId="5B1FE5E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警告图形符号噪声排放源</w:t>
                  </w:r>
                </w:p>
                <w:p w14:paraId="36D7A75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表示噪声向外环境排放</w:t>
                  </w:r>
                </w:p>
              </w:tc>
            </w:tr>
            <w:tr w14:paraId="2BF3D2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2740" w:type="dxa"/>
                  <w:tcBorders>
                    <w:tl2br w:val="nil"/>
                    <w:tr2bl w:val="nil"/>
                  </w:tcBorders>
                  <w:noWrap w:val="0"/>
                  <w:vAlign w:val="center"/>
                </w:tcPr>
                <w:p w14:paraId="73D6F73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drawing>
                      <wp:inline distT="0" distB="0" distL="114300" distR="114300">
                        <wp:extent cx="851535" cy="701675"/>
                        <wp:effectExtent l="0" t="0" r="5715" b="3175"/>
                        <wp:docPr id="2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2"/>
                                <pic:cNvPicPr>
                                  <a:picLocks noChangeAspect="1"/>
                                </pic:cNvPicPr>
                              </pic:nvPicPr>
                              <pic:blipFill>
                                <a:blip r:embed="rId27"/>
                                <a:stretch>
                                  <a:fillRect/>
                                </a:stretch>
                              </pic:blipFill>
                              <pic:spPr>
                                <a:xfrm>
                                  <a:off x="0" y="0"/>
                                  <a:ext cx="851535" cy="701675"/>
                                </a:xfrm>
                                <a:prstGeom prst="rect">
                                  <a:avLst/>
                                </a:prstGeom>
                                <a:noFill/>
                                <a:ln>
                                  <a:noFill/>
                                </a:ln>
                              </pic:spPr>
                            </pic:pic>
                          </a:graphicData>
                        </a:graphic>
                      </wp:inline>
                    </w:drawing>
                  </w:r>
                </w:p>
              </w:tc>
              <w:tc>
                <w:tcPr>
                  <w:tcW w:w="2974" w:type="dxa"/>
                  <w:tcBorders>
                    <w:tl2br w:val="nil"/>
                    <w:tr2bl w:val="nil"/>
                  </w:tcBorders>
                  <w:noWrap w:val="0"/>
                  <w:vAlign w:val="center"/>
                </w:tcPr>
                <w:p w14:paraId="261B44D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标志名称：</w:t>
                  </w:r>
                  <w:r>
                    <w:rPr>
                      <w:rFonts w:hint="eastAsia" w:ascii="Times New Roman" w:hAnsi="Times New Roman" w:eastAsia="宋体" w:cs="Times New Roman"/>
                      <w:color w:val="auto"/>
                      <w:sz w:val="21"/>
                      <w:szCs w:val="21"/>
                      <w:highlight w:val="none"/>
                      <w:lang w:val="en-US" w:eastAsia="zh-CN"/>
                    </w:rPr>
                    <w:t>一般固体废物</w:t>
                  </w:r>
                </w:p>
                <w:p w14:paraId="0A154CD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《环境保护图形标志—固体废物贮存(处置)场》(GB15562.2-1995)</w:t>
                  </w:r>
                </w:p>
              </w:tc>
              <w:tc>
                <w:tcPr>
                  <w:tcW w:w="2582" w:type="dxa"/>
                  <w:tcBorders>
                    <w:tl2br w:val="nil"/>
                    <w:tr2bl w:val="nil"/>
                  </w:tcBorders>
                  <w:noWrap w:val="0"/>
                  <w:vAlign w:val="center"/>
                </w:tcPr>
                <w:p w14:paraId="23BD3E3C">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提示图形符号一般固体废物</w:t>
                  </w:r>
                </w:p>
                <w:p w14:paraId="34640D1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表示一般固体废物贮存、处置场</w:t>
                  </w:r>
                </w:p>
              </w:tc>
            </w:tr>
            <w:tr w14:paraId="5507B0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204" w:hRule="atLeast"/>
              </w:trPr>
              <w:tc>
                <w:tcPr>
                  <w:tcW w:w="2740" w:type="dxa"/>
                  <w:tcBorders>
                    <w:tl2br w:val="nil"/>
                    <w:tr2bl w:val="nil"/>
                  </w:tcBorders>
                  <w:noWrap w:val="0"/>
                  <w:vAlign w:val="center"/>
                </w:tcPr>
                <w:p w14:paraId="38F824A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drawing>
                      <wp:inline distT="0" distB="0" distL="114300" distR="114300">
                        <wp:extent cx="802640" cy="755650"/>
                        <wp:effectExtent l="0" t="0" r="16510" b="6350"/>
                        <wp:docPr id="3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3"/>
                                <pic:cNvPicPr>
                                  <a:picLocks noChangeAspect="1"/>
                                </pic:cNvPicPr>
                              </pic:nvPicPr>
                              <pic:blipFill>
                                <a:blip r:embed="rId28"/>
                                <a:stretch>
                                  <a:fillRect/>
                                </a:stretch>
                              </pic:blipFill>
                              <pic:spPr>
                                <a:xfrm>
                                  <a:off x="0" y="0"/>
                                  <a:ext cx="802640" cy="755650"/>
                                </a:xfrm>
                                <a:prstGeom prst="rect">
                                  <a:avLst/>
                                </a:prstGeom>
                                <a:noFill/>
                                <a:ln>
                                  <a:noFill/>
                                </a:ln>
                              </pic:spPr>
                            </pic:pic>
                          </a:graphicData>
                        </a:graphic>
                      </wp:inline>
                    </w:drawing>
                  </w:r>
                </w:p>
              </w:tc>
              <w:tc>
                <w:tcPr>
                  <w:tcW w:w="2974" w:type="dxa"/>
                  <w:tcBorders>
                    <w:tl2br w:val="nil"/>
                    <w:tr2bl w:val="nil"/>
                  </w:tcBorders>
                  <w:noWrap w:val="0"/>
                  <w:vAlign w:val="center"/>
                </w:tcPr>
                <w:p w14:paraId="72C6759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标志名称：</w:t>
                  </w:r>
                  <w:r>
                    <w:rPr>
                      <w:rFonts w:hint="eastAsia" w:ascii="Times New Roman" w:hAnsi="Times New Roman" w:eastAsia="宋体" w:cs="Times New Roman"/>
                      <w:color w:val="auto"/>
                      <w:sz w:val="21"/>
                      <w:szCs w:val="21"/>
                      <w:highlight w:val="none"/>
                      <w:lang w:val="en-US" w:eastAsia="zh-CN"/>
                    </w:rPr>
                    <w:t>一般固体废物</w:t>
                  </w:r>
                </w:p>
                <w:p w14:paraId="50B37D1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《环境保护图形标志—固体废物贮存(处置)场》(GB15562.2-1995)</w:t>
                  </w:r>
                </w:p>
              </w:tc>
              <w:tc>
                <w:tcPr>
                  <w:tcW w:w="2582" w:type="dxa"/>
                  <w:tcBorders>
                    <w:tl2br w:val="nil"/>
                    <w:tr2bl w:val="nil"/>
                  </w:tcBorders>
                  <w:noWrap w:val="0"/>
                  <w:vAlign w:val="center"/>
                </w:tcPr>
                <w:p w14:paraId="41559F4C">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警告图形符号一般固体废物</w:t>
                  </w:r>
                </w:p>
                <w:p w14:paraId="304191A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表示一般固体废物贮存、处置场</w:t>
                  </w:r>
                </w:p>
              </w:tc>
            </w:tr>
            <w:tr w14:paraId="63D10E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204" w:hRule="atLeast"/>
              </w:trPr>
              <w:tc>
                <w:tcPr>
                  <w:tcW w:w="2740" w:type="dxa"/>
                  <w:tcBorders>
                    <w:tl2br w:val="nil"/>
                    <w:tr2bl w:val="nil"/>
                  </w:tcBorders>
                  <w:noWrap w:val="0"/>
                  <w:vAlign w:val="center"/>
                </w:tcPr>
                <w:p w14:paraId="2409528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color w:val="auto"/>
                      <w:highlight w:val="none"/>
                    </w:rPr>
                    <w:drawing>
                      <wp:inline distT="0" distB="0" distL="114300" distR="114300">
                        <wp:extent cx="883920" cy="730885"/>
                        <wp:effectExtent l="0" t="0" r="11430" b="12065"/>
                        <wp:docPr id="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4"/>
                                <pic:cNvPicPr>
                                  <a:picLocks noChangeAspect="1"/>
                                </pic:cNvPicPr>
                              </pic:nvPicPr>
                              <pic:blipFill>
                                <a:blip r:embed="rId29"/>
                                <a:stretch>
                                  <a:fillRect/>
                                </a:stretch>
                              </pic:blipFill>
                              <pic:spPr>
                                <a:xfrm>
                                  <a:off x="0" y="0"/>
                                  <a:ext cx="883920" cy="730885"/>
                                </a:xfrm>
                                <a:prstGeom prst="rect">
                                  <a:avLst/>
                                </a:prstGeom>
                                <a:noFill/>
                                <a:ln>
                                  <a:noFill/>
                                </a:ln>
                              </pic:spPr>
                            </pic:pic>
                          </a:graphicData>
                        </a:graphic>
                      </wp:inline>
                    </w:drawing>
                  </w:r>
                </w:p>
              </w:tc>
              <w:tc>
                <w:tcPr>
                  <w:tcW w:w="2974" w:type="dxa"/>
                  <w:tcBorders>
                    <w:tl2br w:val="nil"/>
                    <w:tr2bl w:val="nil"/>
                  </w:tcBorders>
                  <w:noWrap w:val="0"/>
                  <w:vAlign w:val="center"/>
                </w:tcPr>
                <w:p w14:paraId="7C0B7C3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标志名称：</w:t>
                  </w:r>
                  <w:r>
                    <w:rPr>
                      <w:rFonts w:hint="eastAsia" w:cs="Times New Roman"/>
                      <w:color w:val="auto"/>
                      <w:sz w:val="21"/>
                      <w:szCs w:val="21"/>
                      <w:highlight w:val="none"/>
                      <w:lang w:val="en-US" w:eastAsia="zh-CN"/>
                    </w:rPr>
                    <w:t>危险废物</w:t>
                  </w:r>
                </w:p>
                <w:p w14:paraId="6EC202D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《环境保护图形标志</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固体废物贮存(处置)场》(GB15562.2-1995)修改单</w:t>
                  </w:r>
                </w:p>
              </w:tc>
              <w:tc>
                <w:tcPr>
                  <w:tcW w:w="2582" w:type="dxa"/>
                  <w:tcBorders>
                    <w:tl2br w:val="nil"/>
                    <w:tr2bl w:val="nil"/>
                  </w:tcBorders>
                  <w:noWrap w:val="0"/>
                  <w:vAlign w:val="center"/>
                </w:tcPr>
                <w:p w14:paraId="3D6D3241">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警告图形符号</w:t>
                  </w:r>
                  <w:r>
                    <w:rPr>
                      <w:rFonts w:hint="eastAsia" w:ascii="Times New Roman" w:hAnsi="Times New Roman" w:eastAsia="宋体" w:cs="Times New Roman"/>
                      <w:color w:val="auto"/>
                      <w:sz w:val="21"/>
                      <w:szCs w:val="21"/>
                      <w:highlight w:val="none"/>
                      <w:lang w:val="en-US" w:eastAsia="zh-CN"/>
                    </w:rPr>
                    <w:t>危险废物</w:t>
                  </w:r>
                </w:p>
                <w:p w14:paraId="015E620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表示</w:t>
                  </w:r>
                  <w:r>
                    <w:rPr>
                      <w:rFonts w:hint="eastAsia" w:ascii="Times New Roman" w:hAnsi="Times New Roman" w:eastAsia="宋体" w:cs="Times New Roman"/>
                      <w:color w:val="auto"/>
                      <w:sz w:val="21"/>
                      <w:szCs w:val="21"/>
                      <w:highlight w:val="none"/>
                      <w:lang w:val="en-US" w:eastAsia="zh-CN"/>
                    </w:rPr>
                    <w:t>危险</w:t>
                  </w:r>
                  <w:r>
                    <w:rPr>
                      <w:rFonts w:hint="eastAsia" w:cs="Times New Roman"/>
                      <w:color w:val="auto"/>
                      <w:sz w:val="21"/>
                      <w:szCs w:val="21"/>
                      <w:highlight w:val="none"/>
                      <w:lang w:val="en-US" w:eastAsia="zh-CN"/>
                    </w:rPr>
                    <w:t>废物</w:t>
                  </w:r>
                  <w:r>
                    <w:rPr>
                      <w:rFonts w:hint="default" w:ascii="Times New Roman" w:hAnsi="Times New Roman" w:eastAsia="宋体" w:cs="Times New Roman"/>
                      <w:color w:val="auto"/>
                      <w:sz w:val="21"/>
                      <w:szCs w:val="21"/>
                      <w:highlight w:val="none"/>
                    </w:rPr>
                    <w:t>贮存、处置场</w:t>
                  </w:r>
                </w:p>
              </w:tc>
            </w:tr>
          </w:tbl>
          <w:p w14:paraId="1180D78B">
            <w:pPr>
              <w:pStyle w:val="72"/>
              <w:rPr>
                <w:rFonts w:hint="eastAsia" w:hAnsi="宋体"/>
                <w:color w:val="auto"/>
                <w:sz w:val="24"/>
                <w:szCs w:val="24"/>
                <w:highlight w:val="none"/>
              </w:rPr>
            </w:pPr>
          </w:p>
          <w:p w14:paraId="395387A0">
            <w:pPr>
              <w:pStyle w:val="72"/>
              <w:rPr>
                <w:rFonts w:hint="eastAsia" w:hAnsi="宋体"/>
                <w:color w:val="auto"/>
                <w:sz w:val="24"/>
                <w:szCs w:val="24"/>
                <w:highlight w:val="none"/>
              </w:rPr>
            </w:pPr>
          </w:p>
          <w:p w14:paraId="23359EB0">
            <w:pPr>
              <w:pStyle w:val="72"/>
              <w:rPr>
                <w:rFonts w:hint="eastAsia" w:hAnsi="宋体"/>
                <w:color w:val="auto"/>
                <w:sz w:val="24"/>
                <w:szCs w:val="24"/>
                <w:highlight w:val="none"/>
              </w:rPr>
            </w:pPr>
          </w:p>
          <w:p w14:paraId="0EF1D3A2">
            <w:pPr>
              <w:autoSpaceDE w:val="0"/>
              <w:adjustRightInd w:val="0"/>
              <w:snapToGrid w:val="0"/>
              <w:spacing w:line="360" w:lineRule="exact"/>
              <w:ind w:firstLine="480" w:firstLineChars="200"/>
              <w:rPr>
                <w:rFonts w:hAnsi="宋体"/>
                <w:color w:val="auto"/>
                <w:sz w:val="24"/>
                <w:szCs w:val="24"/>
                <w:highlight w:val="none"/>
              </w:rPr>
            </w:pPr>
          </w:p>
        </w:tc>
      </w:tr>
    </w:tbl>
    <w:p w14:paraId="36CA1D8A">
      <w:pPr>
        <w:pStyle w:val="33"/>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ascii="黑体" w:hAnsi="黑体" w:eastAsia="黑体"/>
          <w:snapToGrid w:val="0"/>
          <w:color w:val="auto"/>
          <w:sz w:val="30"/>
          <w:szCs w:val="30"/>
          <w:highlight w:val="none"/>
        </w:rPr>
      </w:pPr>
      <w:bookmarkStart w:id="24" w:name="_Toc21531"/>
      <w:r>
        <w:rPr>
          <w:rFonts w:ascii="黑体" w:hAnsi="黑体" w:eastAsia="黑体"/>
          <w:snapToGrid w:val="0"/>
          <w:color w:val="auto"/>
          <w:sz w:val="30"/>
          <w:szCs w:val="30"/>
          <w:highlight w:val="none"/>
        </w:rPr>
        <w:t>六、结论</w:t>
      </w:r>
      <w:bookmarkEnd w:id="24"/>
    </w:p>
    <w:tbl>
      <w:tblPr>
        <w:tblStyle w:val="37"/>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611"/>
      </w:tblGrid>
      <w:tr w14:paraId="566C2B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trPr>
        <w:tc>
          <w:tcPr>
            <w:tcW w:w="9611" w:type="dxa"/>
            <w:noWrap w:val="0"/>
            <w:vAlign w:val="center"/>
          </w:tcPr>
          <w:p w14:paraId="53D9FE98">
            <w:pPr>
              <w:adjustRightInd w:val="0"/>
              <w:snapToGrid w:val="0"/>
              <w:spacing w:line="360" w:lineRule="exact"/>
              <w:ind w:firstLine="2310" w:firstLineChars="1100"/>
              <w:jc w:val="left"/>
              <w:rPr>
                <w:rFonts w:hint="eastAsia"/>
                <w:color w:val="auto"/>
                <w:highlight w:val="none"/>
              </w:rPr>
            </w:pPr>
          </w:p>
          <w:p w14:paraId="20C24E74">
            <w:pPr>
              <w:adjustRightInd w:val="0"/>
              <w:snapToGrid w:val="0"/>
              <w:spacing w:line="360" w:lineRule="exact"/>
              <w:ind w:firstLine="2310" w:firstLineChars="1100"/>
              <w:jc w:val="left"/>
              <w:rPr>
                <w:rFonts w:hint="eastAsia"/>
                <w:color w:val="auto"/>
                <w:highlight w:val="none"/>
              </w:rPr>
            </w:pPr>
          </w:p>
          <w:p w14:paraId="607FD4FD">
            <w:pPr>
              <w:adjustRightInd w:val="0"/>
              <w:snapToGrid w:val="0"/>
              <w:spacing w:line="360" w:lineRule="exact"/>
              <w:ind w:firstLine="2310" w:firstLineChars="1100"/>
              <w:jc w:val="left"/>
              <w:rPr>
                <w:rFonts w:hint="eastAsia"/>
                <w:color w:val="auto"/>
                <w:highlight w:val="none"/>
              </w:rPr>
            </w:pPr>
          </w:p>
          <w:p w14:paraId="491A4A55">
            <w:pPr>
              <w:adjustRightInd w:val="0"/>
              <w:snapToGrid w:val="0"/>
              <w:spacing w:line="360" w:lineRule="exact"/>
              <w:ind w:firstLine="2310" w:firstLineChars="1100"/>
              <w:jc w:val="left"/>
              <w:rPr>
                <w:rFonts w:hint="eastAsia"/>
                <w:color w:val="auto"/>
                <w:highlight w:val="none"/>
              </w:rPr>
            </w:pPr>
          </w:p>
          <w:p w14:paraId="51F266BC">
            <w:pPr>
              <w:adjustRightInd w:val="0"/>
              <w:snapToGrid w:val="0"/>
              <w:spacing w:line="360" w:lineRule="exact"/>
              <w:ind w:firstLine="2310" w:firstLineChars="1100"/>
              <w:jc w:val="left"/>
              <w:rPr>
                <w:rFonts w:hint="eastAsia"/>
                <w:color w:val="auto"/>
                <w:highlight w:val="none"/>
              </w:rPr>
            </w:pPr>
          </w:p>
          <w:p w14:paraId="233DBFD5">
            <w:pPr>
              <w:adjustRightInd w:val="0"/>
              <w:snapToGrid w:val="0"/>
              <w:spacing w:line="360" w:lineRule="exact"/>
              <w:ind w:firstLine="2310" w:firstLineChars="1100"/>
              <w:jc w:val="left"/>
              <w:rPr>
                <w:rFonts w:hint="eastAsia"/>
                <w:color w:val="auto"/>
                <w:highlight w:val="none"/>
              </w:rPr>
            </w:pPr>
          </w:p>
          <w:p w14:paraId="15B79DED">
            <w:pPr>
              <w:adjustRightInd w:val="0"/>
              <w:snapToGrid w:val="0"/>
              <w:spacing w:line="360" w:lineRule="exact"/>
              <w:ind w:firstLine="2310" w:firstLineChars="1100"/>
              <w:jc w:val="left"/>
              <w:rPr>
                <w:rFonts w:hint="eastAsia"/>
                <w:color w:val="auto"/>
                <w:highlight w:val="none"/>
              </w:rPr>
            </w:pPr>
          </w:p>
          <w:p w14:paraId="6FA5DD95">
            <w:pPr>
              <w:adjustRightInd w:val="0"/>
              <w:snapToGrid w:val="0"/>
              <w:spacing w:line="360" w:lineRule="exact"/>
              <w:ind w:firstLine="2310" w:firstLineChars="1100"/>
              <w:jc w:val="left"/>
              <w:rPr>
                <w:rFonts w:hint="eastAsia"/>
                <w:color w:val="auto"/>
                <w:highlight w:val="none"/>
              </w:rPr>
            </w:pPr>
          </w:p>
          <w:p w14:paraId="63AFA2C5">
            <w:pPr>
              <w:adjustRightInd w:val="0"/>
              <w:snapToGrid w:val="0"/>
              <w:spacing w:line="360" w:lineRule="exact"/>
              <w:ind w:firstLine="2310" w:firstLineChars="1100"/>
              <w:jc w:val="left"/>
              <w:rPr>
                <w:rFonts w:hint="eastAsia"/>
                <w:color w:val="auto"/>
                <w:highlight w:val="none"/>
              </w:rPr>
            </w:pPr>
          </w:p>
          <w:p w14:paraId="35F89558">
            <w:pPr>
              <w:adjustRightInd w:val="0"/>
              <w:snapToGrid w:val="0"/>
              <w:spacing w:line="360" w:lineRule="exact"/>
              <w:ind w:firstLine="2310" w:firstLineChars="1100"/>
              <w:jc w:val="left"/>
              <w:rPr>
                <w:rFonts w:hint="eastAsia"/>
                <w:color w:val="auto"/>
                <w:highlight w:val="none"/>
              </w:rPr>
            </w:pPr>
          </w:p>
          <w:p w14:paraId="77C1B61B">
            <w:pPr>
              <w:adjustRightInd w:val="0"/>
              <w:snapToGrid w:val="0"/>
              <w:spacing w:line="360" w:lineRule="exact"/>
              <w:ind w:firstLine="2310" w:firstLineChars="1100"/>
              <w:jc w:val="left"/>
              <w:rPr>
                <w:rFonts w:hint="eastAsia"/>
                <w:color w:val="auto"/>
                <w:highlight w:val="none"/>
              </w:rPr>
            </w:pPr>
          </w:p>
          <w:p w14:paraId="303210AC">
            <w:pPr>
              <w:adjustRightInd w:val="0"/>
              <w:snapToGrid w:val="0"/>
              <w:spacing w:line="360" w:lineRule="auto"/>
              <w:ind w:firstLine="480" w:firstLineChars="200"/>
              <w:jc w:val="left"/>
              <w:rPr>
                <w:color w:val="auto"/>
                <w:sz w:val="24"/>
                <w:szCs w:val="24"/>
                <w:highlight w:val="none"/>
              </w:rPr>
            </w:pPr>
            <w:r>
              <w:rPr>
                <w:rFonts w:hint="eastAsia"/>
                <w:color w:val="auto"/>
                <w:sz w:val="24"/>
                <w:szCs w:val="24"/>
                <w:highlight w:val="none"/>
              </w:rPr>
              <w:t>从环境保护的角度分析，该项目建设可行。</w:t>
            </w:r>
          </w:p>
          <w:p w14:paraId="094B9420">
            <w:pPr>
              <w:adjustRightInd w:val="0"/>
              <w:snapToGrid w:val="0"/>
              <w:spacing w:line="360" w:lineRule="auto"/>
              <w:ind w:firstLine="420" w:firstLineChars="200"/>
              <w:jc w:val="left"/>
              <w:rPr>
                <w:color w:val="auto"/>
                <w:highlight w:val="none"/>
              </w:rPr>
            </w:pPr>
          </w:p>
          <w:p w14:paraId="1905A664">
            <w:pPr>
              <w:adjustRightInd w:val="0"/>
              <w:snapToGrid w:val="0"/>
              <w:spacing w:line="360" w:lineRule="auto"/>
              <w:ind w:firstLine="420" w:firstLineChars="200"/>
              <w:jc w:val="left"/>
              <w:rPr>
                <w:color w:val="auto"/>
                <w:highlight w:val="none"/>
              </w:rPr>
            </w:pPr>
          </w:p>
          <w:p w14:paraId="78B239C2">
            <w:pPr>
              <w:adjustRightInd w:val="0"/>
              <w:snapToGrid w:val="0"/>
              <w:spacing w:line="360" w:lineRule="auto"/>
              <w:ind w:firstLine="420" w:firstLineChars="200"/>
              <w:jc w:val="left"/>
              <w:rPr>
                <w:color w:val="auto"/>
                <w:highlight w:val="none"/>
              </w:rPr>
            </w:pPr>
          </w:p>
          <w:p w14:paraId="58E1B40F">
            <w:pPr>
              <w:pStyle w:val="20"/>
              <w:rPr>
                <w:color w:val="auto"/>
                <w:highlight w:val="none"/>
              </w:rPr>
            </w:pPr>
          </w:p>
          <w:p w14:paraId="765E61CD">
            <w:pPr>
              <w:pStyle w:val="21"/>
              <w:rPr>
                <w:color w:val="auto"/>
                <w:sz w:val="21"/>
                <w:szCs w:val="21"/>
                <w:highlight w:val="none"/>
              </w:rPr>
            </w:pPr>
          </w:p>
          <w:p w14:paraId="762CE43B">
            <w:pPr>
              <w:pStyle w:val="21"/>
              <w:rPr>
                <w:color w:val="auto"/>
                <w:sz w:val="21"/>
                <w:szCs w:val="21"/>
                <w:highlight w:val="none"/>
              </w:rPr>
            </w:pPr>
          </w:p>
          <w:p w14:paraId="77AD8398">
            <w:pPr>
              <w:pStyle w:val="21"/>
              <w:rPr>
                <w:color w:val="auto"/>
                <w:sz w:val="21"/>
                <w:szCs w:val="21"/>
                <w:highlight w:val="none"/>
              </w:rPr>
            </w:pPr>
          </w:p>
          <w:p w14:paraId="5E5E9394">
            <w:pPr>
              <w:pStyle w:val="21"/>
              <w:rPr>
                <w:color w:val="auto"/>
                <w:sz w:val="21"/>
                <w:szCs w:val="21"/>
                <w:highlight w:val="none"/>
              </w:rPr>
            </w:pPr>
          </w:p>
          <w:p w14:paraId="44159CE6">
            <w:pPr>
              <w:pStyle w:val="21"/>
              <w:rPr>
                <w:color w:val="auto"/>
                <w:sz w:val="21"/>
                <w:szCs w:val="21"/>
                <w:highlight w:val="none"/>
              </w:rPr>
            </w:pPr>
          </w:p>
          <w:p w14:paraId="16DDD91B">
            <w:pPr>
              <w:pStyle w:val="21"/>
              <w:rPr>
                <w:color w:val="auto"/>
                <w:sz w:val="21"/>
                <w:szCs w:val="21"/>
                <w:highlight w:val="none"/>
              </w:rPr>
            </w:pPr>
          </w:p>
          <w:p w14:paraId="798ED578">
            <w:pPr>
              <w:pStyle w:val="21"/>
              <w:rPr>
                <w:color w:val="auto"/>
                <w:sz w:val="21"/>
                <w:szCs w:val="21"/>
                <w:highlight w:val="none"/>
              </w:rPr>
            </w:pPr>
          </w:p>
          <w:p w14:paraId="0CA9B382">
            <w:pPr>
              <w:pStyle w:val="21"/>
              <w:rPr>
                <w:color w:val="auto"/>
                <w:sz w:val="21"/>
                <w:szCs w:val="21"/>
                <w:highlight w:val="none"/>
              </w:rPr>
            </w:pPr>
          </w:p>
          <w:p w14:paraId="1B91CF6A">
            <w:pPr>
              <w:pStyle w:val="21"/>
              <w:rPr>
                <w:color w:val="auto"/>
                <w:sz w:val="21"/>
                <w:szCs w:val="21"/>
                <w:highlight w:val="none"/>
              </w:rPr>
            </w:pPr>
          </w:p>
          <w:p w14:paraId="16F59CD3">
            <w:pPr>
              <w:pStyle w:val="21"/>
              <w:rPr>
                <w:color w:val="auto"/>
                <w:sz w:val="21"/>
                <w:szCs w:val="21"/>
                <w:highlight w:val="none"/>
              </w:rPr>
            </w:pPr>
          </w:p>
          <w:p w14:paraId="6F58C0D4">
            <w:pPr>
              <w:pStyle w:val="21"/>
              <w:rPr>
                <w:color w:val="auto"/>
                <w:sz w:val="21"/>
                <w:szCs w:val="21"/>
                <w:highlight w:val="none"/>
              </w:rPr>
            </w:pPr>
          </w:p>
          <w:p w14:paraId="2D0DF30A">
            <w:pPr>
              <w:pStyle w:val="21"/>
              <w:rPr>
                <w:color w:val="auto"/>
                <w:sz w:val="21"/>
                <w:szCs w:val="21"/>
                <w:highlight w:val="none"/>
              </w:rPr>
            </w:pPr>
          </w:p>
          <w:p w14:paraId="565A162D">
            <w:pPr>
              <w:pStyle w:val="21"/>
              <w:rPr>
                <w:color w:val="auto"/>
                <w:sz w:val="21"/>
                <w:szCs w:val="21"/>
                <w:highlight w:val="none"/>
              </w:rPr>
            </w:pPr>
          </w:p>
          <w:p w14:paraId="0257B869">
            <w:pPr>
              <w:pStyle w:val="21"/>
              <w:rPr>
                <w:color w:val="auto"/>
                <w:sz w:val="21"/>
                <w:szCs w:val="21"/>
                <w:highlight w:val="none"/>
              </w:rPr>
            </w:pPr>
          </w:p>
          <w:p w14:paraId="1E85DA9A">
            <w:pPr>
              <w:pStyle w:val="21"/>
              <w:rPr>
                <w:color w:val="auto"/>
                <w:sz w:val="21"/>
                <w:szCs w:val="21"/>
                <w:highlight w:val="none"/>
              </w:rPr>
            </w:pPr>
          </w:p>
          <w:p w14:paraId="6FF362C3">
            <w:pPr>
              <w:pStyle w:val="21"/>
              <w:rPr>
                <w:color w:val="auto"/>
                <w:sz w:val="21"/>
                <w:szCs w:val="21"/>
                <w:highlight w:val="none"/>
              </w:rPr>
            </w:pPr>
          </w:p>
          <w:p w14:paraId="21C8BA45">
            <w:pPr>
              <w:pStyle w:val="21"/>
              <w:rPr>
                <w:color w:val="auto"/>
                <w:sz w:val="21"/>
                <w:szCs w:val="21"/>
                <w:highlight w:val="none"/>
              </w:rPr>
            </w:pPr>
          </w:p>
          <w:p w14:paraId="1A6B0FAD">
            <w:pPr>
              <w:pStyle w:val="21"/>
              <w:rPr>
                <w:color w:val="auto"/>
                <w:sz w:val="21"/>
                <w:szCs w:val="21"/>
                <w:highlight w:val="none"/>
              </w:rPr>
            </w:pPr>
          </w:p>
          <w:p w14:paraId="0D8429D8">
            <w:pPr>
              <w:pStyle w:val="21"/>
              <w:rPr>
                <w:color w:val="auto"/>
                <w:sz w:val="21"/>
                <w:szCs w:val="21"/>
                <w:highlight w:val="none"/>
              </w:rPr>
            </w:pPr>
          </w:p>
          <w:p w14:paraId="69B35990">
            <w:pPr>
              <w:pStyle w:val="21"/>
              <w:rPr>
                <w:color w:val="auto"/>
                <w:sz w:val="21"/>
                <w:szCs w:val="21"/>
                <w:highlight w:val="none"/>
              </w:rPr>
            </w:pPr>
          </w:p>
          <w:p w14:paraId="2E14E55C">
            <w:pPr>
              <w:pStyle w:val="21"/>
              <w:rPr>
                <w:color w:val="auto"/>
                <w:sz w:val="21"/>
                <w:szCs w:val="21"/>
                <w:highlight w:val="none"/>
              </w:rPr>
            </w:pPr>
          </w:p>
          <w:p w14:paraId="1B29CD8A">
            <w:pPr>
              <w:pStyle w:val="21"/>
              <w:rPr>
                <w:color w:val="auto"/>
                <w:sz w:val="21"/>
                <w:szCs w:val="21"/>
                <w:highlight w:val="none"/>
              </w:rPr>
            </w:pPr>
          </w:p>
          <w:p w14:paraId="5FF380FB">
            <w:pPr>
              <w:pStyle w:val="21"/>
              <w:rPr>
                <w:color w:val="auto"/>
                <w:sz w:val="21"/>
                <w:szCs w:val="21"/>
                <w:highlight w:val="none"/>
              </w:rPr>
            </w:pPr>
          </w:p>
          <w:p w14:paraId="55BE0114">
            <w:pPr>
              <w:pStyle w:val="21"/>
              <w:rPr>
                <w:color w:val="auto"/>
                <w:sz w:val="21"/>
                <w:szCs w:val="21"/>
                <w:highlight w:val="none"/>
              </w:rPr>
            </w:pPr>
          </w:p>
          <w:p w14:paraId="514ADA35">
            <w:pPr>
              <w:pStyle w:val="21"/>
              <w:rPr>
                <w:color w:val="auto"/>
                <w:sz w:val="21"/>
                <w:szCs w:val="21"/>
                <w:highlight w:val="none"/>
              </w:rPr>
            </w:pPr>
          </w:p>
          <w:p w14:paraId="064530B6">
            <w:pPr>
              <w:pStyle w:val="21"/>
              <w:rPr>
                <w:color w:val="auto"/>
                <w:sz w:val="21"/>
                <w:szCs w:val="21"/>
                <w:highlight w:val="none"/>
              </w:rPr>
            </w:pPr>
          </w:p>
          <w:p w14:paraId="449CA4D1">
            <w:pPr>
              <w:pStyle w:val="21"/>
              <w:rPr>
                <w:color w:val="auto"/>
                <w:sz w:val="21"/>
                <w:szCs w:val="21"/>
                <w:highlight w:val="none"/>
              </w:rPr>
            </w:pPr>
          </w:p>
          <w:p w14:paraId="58D95BDB">
            <w:pPr>
              <w:pStyle w:val="21"/>
              <w:rPr>
                <w:color w:val="auto"/>
                <w:sz w:val="21"/>
                <w:szCs w:val="21"/>
                <w:highlight w:val="none"/>
              </w:rPr>
            </w:pPr>
          </w:p>
          <w:p w14:paraId="7DD8306D">
            <w:pPr>
              <w:pStyle w:val="21"/>
              <w:rPr>
                <w:color w:val="auto"/>
                <w:sz w:val="21"/>
                <w:szCs w:val="21"/>
                <w:highlight w:val="none"/>
              </w:rPr>
            </w:pPr>
          </w:p>
        </w:tc>
      </w:tr>
    </w:tbl>
    <w:p w14:paraId="2A703AFD">
      <w:pPr>
        <w:rPr>
          <w:color w:val="auto"/>
          <w:highlight w:val="green"/>
        </w:rPr>
        <w:sectPr>
          <w:pgSz w:w="11905" w:h="16838"/>
          <w:pgMar w:top="1134" w:right="1134" w:bottom="1134" w:left="1247" w:header="851" w:footer="1077" w:gutter="0"/>
          <w:pgBorders>
            <w:top w:val="none" w:sz="0" w:space="0"/>
            <w:left w:val="none" w:sz="0" w:space="0"/>
            <w:bottom w:val="none" w:sz="0" w:space="0"/>
            <w:right w:val="none" w:sz="0" w:space="0"/>
          </w:pgBorders>
          <w:pgNumType w:fmt="decimal"/>
          <w:cols w:space="720" w:num="1"/>
          <w:docGrid w:linePitch="312" w:charSpace="0"/>
        </w:sectPr>
      </w:pPr>
    </w:p>
    <w:p w14:paraId="0608A2F1">
      <w:pPr>
        <w:pStyle w:val="33"/>
        <w:adjustRightInd w:val="0"/>
        <w:snapToGrid w:val="0"/>
        <w:spacing w:before="0" w:beforeAutospacing="0" w:after="0" w:afterAutospacing="0" w:line="360" w:lineRule="auto"/>
        <w:outlineLvl w:val="0"/>
        <w:rPr>
          <w:rFonts w:ascii="Times New Roman" w:hAnsi="Times New Roman"/>
          <w:snapToGrid w:val="0"/>
          <w:color w:val="auto"/>
          <w:sz w:val="32"/>
          <w:szCs w:val="32"/>
          <w:highlight w:val="none"/>
        </w:rPr>
      </w:pPr>
      <w:bookmarkStart w:id="25" w:name="_Toc11164"/>
      <w:r>
        <w:rPr>
          <w:rFonts w:ascii="Times New Roman"/>
          <w:snapToGrid w:val="0"/>
          <w:color w:val="auto"/>
          <w:sz w:val="32"/>
          <w:szCs w:val="32"/>
          <w:highlight w:val="none"/>
        </w:rPr>
        <w:t>附表</w:t>
      </w:r>
      <w:bookmarkEnd w:id="25"/>
    </w:p>
    <w:p w14:paraId="51996140">
      <w:pPr>
        <w:pStyle w:val="33"/>
        <w:adjustRightInd w:val="0"/>
        <w:snapToGrid w:val="0"/>
        <w:spacing w:before="0" w:beforeAutospacing="0" w:after="0" w:afterAutospacing="0" w:line="360" w:lineRule="auto"/>
        <w:jc w:val="center"/>
        <w:outlineLvl w:val="0"/>
        <w:rPr>
          <w:rFonts w:ascii="Times New Roman"/>
          <w:snapToGrid w:val="0"/>
          <w:color w:val="auto"/>
          <w:sz w:val="38"/>
          <w:szCs w:val="38"/>
          <w:highlight w:val="none"/>
        </w:rPr>
      </w:pPr>
      <w:bookmarkStart w:id="26" w:name="_Toc154"/>
      <w:r>
        <w:rPr>
          <w:rFonts w:ascii="Times New Roman"/>
          <w:snapToGrid w:val="0"/>
          <w:color w:val="auto"/>
          <w:sz w:val="38"/>
          <w:szCs w:val="38"/>
          <w:highlight w:val="none"/>
        </w:rPr>
        <w:t>建设项目污染物排放量汇总表</w:t>
      </w:r>
      <w:bookmarkEnd w:id="26"/>
    </w:p>
    <w:tbl>
      <w:tblPr>
        <w:tblStyle w:val="37"/>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641"/>
        <w:gridCol w:w="1966"/>
      </w:tblGrid>
      <w:tr w14:paraId="1860AE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tcBorders>
              <w:tl2br w:val="single" w:color="auto" w:sz="4" w:space="0"/>
            </w:tcBorders>
            <w:noWrap w:val="0"/>
            <w:tcMar>
              <w:left w:w="28" w:type="dxa"/>
              <w:right w:w="28" w:type="dxa"/>
            </w:tcMar>
            <w:vAlign w:val="center"/>
          </w:tcPr>
          <w:p w14:paraId="6FC06EA6">
            <w:pPr>
              <w:pStyle w:val="78"/>
              <w:spacing w:beforeLines="0" w:afterLines="0" w:line="240" w:lineRule="auto"/>
              <w:rPr>
                <w:rFonts w:ascii="Times New Roman"/>
                <w:snapToGrid w:val="0"/>
                <w:color w:val="auto"/>
                <w:spacing w:val="-6"/>
                <w:kern w:val="21"/>
                <w:sz w:val="21"/>
                <w:szCs w:val="21"/>
                <w:highlight w:val="none"/>
                <w:lang w:val="en-US" w:eastAsia="zh-CN"/>
              </w:rPr>
            </w:pPr>
            <w:r>
              <w:rPr>
                <w:rFonts w:ascii="Times New Roman" w:hAnsi="宋体"/>
                <w:snapToGrid w:val="0"/>
                <w:color w:val="auto"/>
                <w:spacing w:val="-6"/>
                <w:kern w:val="21"/>
                <w:sz w:val="21"/>
                <w:szCs w:val="21"/>
                <w:highlight w:val="none"/>
                <w:lang w:val="en-US" w:eastAsia="zh-CN"/>
              </w:rPr>
              <w:t>项目</w:t>
            </w:r>
          </w:p>
          <w:p w14:paraId="31AAA4D9">
            <w:pPr>
              <w:pStyle w:val="78"/>
              <w:spacing w:beforeLines="0" w:afterLines="0" w:line="240" w:lineRule="auto"/>
              <w:jc w:val="both"/>
              <w:rPr>
                <w:rFonts w:ascii="Times New Roman"/>
                <w:snapToGrid w:val="0"/>
                <w:color w:val="auto"/>
                <w:spacing w:val="-6"/>
                <w:kern w:val="21"/>
                <w:sz w:val="21"/>
                <w:szCs w:val="21"/>
                <w:highlight w:val="none"/>
                <w:lang w:val="en-US" w:eastAsia="zh-CN"/>
              </w:rPr>
            </w:pPr>
            <w:r>
              <w:rPr>
                <w:rFonts w:ascii="Times New Roman" w:hAnsi="宋体"/>
                <w:snapToGrid w:val="0"/>
                <w:color w:val="auto"/>
                <w:spacing w:val="-6"/>
                <w:kern w:val="21"/>
                <w:sz w:val="21"/>
                <w:szCs w:val="21"/>
                <w:highlight w:val="none"/>
                <w:lang w:val="en-US" w:eastAsia="zh-CN"/>
              </w:rPr>
              <w:t>分类</w:t>
            </w:r>
          </w:p>
        </w:tc>
        <w:tc>
          <w:tcPr>
            <w:tcW w:w="1417" w:type="dxa"/>
            <w:noWrap w:val="0"/>
            <w:tcMar>
              <w:left w:w="28" w:type="dxa"/>
              <w:right w:w="28" w:type="dxa"/>
            </w:tcMar>
            <w:vAlign w:val="center"/>
          </w:tcPr>
          <w:p w14:paraId="4A36F92C">
            <w:pPr>
              <w:pStyle w:val="78"/>
              <w:spacing w:beforeLines="0" w:afterLines="0" w:line="240" w:lineRule="auto"/>
              <w:rPr>
                <w:rFonts w:ascii="Times New Roman"/>
                <w:snapToGrid w:val="0"/>
                <w:color w:val="auto"/>
                <w:spacing w:val="-6"/>
                <w:kern w:val="21"/>
                <w:sz w:val="21"/>
                <w:szCs w:val="21"/>
                <w:highlight w:val="none"/>
                <w:lang w:val="en-US" w:eastAsia="zh-CN"/>
              </w:rPr>
            </w:pPr>
            <w:r>
              <w:rPr>
                <w:rFonts w:ascii="Times New Roman" w:hAnsi="宋体"/>
                <w:snapToGrid w:val="0"/>
                <w:color w:val="auto"/>
                <w:spacing w:val="-6"/>
                <w:kern w:val="21"/>
                <w:sz w:val="21"/>
                <w:szCs w:val="21"/>
                <w:highlight w:val="none"/>
                <w:lang w:val="en-US" w:eastAsia="zh-CN"/>
              </w:rPr>
              <w:t>污染物名称</w:t>
            </w:r>
          </w:p>
        </w:tc>
        <w:tc>
          <w:tcPr>
            <w:tcW w:w="1701" w:type="dxa"/>
            <w:noWrap w:val="0"/>
            <w:tcMar>
              <w:left w:w="28" w:type="dxa"/>
              <w:right w:w="28" w:type="dxa"/>
            </w:tcMar>
            <w:vAlign w:val="center"/>
          </w:tcPr>
          <w:p w14:paraId="5FE974D3">
            <w:pPr>
              <w:pStyle w:val="78"/>
              <w:spacing w:beforeLines="0" w:afterLines="0" w:line="240" w:lineRule="auto"/>
              <w:rPr>
                <w:rFonts w:ascii="Times New Roman"/>
                <w:snapToGrid w:val="0"/>
                <w:color w:val="auto"/>
                <w:spacing w:val="-6"/>
                <w:kern w:val="21"/>
                <w:sz w:val="21"/>
                <w:szCs w:val="21"/>
                <w:highlight w:val="none"/>
                <w:lang w:val="en-US" w:eastAsia="zh-CN"/>
              </w:rPr>
            </w:pPr>
            <w:r>
              <w:rPr>
                <w:rFonts w:ascii="Times New Roman" w:hAnsi="宋体"/>
                <w:snapToGrid w:val="0"/>
                <w:color w:val="auto"/>
                <w:spacing w:val="-6"/>
                <w:kern w:val="21"/>
                <w:sz w:val="21"/>
                <w:szCs w:val="21"/>
                <w:highlight w:val="none"/>
                <w:lang w:val="en-US" w:eastAsia="zh-CN"/>
              </w:rPr>
              <w:t>现有工程</w:t>
            </w:r>
          </w:p>
          <w:p w14:paraId="0014001F">
            <w:pPr>
              <w:pStyle w:val="78"/>
              <w:spacing w:beforeLines="0" w:afterLines="0" w:line="240" w:lineRule="auto"/>
              <w:rPr>
                <w:rFonts w:ascii="Times New Roman"/>
                <w:snapToGrid w:val="0"/>
                <w:color w:val="auto"/>
                <w:spacing w:val="-6"/>
                <w:kern w:val="21"/>
                <w:sz w:val="21"/>
                <w:szCs w:val="21"/>
                <w:highlight w:val="none"/>
                <w:lang w:val="en-US" w:eastAsia="zh-CN"/>
              </w:rPr>
            </w:pPr>
            <w:r>
              <w:rPr>
                <w:rFonts w:ascii="Times New Roman" w:hAnsi="宋体"/>
                <w:snapToGrid w:val="0"/>
                <w:color w:val="auto"/>
                <w:spacing w:val="-6"/>
                <w:kern w:val="21"/>
                <w:sz w:val="21"/>
                <w:szCs w:val="21"/>
                <w:highlight w:val="none"/>
                <w:lang w:val="en-US" w:eastAsia="zh-CN"/>
              </w:rPr>
              <w:t>排放量（固体废物产生量）</w:t>
            </w:r>
            <w:r>
              <w:rPr>
                <w:rFonts w:ascii="Times New Roman"/>
                <w:snapToGrid w:val="0"/>
                <w:color w:val="auto"/>
                <w:spacing w:val="-6"/>
                <w:kern w:val="21"/>
                <w:sz w:val="21"/>
                <w:szCs w:val="21"/>
                <w:highlight w:val="none"/>
                <w:lang w:val="en-US" w:eastAsia="zh-CN"/>
              </w:rPr>
              <w:fldChar w:fldCharType="begin"/>
            </w:r>
            <w:r>
              <w:rPr>
                <w:rFonts w:ascii="Times New Roman"/>
                <w:snapToGrid w:val="0"/>
                <w:color w:val="auto"/>
                <w:spacing w:val="-6"/>
                <w:kern w:val="21"/>
                <w:sz w:val="21"/>
                <w:szCs w:val="21"/>
                <w:highlight w:val="none"/>
                <w:lang w:val="en-US" w:eastAsia="zh-CN"/>
              </w:rPr>
              <w:instrText xml:space="preserve"> = 1 \* GB3 \* MERGEFORMAT </w:instrText>
            </w:r>
            <w:r>
              <w:rPr>
                <w:rFonts w:ascii="Times New Roman"/>
                <w:snapToGrid w:val="0"/>
                <w:color w:val="auto"/>
                <w:spacing w:val="-6"/>
                <w:kern w:val="21"/>
                <w:sz w:val="21"/>
                <w:szCs w:val="21"/>
                <w:highlight w:val="none"/>
                <w:lang w:val="en-US" w:eastAsia="zh-CN"/>
              </w:rPr>
              <w:fldChar w:fldCharType="separate"/>
            </w:r>
            <w:r>
              <w:rPr>
                <w:rFonts w:ascii="Times New Roman" w:hAnsi="宋体"/>
                <w:color w:val="auto"/>
                <w:kern w:val="2"/>
                <w:sz w:val="21"/>
                <w:szCs w:val="21"/>
                <w:highlight w:val="none"/>
                <w:lang w:val="en-US" w:eastAsia="zh-CN"/>
              </w:rPr>
              <w:t>①</w:t>
            </w:r>
            <w:r>
              <w:rPr>
                <w:rFonts w:ascii="Times New Roman"/>
                <w:snapToGrid w:val="0"/>
                <w:color w:val="auto"/>
                <w:spacing w:val="-6"/>
                <w:kern w:val="21"/>
                <w:sz w:val="21"/>
                <w:szCs w:val="21"/>
                <w:highlight w:val="none"/>
                <w:lang w:val="en-US" w:eastAsia="zh-CN"/>
              </w:rPr>
              <w:fldChar w:fldCharType="end"/>
            </w:r>
          </w:p>
        </w:tc>
        <w:tc>
          <w:tcPr>
            <w:tcW w:w="1276" w:type="dxa"/>
            <w:noWrap w:val="0"/>
            <w:tcMar>
              <w:left w:w="28" w:type="dxa"/>
              <w:right w:w="28" w:type="dxa"/>
            </w:tcMar>
            <w:vAlign w:val="center"/>
          </w:tcPr>
          <w:p w14:paraId="3F562047">
            <w:pPr>
              <w:pStyle w:val="78"/>
              <w:spacing w:beforeLines="0" w:afterLines="0" w:line="240" w:lineRule="auto"/>
              <w:rPr>
                <w:rFonts w:ascii="Times New Roman"/>
                <w:snapToGrid w:val="0"/>
                <w:color w:val="auto"/>
                <w:spacing w:val="-6"/>
                <w:kern w:val="21"/>
                <w:sz w:val="21"/>
                <w:szCs w:val="21"/>
                <w:highlight w:val="none"/>
                <w:lang w:val="en-US" w:eastAsia="zh-CN"/>
              </w:rPr>
            </w:pPr>
            <w:r>
              <w:rPr>
                <w:rFonts w:ascii="Times New Roman" w:hAnsi="宋体"/>
                <w:snapToGrid w:val="0"/>
                <w:color w:val="auto"/>
                <w:spacing w:val="-6"/>
                <w:kern w:val="21"/>
                <w:sz w:val="21"/>
                <w:szCs w:val="21"/>
                <w:highlight w:val="none"/>
                <w:lang w:val="en-US" w:eastAsia="zh-CN"/>
              </w:rPr>
              <w:t>现有工程</w:t>
            </w:r>
          </w:p>
          <w:p w14:paraId="1D402461">
            <w:pPr>
              <w:pStyle w:val="78"/>
              <w:spacing w:beforeLines="0" w:afterLines="0" w:line="240" w:lineRule="auto"/>
              <w:rPr>
                <w:rFonts w:ascii="Times New Roman"/>
                <w:snapToGrid w:val="0"/>
                <w:color w:val="auto"/>
                <w:spacing w:val="-6"/>
                <w:kern w:val="21"/>
                <w:sz w:val="21"/>
                <w:szCs w:val="21"/>
                <w:highlight w:val="none"/>
                <w:lang w:val="en-US" w:eastAsia="zh-CN"/>
              </w:rPr>
            </w:pPr>
            <w:r>
              <w:rPr>
                <w:rFonts w:ascii="Times New Roman" w:hAnsi="宋体"/>
                <w:snapToGrid w:val="0"/>
                <w:color w:val="auto"/>
                <w:spacing w:val="-6"/>
                <w:kern w:val="21"/>
                <w:sz w:val="21"/>
                <w:szCs w:val="21"/>
                <w:highlight w:val="none"/>
                <w:lang w:val="en-US" w:eastAsia="zh-CN"/>
              </w:rPr>
              <w:t>许可排放量</w:t>
            </w:r>
          </w:p>
          <w:p w14:paraId="4A5CEDA1">
            <w:pPr>
              <w:pStyle w:val="78"/>
              <w:spacing w:beforeLines="0" w:afterLines="0"/>
              <w:rPr>
                <w:rFonts w:ascii="Times New Roman"/>
                <w:snapToGrid w:val="0"/>
                <w:color w:val="auto"/>
                <w:spacing w:val="-6"/>
                <w:kern w:val="21"/>
                <w:sz w:val="21"/>
                <w:szCs w:val="21"/>
                <w:highlight w:val="none"/>
                <w:lang w:val="en-US" w:eastAsia="zh-CN"/>
              </w:rPr>
            </w:pPr>
            <w:r>
              <w:rPr>
                <w:rFonts w:ascii="Times New Roman"/>
                <w:snapToGrid w:val="0"/>
                <w:color w:val="auto"/>
                <w:spacing w:val="-6"/>
                <w:kern w:val="21"/>
                <w:sz w:val="21"/>
                <w:szCs w:val="21"/>
                <w:highlight w:val="none"/>
                <w:lang w:val="en-US" w:eastAsia="zh-CN"/>
              </w:rPr>
              <w:fldChar w:fldCharType="begin"/>
            </w:r>
            <w:r>
              <w:rPr>
                <w:rFonts w:ascii="Times New Roman"/>
                <w:snapToGrid w:val="0"/>
                <w:color w:val="auto"/>
                <w:spacing w:val="-6"/>
                <w:kern w:val="21"/>
                <w:sz w:val="21"/>
                <w:szCs w:val="21"/>
                <w:highlight w:val="none"/>
                <w:lang w:val="en-US" w:eastAsia="zh-CN"/>
              </w:rPr>
              <w:instrText xml:space="preserve"> = 2 \* GB3 \* MERGEFORMAT </w:instrText>
            </w:r>
            <w:r>
              <w:rPr>
                <w:rFonts w:ascii="Times New Roman"/>
                <w:snapToGrid w:val="0"/>
                <w:color w:val="auto"/>
                <w:spacing w:val="-6"/>
                <w:kern w:val="21"/>
                <w:sz w:val="21"/>
                <w:szCs w:val="21"/>
                <w:highlight w:val="none"/>
                <w:lang w:val="en-US" w:eastAsia="zh-CN"/>
              </w:rPr>
              <w:fldChar w:fldCharType="separate"/>
            </w:r>
            <w:r>
              <w:rPr>
                <w:rFonts w:ascii="Times New Roman" w:hAnsi="宋体"/>
                <w:snapToGrid w:val="0"/>
                <w:color w:val="auto"/>
                <w:spacing w:val="-6"/>
                <w:kern w:val="21"/>
                <w:sz w:val="21"/>
                <w:szCs w:val="21"/>
                <w:highlight w:val="none"/>
                <w:lang w:val="en-US" w:eastAsia="zh-CN"/>
              </w:rPr>
              <w:t>②</w:t>
            </w:r>
            <w:r>
              <w:rPr>
                <w:rFonts w:ascii="Times New Roman"/>
                <w:snapToGrid w:val="0"/>
                <w:color w:val="auto"/>
                <w:spacing w:val="-6"/>
                <w:kern w:val="21"/>
                <w:sz w:val="21"/>
                <w:szCs w:val="21"/>
                <w:highlight w:val="none"/>
                <w:lang w:val="en-US" w:eastAsia="zh-CN"/>
              </w:rPr>
              <w:fldChar w:fldCharType="end"/>
            </w:r>
          </w:p>
        </w:tc>
        <w:tc>
          <w:tcPr>
            <w:tcW w:w="1701" w:type="dxa"/>
            <w:noWrap w:val="0"/>
            <w:tcMar>
              <w:left w:w="28" w:type="dxa"/>
              <w:right w:w="28" w:type="dxa"/>
            </w:tcMar>
            <w:vAlign w:val="center"/>
          </w:tcPr>
          <w:p w14:paraId="30D47FE0">
            <w:pPr>
              <w:pStyle w:val="78"/>
              <w:spacing w:beforeLines="0" w:afterLines="0" w:line="240" w:lineRule="auto"/>
              <w:rPr>
                <w:rFonts w:ascii="Times New Roman"/>
                <w:snapToGrid w:val="0"/>
                <w:color w:val="auto"/>
                <w:spacing w:val="-6"/>
                <w:kern w:val="21"/>
                <w:sz w:val="21"/>
                <w:szCs w:val="21"/>
                <w:highlight w:val="none"/>
                <w:lang w:val="en-US" w:eastAsia="zh-CN"/>
              </w:rPr>
            </w:pPr>
            <w:r>
              <w:rPr>
                <w:rFonts w:ascii="Times New Roman" w:hAnsi="宋体"/>
                <w:snapToGrid w:val="0"/>
                <w:color w:val="auto"/>
                <w:spacing w:val="-6"/>
                <w:kern w:val="21"/>
                <w:sz w:val="21"/>
                <w:szCs w:val="21"/>
                <w:highlight w:val="none"/>
                <w:lang w:val="en-US" w:eastAsia="zh-CN"/>
              </w:rPr>
              <w:t>在建工程</w:t>
            </w:r>
          </w:p>
          <w:p w14:paraId="16210C8D">
            <w:pPr>
              <w:pStyle w:val="78"/>
              <w:spacing w:beforeLines="0" w:afterLines="0" w:line="240" w:lineRule="auto"/>
              <w:rPr>
                <w:rFonts w:ascii="Times New Roman"/>
                <w:snapToGrid w:val="0"/>
                <w:color w:val="auto"/>
                <w:spacing w:val="-6"/>
                <w:kern w:val="21"/>
                <w:sz w:val="21"/>
                <w:szCs w:val="21"/>
                <w:highlight w:val="none"/>
                <w:lang w:val="en-US" w:eastAsia="zh-CN"/>
              </w:rPr>
            </w:pPr>
            <w:r>
              <w:rPr>
                <w:rFonts w:ascii="Times New Roman" w:hAnsi="宋体"/>
                <w:snapToGrid w:val="0"/>
                <w:color w:val="auto"/>
                <w:spacing w:val="-6"/>
                <w:kern w:val="21"/>
                <w:sz w:val="21"/>
                <w:szCs w:val="21"/>
                <w:highlight w:val="none"/>
                <w:lang w:val="en-US" w:eastAsia="zh-CN"/>
              </w:rPr>
              <w:t>排放量（固体废物产生量）</w:t>
            </w:r>
            <w:r>
              <w:rPr>
                <w:rFonts w:ascii="Times New Roman"/>
                <w:snapToGrid w:val="0"/>
                <w:color w:val="auto"/>
                <w:spacing w:val="-6"/>
                <w:kern w:val="21"/>
                <w:sz w:val="21"/>
                <w:szCs w:val="21"/>
                <w:highlight w:val="none"/>
                <w:lang w:val="en-US" w:eastAsia="zh-CN"/>
              </w:rPr>
              <w:fldChar w:fldCharType="begin"/>
            </w:r>
            <w:r>
              <w:rPr>
                <w:rFonts w:ascii="Times New Roman"/>
                <w:snapToGrid w:val="0"/>
                <w:color w:val="auto"/>
                <w:spacing w:val="-6"/>
                <w:kern w:val="21"/>
                <w:sz w:val="21"/>
                <w:szCs w:val="21"/>
                <w:highlight w:val="none"/>
                <w:lang w:val="en-US" w:eastAsia="zh-CN"/>
              </w:rPr>
              <w:instrText xml:space="preserve"> = 3 \* GB3 \* MERGEFORMAT </w:instrText>
            </w:r>
            <w:r>
              <w:rPr>
                <w:rFonts w:ascii="Times New Roman"/>
                <w:snapToGrid w:val="0"/>
                <w:color w:val="auto"/>
                <w:spacing w:val="-6"/>
                <w:kern w:val="21"/>
                <w:sz w:val="21"/>
                <w:szCs w:val="21"/>
                <w:highlight w:val="none"/>
                <w:lang w:val="en-US" w:eastAsia="zh-CN"/>
              </w:rPr>
              <w:fldChar w:fldCharType="separate"/>
            </w:r>
            <w:r>
              <w:rPr>
                <w:rFonts w:ascii="Times New Roman" w:hAnsi="宋体"/>
                <w:color w:val="auto"/>
                <w:kern w:val="2"/>
                <w:sz w:val="21"/>
                <w:szCs w:val="21"/>
                <w:highlight w:val="none"/>
                <w:lang w:val="en-US" w:eastAsia="zh-CN"/>
              </w:rPr>
              <w:t>③</w:t>
            </w:r>
            <w:r>
              <w:rPr>
                <w:rFonts w:ascii="Times New Roman"/>
                <w:snapToGrid w:val="0"/>
                <w:color w:val="auto"/>
                <w:spacing w:val="-6"/>
                <w:kern w:val="21"/>
                <w:sz w:val="21"/>
                <w:szCs w:val="21"/>
                <w:highlight w:val="none"/>
                <w:lang w:val="en-US" w:eastAsia="zh-CN"/>
              </w:rPr>
              <w:fldChar w:fldCharType="end"/>
            </w:r>
          </w:p>
        </w:tc>
        <w:tc>
          <w:tcPr>
            <w:tcW w:w="1559" w:type="dxa"/>
            <w:noWrap w:val="0"/>
            <w:tcMar>
              <w:left w:w="28" w:type="dxa"/>
              <w:right w:w="28" w:type="dxa"/>
            </w:tcMar>
            <w:vAlign w:val="center"/>
          </w:tcPr>
          <w:p w14:paraId="4324CEFB">
            <w:pPr>
              <w:pStyle w:val="78"/>
              <w:spacing w:beforeLines="0" w:afterLines="0" w:line="240" w:lineRule="auto"/>
              <w:rPr>
                <w:rFonts w:ascii="Times New Roman"/>
                <w:snapToGrid w:val="0"/>
                <w:color w:val="auto"/>
                <w:spacing w:val="-6"/>
                <w:kern w:val="21"/>
                <w:sz w:val="21"/>
                <w:szCs w:val="21"/>
                <w:highlight w:val="none"/>
                <w:lang w:val="en-US" w:eastAsia="zh-CN"/>
              </w:rPr>
            </w:pPr>
            <w:r>
              <w:rPr>
                <w:rFonts w:ascii="Times New Roman" w:hAnsi="宋体"/>
                <w:snapToGrid w:val="0"/>
                <w:color w:val="auto"/>
                <w:spacing w:val="-6"/>
                <w:kern w:val="21"/>
                <w:sz w:val="21"/>
                <w:szCs w:val="21"/>
                <w:highlight w:val="none"/>
                <w:lang w:val="en-US" w:eastAsia="zh-CN"/>
              </w:rPr>
              <w:t>本项目</w:t>
            </w:r>
          </w:p>
          <w:p w14:paraId="136C9E16">
            <w:pPr>
              <w:pStyle w:val="78"/>
              <w:spacing w:beforeLines="0" w:afterLines="0" w:line="240" w:lineRule="auto"/>
              <w:rPr>
                <w:rFonts w:ascii="Times New Roman"/>
                <w:snapToGrid w:val="0"/>
                <w:color w:val="auto"/>
                <w:spacing w:val="-6"/>
                <w:kern w:val="21"/>
                <w:sz w:val="21"/>
                <w:szCs w:val="21"/>
                <w:highlight w:val="none"/>
                <w:lang w:val="en-US" w:eastAsia="zh-CN"/>
              </w:rPr>
            </w:pPr>
            <w:r>
              <w:rPr>
                <w:rFonts w:ascii="Times New Roman" w:hAnsi="宋体"/>
                <w:snapToGrid w:val="0"/>
                <w:color w:val="auto"/>
                <w:spacing w:val="-6"/>
                <w:kern w:val="21"/>
                <w:sz w:val="21"/>
                <w:szCs w:val="21"/>
                <w:highlight w:val="none"/>
                <w:lang w:val="en-US" w:eastAsia="zh-CN"/>
              </w:rPr>
              <w:t>排放量（固体废物产生量）</w:t>
            </w:r>
            <w:r>
              <w:rPr>
                <w:rFonts w:ascii="Times New Roman"/>
                <w:snapToGrid w:val="0"/>
                <w:color w:val="auto"/>
                <w:spacing w:val="-6"/>
                <w:kern w:val="21"/>
                <w:sz w:val="21"/>
                <w:szCs w:val="21"/>
                <w:highlight w:val="none"/>
                <w:lang w:val="en-US" w:eastAsia="zh-CN"/>
              </w:rPr>
              <w:fldChar w:fldCharType="begin"/>
            </w:r>
            <w:r>
              <w:rPr>
                <w:rFonts w:ascii="Times New Roman"/>
                <w:snapToGrid w:val="0"/>
                <w:color w:val="auto"/>
                <w:spacing w:val="-6"/>
                <w:kern w:val="21"/>
                <w:sz w:val="21"/>
                <w:szCs w:val="21"/>
                <w:highlight w:val="none"/>
                <w:lang w:val="en-US" w:eastAsia="zh-CN"/>
              </w:rPr>
              <w:instrText xml:space="preserve"> = 4 \* GB3 \* MERGEFORMAT </w:instrText>
            </w:r>
            <w:r>
              <w:rPr>
                <w:rFonts w:ascii="Times New Roman"/>
                <w:snapToGrid w:val="0"/>
                <w:color w:val="auto"/>
                <w:spacing w:val="-6"/>
                <w:kern w:val="21"/>
                <w:sz w:val="21"/>
                <w:szCs w:val="21"/>
                <w:highlight w:val="none"/>
                <w:lang w:val="en-US" w:eastAsia="zh-CN"/>
              </w:rPr>
              <w:fldChar w:fldCharType="separate"/>
            </w:r>
            <w:r>
              <w:rPr>
                <w:rFonts w:ascii="Times New Roman" w:hAnsi="宋体"/>
                <w:color w:val="auto"/>
                <w:kern w:val="2"/>
                <w:sz w:val="21"/>
                <w:szCs w:val="21"/>
                <w:highlight w:val="none"/>
                <w:lang w:val="en-US" w:eastAsia="zh-CN"/>
              </w:rPr>
              <w:t>④</w:t>
            </w:r>
            <w:r>
              <w:rPr>
                <w:rFonts w:ascii="Times New Roman"/>
                <w:snapToGrid w:val="0"/>
                <w:color w:val="auto"/>
                <w:spacing w:val="-6"/>
                <w:kern w:val="21"/>
                <w:sz w:val="21"/>
                <w:szCs w:val="21"/>
                <w:highlight w:val="none"/>
                <w:lang w:val="en-US" w:eastAsia="zh-CN"/>
              </w:rPr>
              <w:fldChar w:fldCharType="end"/>
            </w:r>
          </w:p>
        </w:tc>
        <w:tc>
          <w:tcPr>
            <w:tcW w:w="1761" w:type="dxa"/>
            <w:noWrap w:val="0"/>
            <w:tcMar>
              <w:left w:w="28" w:type="dxa"/>
              <w:right w:w="28" w:type="dxa"/>
            </w:tcMar>
            <w:vAlign w:val="center"/>
          </w:tcPr>
          <w:p w14:paraId="14FB6FC7">
            <w:pPr>
              <w:pStyle w:val="78"/>
              <w:spacing w:beforeLines="0" w:afterLines="0" w:line="240" w:lineRule="auto"/>
              <w:rPr>
                <w:rFonts w:ascii="Times New Roman"/>
                <w:snapToGrid w:val="0"/>
                <w:color w:val="auto"/>
                <w:spacing w:val="-16"/>
                <w:kern w:val="21"/>
                <w:sz w:val="21"/>
                <w:szCs w:val="21"/>
                <w:highlight w:val="none"/>
                <w:lang w:val="en-US" w:eastAsia="zh-CN"/>
              </w:rPr>
            </w:pPr>
            <w:r>
              <w:rPr>
                <w:rFonts w:ascii="Times New Roman" w:hAnsi="宋体"/>
                <w:snapToGrid w:val="0"/>
                <w:color w:val="auto"/>
                <w:spacing w:val="-16"/>
                <w:kern w:val="21"/>
                <w:sz w:val="21"/>
                <w:szCs w:val="21"/>
                <w:highlight w:val="none"/>
                <w:lang w:val="en-US" w:eastAsia="zh-CN"/>
              </w:rPr>
              <w:t>以新带老削减量</w:t>
            </w:r>
          </w:p>
          <w:p w14:paraId="10791CEE">
            <w:pPr>
              <w:pStyle w:val="78"/>
              <w:spacing w:beforeLines="0" w:afterLines="0" w:line="240" w:lineRule="auto"/>
              <w:rPr>
                <w:rFonts w:ascii="Times New Roman"/>
                <w:snapToGrid w:val="0"/>
                <w:color w:val="auto"/>
                <w:spacing w:val="-16"/>
                <w:kern w:val="21"/>
                <w:sz w:val="21"/>
                <w:szCs w:val="21"/>
                <w:highlight w:val="none"/>
                <w:lang w:val="en-US" w:eastAsia="zh-CN"/>
              </w:rPr>
            </w:pPr>
            <w:r>
              <w:rPr>
                <w:rFonts w:ascii="Times New Roman" w:hAnsi="宋体"/>
                <w:snapToGrid w:val="0"/>
                <w:color w:val="auto"/>
                <w:spacing w:val="-16"/>
                <w:kern w:val="21"/>
                <w:sz w:val="21"/>
                <w:szCs w:val="21"/>
                <w:highlight w:val="none"/>
                <w:lang w:val="en-US" w:eastAsia="zh-CN"/>
              </w:rPr>
              <w:t>（新建项目不填）</w:t>
            </w:r>
            <w:r>
              <w:rPr>
                <w:rFonts w:ascii="Times New Roman"/>
                <w:snapToGrid w:val="0"/>
                <w:color w:val="auto"/>
                <w:spacing w:val="-16"/>
                <w:kern w:val="21"/>
                <w:sz w:val="21"/>
                <w:szCs w:val="21"/>
                <w:highlight w:val="none"/>
                <w:lang w:val="en-US" w:eastAsia="zh-CN"/>
              </w:rPr>
              <w:fldChar w:fldCharType="begin"/>
            </w:r>
            <w:r>
              <w:rPr>
                <w:rFonts w:ascii="Times New Roman"/>
                <w:snapToGrid w:val="0"/>
                <w:color w:val="auto"/>
                <w:spacing w:val="-16"/>
                <w:kern w:val="21"/>
                <w:sz w:val="21"/>
                <w:szCs w:val="21"/>
                <w:highlight w:val="none"/>
                <w:lang w:val="en-US" w:eastAsia="zh-CN"/>
              </w:rPr>
              <w:instrText xml:space="preserve"> = 5 \* GB3 \* MERGEFORMAT </w:instrText>
            </w:r>
            <w:r>
              <w:rPr>
                <w:rFonts w:ascii="Times New Roman"/>
                <w:snapToGrid w:val="0"/>
                <w:color w:val="auto"/>
                <w:spacing w:val="-16"/>
                <w:kern w:val="21"/>
                <w:sz w:val="21"/>
                <w:szCs w:val="21"/>
                <w:highlight w:val="none"/>
                <w:lang w:val="en-US" w:eastAsia="zh-CN"/>
              </w:rPr>
              <w:fldChar w:fldCharType="separate"/>
            </w:r>
            <w:r>
              <w:rPr>
                <w:rFonts w:ascii="Times New Roman" w:hAnsi="宋体"/>
                <w:color w:val="auto"/>
                <w:kern w:val="2"/>
                <w:sz w:val="21"/>
                <w:szCs w:val="21"/>
                <w:highlight w:val="none"/>
                <w:lang w:val="en-US" w:eastAsia="zh-CN"/>
              </w:rPr>
              <w:t>⑤</w:t>
            </w:r>
            <w:r>
              <w:rPr>
                <w:rFonts w:ascii="Times New Roman"/>
                <w:snapToGrid w:val="0"/>
                <w:color w:val="auto"/>
                <w:spacing w:val="-16"/>
                <w:kern w:val="21"/>
                <w:sz w:val="21"/>
                <w:szCs w:val="21"/>
                <w:highlight w:val="none"/>
                <w:lang w:val="en-US" w:eastAsia="zh-CN"/>
              </w:rPr>
              <w:fldChar w:fldCharType="end"/>
            </w:r>
          </w:p>
        </w:tc>
        <w:tc>
          <w:tcPr>
            <w:tcW w:w="1641" w:type="dxa"/>
            <w:noWrap w:val="0"/>
            <w:tcMar>
              <w:left w:w="28" w:type="dxa"/>
              <w:right w:w="28" w:type="dxa"/>
            </w:tcMar>
            <w:vAlign w:val="center"/>
          </w:tcPr>
          <w:p w14:paraId="139A2341">
            <w:pPr>
              <w:pStyle w:val="78"/>
              <w:spacing w:beforeLines="0" w:afterLines="0" w:line="240" w:lineRule="auto"/>
              <w:rPr>
                <w:rFonts w:ascii="Times New Roman"/>
                <w:snapToGrid w:val="0"/>
                <w:color w:val="auto"/>
                <w:spacing w:val="-16"/>
                <w:kern w:val="21"/>
                <w:sz w:val="21"/>
                <w:szCs w:val="21"/>
                <w:highlight w:val="none"/>
                <w:lang w:val="en-US" w:eastAsia="zh-CN"/>
              </w:rPr>
            </w:pPr>
            <w:r>
              <w:rPr>
                <w:rFonts w:ascii="Times New Roman" w:hAnsi="宋体"/>
                <w:snapToGrid w:val="0"/>
                <w:color w:val="auto"/>
                <w:spacing w:val="-16"/>
                <w:kern w:val="21"/>
                <w:sz w:val="21"/>
                <w:szCs w:val="21"/>
                <w:highlight w:val="none"/>
                <w:lang w:val="en-US" w:eastAsia="zh-CN"/>
              </w:rPr>
              <w:t>本项目建成后</w:t>
            </w:r>
          </w:p>
          <w:p w14:paraId="33F9DF78">
            <w:pPr>
              <w:pStyle w:val="78"/>
              <w:spacing w:beforeLines="0" w:afterLines="0" w:line="240" w:lineRule="auto"/>
              <w:rPr>
                <w:rFonts w:ascii="Times New Roman"/>
                <w:snapToGrid w:val="0"/>
                <w:color w:val="auto"/>
                <w:spacing w:val="-16"/>
                <w:kern w:val="21"/>
                <w:sz w:val="21"/>
                <w:szCs w:val="21"/>
                <w:highlight w:val="none"/>
                <w:lang w:val="en-US" w:eastAsia="zh-CN"/>
              </w:rPr>
            </w:pPr>
            <w:r>
              <w:rPr>
                <w:rFonts w:ascii="Times New Roman" w:hAnsi="宋体"/>
                <w:snapToGrid w:val="0"/>
                <w:color w:val="auto"/>
                <w:spacing w:val="-16"/>
                <w:kern w:val="21"/>
                <w:sz w:val="21"/>
                <w:szCs w:val="21"/>
                <w:highlight w:val="none"/>
                <w:lang w:val="en-US" w:eastAsia="zh-CN"/>
              </w:rPr>
              <w:t>全厂排放量（固体废物产生量）</w:t>
            </w:r>
            <w:r>
              <w:rPr>
                <w:rFonts w:ascii="Times New Roman"/>
                <w:snapToGrid w:val="0"/>
                <w:color w:val="auto"/>
                <w:spacing w:val="-16"/>
                <w:kern w:val="21"/>
                <w:sz w:val="21"/>
                <w:szCs w:val="21"/>
                <w:highlight w:val="none"/>
                <w:lang w:val="en-US" w:eastAsia="zh-CN"/>
              </w:rPr>
              <w:fldChar w:fldCharType="begin"/>
            </w:r>
            <w:r>
              <w:rPr>
                <w:rFonts w:ascii="Times New Roman"/>
                <w:snapToGrid w:val="0"/>
                <w:color w:val="auto"/>
                <w:spacing w:val="-16"/>
                <w:kern w:val="21"/>
                <w:sz w:val="21"/>
                <w:szCs w:val="21"/>
                <w:highlight w:val="none"/>
                <w:lang w:val="en-US" w:eastAsia="zh-CN"/>
              </w:rPr>
              <w:instrText xml:space="preserve"> = 6 \* GB3 \* MERGEFORMAT </w:instrText>
            </w:r>
            <w:r>
              <w:rPr>
                <w:rFonts w:ascii="Times New Roman"/>
                <w:snapToGrid w:val="0"/>
                <w:color w:val="auto"/>
                <w:spacing w:val="-16"/>
                <w:kern w:val="21"/>
                <w:sz w:val="21"/>
                <w:szCs w:val="21"/>
                <w:highlight w:val="none"/>
                <w:lang w:val="en-US" w:eastAsia="zh-CN"/>
              </w:rPr>
              <w:fldChar w:fldCharType="separate"/>
            </w:r>
            <w:r>
              <w:rPr>
                <w:rFonts w:ascii="Times New Roman" w:hAnsi="宋体"/>
                <w:color w:val="auto"/>
                <w:kern w:val="2"/>
                <w:sz w:val="21"/>
                <w:szCs w:val="21"/>
                <w:highlight w:val="none"/>
                <w:lang w:val="en-US" w:eastAsia="zh-CN"/>
              </w:rPr>
              <w:t>⑥</w:t>
            </w:r>
            <w:r>
              <w:rPr>
                <w:rFonts w:ascii="Times New Roman"/>
                <w:snapToGrid w:val="0"/>
                <w:color w:val="auto"/>
                <w:spacing w:val="-16"/>
                <w:kern w:val="21"/>
                <w:sz w:val="21"/>
                <w:szCs w:val="21"/>
                <w:highlight w:val="none"/>
                <w:lang w:val="en-US" w:eastAsia="zh-CN"/>
              </w:rPr>
              <w:fldChar w:fldCharType="end"/>
            </w:r>
          </w:p>
        </w:tc>
        <w:tc>
          <w:tcPr>
            <w:tcW w:w="1966" w:type="dxa"/>
            <w:noWrap w:val="0"/>
            <w:tcMar>
              <w:left w:w="28" w:type="dxa"/>
              <w:right w:w="28" w:type="dxa"/>
            </w:tcMar>
            <w:vAlign w:val="center"/>
          </w:tcPr>
          <w:p w14:paraId="687F4133">
            <w:pPr>
              <w:pStyle w:val="78"/>
              <w:spacing w:beforeLines="0" w:afterLines="0" w:line="240" w:lineRule="auto"/>
              <w:rPr>
                <w:rFonts w:ascii="Times New Roman"/>
                <w:snapToGrid w:val="0"/>
                <w:color w:val="auto"/>
                <w:spacing w:val="-6"/>
                <w:kern w:val="21"/>
                <w:sz w:val="21"/>
                <w:szCs w:val="21"/>
                <w:highlight w:val="none"/>
                <w:lang w:val="en-US" w:eastAsia="zh-CN"/>
              </w:rPr>
            </w:pPr>
            <w:r>
              <w:rPr>
                <w:rFonts w:ascii="Times New Roman" w:hAnsi="宋体"/>
                <w:snapToGrid w:val="0"/>
                <w:color w:val="auto"/>
                <w:spacing w:val="-6"/>
                <w:kern w:val="21"/>
                <w:sz w:val="21"/>
                <w:szCs w:val="21"/>
                <w:highlight w:val="none"/>
                <w:lang w:val="en-US" w:eastAsia="zh-CN"/>
              </w:rPr>
              <w:t>变化量</w:t>
            </w:r>
          </w:p>
          <w:p w14:paraId="2430D784">
            <w:pPr>
              <w:pStyle w:val="78"/>
              <w:spacing w:beforeLines="0" w:afterLines="0" w:line="240" w:lineRule="auto"/>
              <w:rPr>
                <w:rFonts w:ascii="Times New Roman"/>
                <w:snapToGrid w:val="0"/>
                <w:color w:val="auto"/>
                <w:spacing w:val="-6"/>
                <w:kern w:val="21"/>
                <w:sz w:val="21"/>
                <w:szCs w:val="21"/>
                <w:highlight w:val="none"/>
                <w:lang w:val="en-US" w:eastAsia="zh-CN"/>
              </w:rPr>
            </w:pPr>
            <w:r>
              <w:rPr>
                <w:rFonts w:ascii="Times New Roman"/>
                <w:snapToGrid w:val="0"/>
                <w:color w:val="auto"/>
                <w:spacing w:val="-6"/>
                <w:kern w:val="21"/>
                <w:sz w:val="21"/>
                <w:szCs w:val="21"/>
                <w:highlight w:val="none"/>
                <w:lang w:val="en-US" w:eastAsia="zh-CN"/>
              </w:rPr>
              <w:fldChar w:fldCharType="begin"/>
            </w:r>
            <w:r>
              <w:rPr>
                <w:rFonts w:ascii="Times New Roman"/>
                <w:snapToGrid w:val="0"/>
                <w:color w:val="auto"/>
                <w:spacing w:val="-6"/>
                <w:kern w:val="21"/>
                <w:sz w:val="21"/>
                <w:szCs w:val="21"/>
                <w:highlight w:val="none"/>
                <w:lang w:val="en-US" w:eastAsia="zh-CN"/>
              </w:rPr>
              <w:instrText xml:space="preserve"> = 7 \* GB3 \* MERGEFORMAT </w:instrText>
            </w:r>
            <w:r>
              <w:rPr>
                <w:rFonts w:ascii="Times New Roman"/>
                <w:snapToGrid w:val="0"/>
                <w:color w:val="auto"/>
                <w:spacing w:val="-6"/>
                <w:kern w:val="21"/>
                <w:sz w:val="21"/>
                <w:szCs w:val="21"/>
                <w:highlight w:val="none"/>
                <w:lang w:val="en-US" w:eastAsia="zh-CN"/>
              </w:rPr>
              <w:fldChar w:fldCharType="separate"/>
            </w:r>
            <w:r>
              <w:rPr>
                <w:rFonts w:ascii="Times New Roman" w:hAnsi="宋体"/>
                <w:color w:val="auto"/>
                <w:kern w:val="2"/>
                <w:sz w:val="21"/>
                <w:szCs w:val="21"/>
                <w:highlight w:val="none"/>
                <w:lang w:val="en-US" w:eastAsia="zh-CN"/>
              </w:rPr>
              <w:t>⑦</w:t>
            </w:r>
            <w:r>
              <w:rPr>
                <w:rFonts w:ascii="Times New Roman"/>
                <w:snapToGrid w:val="0"/>
                <w:color w:val="auto"/>
                <w:spacing w:val="-6"/>
                <w:kern w:val="21"/>
                <w:sz w:val="21"/>
                <w:szCs w:val="21"/>
                <w:highlight w:val="none"/>
                <w:lang w:val="en-US" w:eastAsia="zh-CN"/>
              </w:rPr>
              <w:fldChar w:fldCharType="end"/>
            </w:r>
          </w:p>
        </w:tc>
      </w:tr>
      <w:tr w14:paraId="0EF6AF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vMerge w:val="restart"/>
            <w:noWrap w:val="0"/>
            <w:vAlign w:val="center"/>
          </w:tcPr>
          <w:p w14:paraId="3D032EA2">
            <w:pPr>
              <w:pStyle w:val="78"/>
              <w:spacing w:beforeLines="0" w:afterLines="0" w:line="240" w:lineRule="auto"/>
              <w:rPr>
                <w:rFonts w:ascii="Times New Roman"/>
                <w:snapToGrid w:val="0"/>
                <w:color w:val="auto"/>
                <w:kern w:val="21"/>
                <w:sz w:val="21"/>
                <w:szCs w:val="21"/>
                <w:highlight w:val="none"/>
                <w:lang w:val="en-US" w:eastAsia="zh-CN"/>
              </w:rPr>
            </w:pPr>
            <w:r>
              <w:rPr>
                <w:rFonts w:ascii="Times New Roman" w:hAnsi="宋体"/>
                <w:snapToGrid w:val="0"/>
                <w:color w:val="auto"/>
                <w:kern w:val="21"/>
                <w:sz w:val="21"/>
                <w:szCs w:val="21"/>
                <w:highlight w:val="none"/>
                <w:lang w:val="en-US" w:eastAsia="zh-CN"/>
              </w:rPr>
              <w:t>废气</w:t>
            </w:r>
          </w:p>
        </w:tc>
        <w:tc>
          <w:tcPr>
            <w:tcW w:w="1417" w:type="dxa"/>
            <w:noWrap w:val="0"/>
            <w:vAlign w:val="center"/>
          </w:tcPr>
          <w:p w14:paraId="7B2276B8">
            <w:pPr>
              <w:adjustRightInd w:val="0"/>
              <w:snapToGrid w:val="0"/>
              <w:jc w:val="center"/>
              <w:rPr>
                <w:color w:val="auto"/>
                <w:sz w:val="21"/>
                <w:szCs w:val="21"/>
                <w:highlight w:val="none"/>
              </w:rPr>
            </w:pPr>
            <w:r>
              <w:rPr>
                <w:color w:val="auto"/>
                <w:sz w:val="21"/>
                <w:szCs w:val="21"/>
                <w:highlight w:val="none"/>
              </w:rPr>
              <w:t>SO</w:t>
            </w:r>
            <w:r>
              <w:rPr>
                <w:color w:val="auto"/>
                <w:sz w:val="21"/>
                <w:szCs w:val="21"/>
                <w:highlight w:val="none"/>
                <w:vertAlign w:val="subscript"/>
              </w:rPr>
              <w:t>2</w:t>
            </w:r>
          </w:p>
        </w:tc>
        <w:tc>
          <w:tcPr>
            <w:tcW w:w="1701" w:type="dxa"/>
            <w:noWrap w:val="0"/>
            <w:vAlign w:val="center"/>
          </w:tcPr>
          <w:p w14:paraId="09B32CFE">
            <w:pPr>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eastAsia"/>
                <w:color w:val="auto"/>
                <w:sz w:val="21"/>
                <w:szCs w:val="21"/>
                <w:highlight w:val="none"/>
                <w:lang w:val="en-US" w:eastAsia="zh-CN"/>
              </w:rPr>
              <w:t>/</w:t>
            </w:r>
          </w:p>
        </w:tc>
        <w:tc>
          <w:tcPr>
            <w:tcW w:w="1276" w:type="dxa"/>
            <w:noWrap w:val="0"/>
            <w:vAlign w:val="center"/>
          </w:tcPr>
          <w:p w14:paraId="321F5D11">
            <w:pPr>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olor w:val="auto"/>
                <w:sz w:val="21"/>
                <w:szCs w:val="21"/>
                <w:highlight w:val="none"/>
                <w:lang w:val="en-US" w:eastAsia="zh-CN"/>
              </w:rPr>
              <w:t>/</w:t>
            </w:r>
          </w:p>
        </w:tc>
        <w:tc>
          <w:tcPr>
            <w:tcW w:w="1701" w:type="dxa"/>
            <w:noWrap w:val="0"/>
            <w:vAlign w:val="center"/>
          </w:tcPr>
          <w:p w14:paraId="24295815">
            <w:pPr>
              <w:spacing w:beforeLines="0" w:afterLines="0" w:line="240" w:lineRule="auto"/>
              <w:jc w:val="center"/>
              <w:rPr>
                <w:rFonts w:ascii="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559" w:type="dxa"/>
            <w:noWrap w:val="0"/>
            <w:vAlign w:val="center"/>
          </w:tcPr>
          <w:p w14:paraId="1D09F6B6">
            <w:pPr>
              <w:pStyle w:val="78"/>
              <w:spacing w:beforeLines="0" w:afterLines="0" w:line="240" w:lineRule="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Times New Roman"/>
                <w:b w:val="0"/>
                <w:bCs w:val="0"/>
                <w:color w:val="auto"/>
                <w:sz w:val="21"/>
                <w:szCs w:val="21"/>
                <w:highlight w:val="none"/>
                <w:lang w:val="en-US" w:eastAsia="zh-CN"/>
              </w:rPr>
              <w:t>0.024</w:t>
            </w:r>
            <w:r>
              <w:rPr>
                <w:rFonts w:hint="eastAsia" w:ascii="Times New Roman" w:hAnsi="Times New Roman" w:eastAsia="宋体" w:cs="Times New Roman"/>
                <w:color w:val="auto"/>
                <w:kern w:val="2"/>
                <w:sz w:val="21"/>
                <w:szCs w:val="21"/>
                <w:highlight w:val="none"/>
                <w:lang w:val="en-US" w:eastAsia="zh-CN" w:bidi="ar-SA"/>
              </w:rPr>
              <w:t>t/a</w:t>
            </w:r>
          </w:p>
        </w:tc>
        <w:tc>
          <w:tcPr>
            <w:tcW w:w="1761" w:type="dxa"/>
            <w:noWrap w:val="0"/>
            <w:vAlign w:val="center"/>
          </w:tcPr>
          <w:p w14:paraId="2026BA97">
            <w:pPr>
              <w:keepNext w:val="0"/>
              <w:keepLines w:val="0"/>
              <w:widowControl/>
              <w:suppressLineNumbers w:val="0"/>
              <w:spacing w:before="0" w:beforeLines="10" w:beforeAutospacing="0" w:after="0" w:afterAutospacing="0" w:line="240" w:lineRule="auto"/>
              <w:ind w:left="0" w:leftChars="0" w:right="0" w:rightChars="0"/>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w:t>
            </w:r>
          </w:p>
        </w:tc>
        <w:tc>
          <w:tcPr>
            <w:tcW w:w="1641" w:type="dxa"/>
            <w:noWrap w:val="0"/>
            <w:vAlign w:val="center"/>
          </w:tcPr>
          <w:p w14:paraId="437CA5D0">
            <w:pPr>
              <w:spacing w:beforeLines="0" w:afterLines="0"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c>
          <w:tcPr>
            <w:tcW w:w="1966" w:type="dxa"/>
            <w:noWrap w:val="0"/>
            <w:vAlign w:val="center"/>
          </w:tcPr>
          <w:p w14:paraId="54127BCB">
            <w:pPr>
              <w:keepNext w:val="0"/>
              <w:keepLines w:val="0"/>
              <w:widowControl/>
              <w:suppressLineNumbers w:val="0"/>
              <w:spacing w:before="0" w:beforeLines="1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r>
      <w:tr w14:paraId="665FD2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vMerge w:val="continue"/>
            <w:noWrap w:val="0"/>
            <w:vAlign w:val="center"/>
          </w:tcPr>
          <w:p w14:paraId="58211F88">
            <w:pPr>
              <w:pStyle w:val="78"/>
              <w:spacing w:beforeLines="0" w:afterLines="0" w:line="240" w:lineRule="auto"/>
              <w:rPr>
                <w:rFonts w:ascii="Times New Roman" w:hAnsi="宋体"/>
                <w:snapToGrid w:val="0"/>
                <w:color w:val="auto"/>
                <w:kern w:val="21"/>
                <w:sz w:val="21"/>
                <w:szCs w:val="21"/>
                <w:highlight w:val="none"/>
                <w:lang w:val="en-US" w:eastAsia="zh-CN"/>
              </w:rPr>
            </w:pPr>
          </w:p>
        </w:tc>
        <w:tc>
          <w:tcPr>
            <w:tcW w:w="1417" w:type="dxa"/>
            <w:noWrap w:val="0"/>
            <w:vAlign w:val="center"/>
          </w:tcPr>
          <w:p w14:paraId="661A4E94">
            <w:pPr>
              <w:adjustRightInd w:val="0"/>
              <w:snapToGrid w:val="0"/>
              <w:jc w:val="center"/>
              <w:rPr>
                <w:color w:val="auto"/>
                <w:sz w:val="21"/>
                <w:szCs w:val="21"/>
                <w:highlight w:val="none"/>
              </w:rPr>
            </w:pPr>
            <w:r>
              <w:rPr>
                <w:color w:val="auto"/>
                <w:sz w:val="21"/>
                <w:szCs w:val="21"/>
                <w:highlight w:val="none"/>
              </w:rPr>
              <w:t>NO</w:t>
            </w:r>
            <w:r>
              <w:rPr>
                <w:color w:val="auto"/>
                <w:sz w:val="21"/>
                <w:szCs w:val="21"/>
                <w:highlight w:val="none"/>
                <w:vertAlign w:val="subscript"/>
              </w:rPr>
              <w:t>x</w:t>
            </w:r>
          </w:p>
        </w:tc>
        <w:tc>
          <w:tcPr>
            <w:tcW w:w="1701" w:type="dxa"/>
            <w:noWrap w:val="0"/>
            <w:vAlign w:val="center"/>
          </w:tcPr>
          <w:p w14:paraId="665C6CE0">
            <w:pPr>
              <w:jc w:val="center"/>
              <w:rPr>
                <w:rFonts w:hint="default" w:ascii="Times New Roman" w:hAnsi="Times New Roman" w:cs="Times New Roman"/>
                <w:snapToGrid w:val="0"/>
                <w:color w:val="auto"/>
                <w:kern w:val="21"/>
                <w:sz w:val="21"/>
                <w:szCs w:val="21"/>
                <w:highlight w:val="none"/>
                <w:lang w:val="en-US" w:eastAsia="zh-CN" w:bidi="ar-SA"/>
              </w:rPr>
            </w:pPr>
            <w:r>
              <w:rPr>
                <w:rFonts w:hint="eastAsia"/>
                <w:color w:val="auto"/>
                <w:sz w:val="21"/>
                <w:szCs w:val="21"/>
                <w:highlight w:val="none"/>
                <w:lang w:val="en-US" w:eastAsia="zh-CN"/>
              </w:rPr>
              <w:t>/</w:t>
            </w:r>
          </w:p>
        </w:tc>
        <w:tc>
          <w:tcPr>
            <w:tcW w:w="1276" w:type="dxa"/>
            <w:noWrap w:val="0"/>
            <w:vAlign w:val="center"/>
          </w:tcPr>
          <w:p w14:paraId="43761997">
            <w:pPr>
              <w:jc w:val="center"/>
              <w:rPr>
                <w:rFonts w:hint="default" w:ascii="Times New Roman" w:hAnsi="Times New Roman" w:cs="Times New Roman"/>
                <w:snapToGrid w:val="0"/>
                <w:color w:val="auto"/>
                <w:kern w:val="21"/>
                <w:sz w:val="21"/>
                <w:szCs w:val="21"/>
                <w:highlight w:val="none"/>
                <w:lang w:val="en-US" w:eastAsia="zh-CN" w:bidi="ar-SA"/>
              </w:rPr>
            </w:pPr>
            <w:r>
              <w:rPr>
                <w:rFonts w:hint="eastAsia"/>
                <w:color w:val="auto"/>
                <w:sz w:val="21"/>
                <w:szCs w:val="21"/>
                <w:highlight w:val="none"/>
                <w:lang w:val="en-US" w:eastAsia="zh-CN"/>
              </w:rPr>
              <w:t>/</w:t>
            </w:r>
          </w:p>
        </w:tc>
        <w:tc>
          <w:tcPr>
            <w:tcW w:w="1701" w:type="dxa"/>
            <w:noWrap w:val="0"/>
            <w:vAlign w:val="center"/>
          </w:tcPr>
          <w:p w14:paraId="109902C3">
            <w:pPr>
              <w:spacing w:beforeLines="0" w:afterLines="0" w:line="240" w:lineRule="auto"/>
              <w:jc w:val="center"/>
              <w:rPr>
                <w:rFonts w:ascii="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559" w:type="dxa"/>
            <w:noWrap w:val="0"/>
            <w:vAlign w:val="center"/>
          </w:tcPr>
          <w:p w14:paraId="16F3A0F6">
            <w:pPr>
              <w:pStyle w:val="78"/>
              <w:spacing w:beforeLines="0" w:afterLines="0" w:line="240" w:lineRule="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2"/>
                <w:sz w:val="21"/>
                <w:szCs w:val="21"/>
                <w:highlight w:val="none"/>
                <w:lang w:val="en-US" w:eastAsia="zh-CN" w:bidi="ar-SA"/>
              </w:rPr>
              <w:t>0.221</w:t>
            </w:r>
            <w:r>
              <w:rPr>
                <w:rFonts w:hint="eastAsia" w:ascii="Times New Roman" w:hAnsi="Times New Roman" w:eastAsia="宋体" w:cs="Times New Roman"/>
                <w:color w:val="auto"/>
                <w:kern w:val="2"/>
                <w:sz w:val="21"/>
                <w:szCs w:val="21"/>
                <w:highlight w:val="none"/>
                <w:lang w:val="en-US" w:eastAsia="zh-CN" w:bidi="ar-SA"/>
              </w:rPr>
              <w:t>t/a</w:t>
            </w:r>
          </w:p>
        </w:tc>
        <w:tc>
          <w:tcPr>
            <w:tcW w:w="1761" w:type="dxa"/>
            <w:noWrap w:val="0"/>
            <w:vAlign w:val="center"/>
          </w:tcPr>
          <w:p w14:paraId="57F9E380">
            <w:pPr>
              <w:keepNext w:val="0"/>
              <w:keepLines w:val="0"/>
              <w:widowControl/>
              <w:suppressLineNumbers w:val="0"/>
              <w:spacing w:before="0" w:beforeLines="10" w:beforeAutospacing="0" w:after="0" w:afterAutospacing="0" w:line="240" w:lineRule="auto"/>
              <w:ind w:left="0" w:leftChars="0" w:right="0" w:rightChars="0"/>
              <w:jc w:val="center"/>
              <w:rPr>
                <w:rFonts w:hint="eastAsia" w:ascii="Times New Roman" w:hAnsi="Times New Roman"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w:t>
            </w:r>
          </w:p>
        </w:tc>
        <w:tc>
          <w:tcPr>
            <w:tcW w:w="1641" w:type="dxa"/>
            <w:noWrap w:val="0"/>
            <w:vAlign w:val="center"/>
          </w:tcPr>
          <w:p w14:paraId="257E753E">
            <w:pPr>
              <w:spacing w:beforeLines="0" w:afterLines="0"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c>
          <w:tcPr>
            <w:tcW w:w="1966" w:type="dxa"/>
            <w:noWrap w:val="0"/>
            <w:vAlign w:val="center"/>
          </w:tcPr>
          <w:p w14:paraId="1C615131">
            <w:pPr>
              <w:keepNext w:val="0"/>
              <w:keepLines w:val="0"/>
              <w:widowControl/>
              <w:suppressLineNumbers w:val="0"/>
              <w:spacing w:before="0" w:beforeLines="1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r>
      <w:tr w14:paraId="2522A0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vMerge w:val="continue"/>
            <w:noWrap w:val="0"/>
            <w:vAlign w:val="center"/>
          </w:tcPr>
          <w:p w14:paraId="68ABC099">
            <w:pPr>
              <w:pStyle w:val="78"/>
              <w:spacing w:beforeLines="0" w:afterLines="0" w:line="240" w:lineRule="auto"/>
              <w:rPr>
                <w:rFonts w:ascii="Times New Roman" w:hAnsi="宋体"/>
                <w:snapToGrid w:val="0"/>
                <w:color w:val="auto"/>
                <w:kern w:val="21"/>
                <w:sz w:val="21"/>
                <w:szCs w:val="21"/>
                <w:highlight w:val="none"/>
                <w:lang w:val="en-US" w:eastAsia="zh-CN"/>
              </w:rPr>
            </w:pPr>
          </w:p>
        </w:tc>
        <w:tc>
          <w:tcPr>
            <w:tcW w:w="1417" w:type="dxa"/>
            <w:noWrap w:val="0"/>
            <w:vAlign w:val="center"/>
          </w:tcPr>
          <w:p w14:paraId="7D8CED87">
            <w:pPr>
              <w:adjustRightInd w:val="0"/>
              <w:snapToGrid w:val="0"/>
              <w:jc w:val="center"/>
              <w:rPr>
                <w:color w:val="auto"/>
                <w:sz w:val="21"/>
                <w:szCs w:val="21"/>
                <w:highlight w:val="none"/>
              </w:rPr>
            </w:pPr>
            <w:r>
              <w:rPr>
                <w:color w:val="auto"/>
                <w:sz w:val="21"/>
                <w:szCs w:val="21"/>
                <w:highlight w:val="none"/>
              </w:rPr>
              <w:t>颗粒物</w:t>
            </w:r>
          </w:p>
        </w:tc>
        <w:tc>
          <w:tcPr>
            <w:tcW w:w="1701" w:type="dxa"/>
            <w:noWrap w:val="0"/>
            <w:vAlign w:val="center"/>
          </w:tcPr>
          <w:p w14:paraId="4A1D662D">
            <w:pPr>
              <w:jc w:val="center"/>
              <w:rPr>
                <w:rFonts w:hint="default" w:ascii="Times New Roman" w:hAnsi="Times New Roman" w:cs="Times New Roman"/>
                <w:snapToGrid w:val="0"/>
                <w:color w:val="auto"/>
                <w:kern w:val="21"/>
                <w:sz w:val="21"/>
                <w:szCs w:val="21"/>
                <w:highlight w:val="none"/>
                <w:lang w:val="en-US" w:eastAsia="zh-CN" w:bidi="ar-SA"/>
              </w:rPr>
            </w:pPr>
            <w:r>
              <w:rPr>
                <w:rFonts w:hint="eastAsia"/>
                <w:color w:val="auto"/>
                <w:sz w:val="21"/>
                <w:szCs w:val="21"/>
                <w:highlight w:val="none"/>
                <w:lang w:val="en-US" w:eastAsia="zh-CN"/>
              </w:rPr>
              <w:t>/</w:t>
            </w:r>
          </w:p>
        </w:tc>
        <w:tc>
          <w:tcPr>
            <w:tcW w:w="1276" w:type="dxa"/>
            <w:noWrap w:val="0"/>
            <w:vAlign w:val="center"/>
          </w:tcPr>
          <w:p w14:paraId="0FB434D2">
            <w:pPr>
              <w:jc w:val="center"/>
              <w:rPr>
                <w:rFonts w:hint="default" w:ascii="Times New Roman" w:hAnsi="Times New Roman" w:cs="Times New Roman"/>
                <w:snapToGrid w:val="0"/>
                <w:color w:val="auto"/>
                <w:kern w:val="21"/>
                <w:sz w:val="21"/>
                <w:szCs w:val="21"/>
                <w:highlight w:val="none"/>
                <w:lang w:val="en-US" w:eastAsia="zh-CN" w:bidi="ar-SA"/>
              </w:rPr>
            </w:pPr>
            <w:r>
              <w:rPr>
                <w:rFonts w:hint="eastAsia"/>
                <w:color w:val="auto"/>
                <w:sz w:val="21"/>
                <w:szCs w:val="21"/>
                <w:highlight w:val="none"/>
                <w:lang w:val="en-US" w:eastAsia="zh-CN"/>
              </w:rPr>
              <w:t>/</w:t>
            </w:r>
          </w:p>
        </w:tc>
        <w:tc>
          <w:tcPr>
            <w:tcW w:w="1701" w:type="dxa"/>
            <w:noWrap w:val="0"/>
            <w:vAlign w:val="center"/>
          </w:tcPr>
          <w:p w14:paraId="2E4415B5">
            <w:pPr>
              <w:spacing w:beforeLines="0" w:afterLines="0" w:line="240" w:lineRule="auto"/>
              <w:jc w:val="center"/>
              <w:rPr>
                <w:rFonts w:ascii="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559" w:type="dxa"/>
            <w:noWrap w:val="0"/>
            <w:vAlign w:val="center"/>
          </w:tcPr>
          <w:p w14:paraId="55EB5B19">
            <w:pPr>
              <w:jc w:val="center"/>
              <w:rPr>
                <w:color w:val="auto"/>
                <w:sz w:val="21"/>
                <w:szCs w:val="21"/>
                <w:highlight w:val="none"/>
              </w:rPr>
            </w:pPr>
            <w:r>
              <w:rPr>
                <w:rFonts w:hint="eastAsia"/>
                <w:color w:val="auto"/>
                <w:szCs w:val="21"/>
                <w:highlight w:val="none"/>
                <w:lang w:val="en-US" w:eastAsia="zh-CN"/>
              </w:rPr>
              <w:t>0.070</w:t>
            </w:r>
            <w:r>
              <w:rPr>
                <w:color w:val="auto"/>
                <w:szCs w:val="21"/>
                <w:highlight w:val="none"/>
              </w:rPr>
              <w:t>t/a</w:t>
            </w:r>
          </w:p>
        </w:tc>
        <w:tc>
          <w:tcPr>
            <w:tcW w:w="1761" w:type="dxa"/>
            <w:noWrap w:val="0"/>
            <w:vAlign w:val="center"/>
          </w:tcPr>
          <w:p w14:paraId="386585C6">
            <w:pPr>
              <w:keepNext w:val="0"/>
              <w:keepLines w:val="0"/>
              <w:widowControl/>
              <w:suppressLineNumbers w:val="0"/>
              <w:spacing w:before="0" w:beforeLines="10" w:beforeAutospacing="0" w:after="0" w:afterAutospacing="0" w:line="240" w:lineRule="auto"/>
              <w:ind w:left="0" w:leftChars="0" w:right="0" w:rightChars="0"/>
              <w:jc w:val="center"/>
              <w:rPr>
                <w:rFonts w:hint="default" w:ascii="Times New Roman" w:hAnsi="Times New Roman"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w:t>
            </w:r>
          </w:p>
        </w:tc>
        <w:tc>
          <w:tcPr>
            <w:tcW w:w="1641" w:type="dxa"/>
            <w:noWrap w:val="0"/>
            <w:vAlign w:val="center"/>
          </w:tcPr>
          <w:p w14:paraId="282123C4">
            <w:pPr>
              <w:jc w:val="center"/>
              <w:rPr>
                <w:color w:val="auto"/>
                <w:sz w:val="21"/>
                <w:szCs w:val="21"/>
                <w:highlight w:val="none"/>
              </w:rPr>
            </w:pPr>
            <w:r>
              <w:rPr>
                <w:rFonts w:hint="eastAsia" w:cs="Times New Roman"/>
                <w:snapToGrid w:val="0"/>
                <w:color w:val="auto"/>
                <w:kern w:val="21"/>
                <w:szCs w:val="21"/>
                <w:highlight w:val="none"/>
                <w:lang w:val="en-US" w:eastAsia="zh-CN"/>
              </w:rPr>
              <w:t>/</w:t>
            </w:r>
          </w:p>
        </w:tc>
        <w:tc>
          <w:tcPr>
            <w:tcW w:w="1966" w:type="dxa"/>
            <w:noWrap w:val="0"/>
            <w:vAlign w:val="center"/>
          </w:tcPr>
          <w:p w14:paraId="4E6069DC">
            <w:pPr>
              <w:keepNext w:val="0"/>
              <w:keepLines w:val="0"/>
              <w:widowControl/>
              <w:suppressLineNumbers w:val="0"/>
              <w:spacing w:before="0" w:beforeLines="10" w:beforeAutospacing="0" w:after="0" w:afterAutospacing="0" w:line="240" w:lineRule="auto"/>
              <w:ind w:left="0" w:leftChars="0" w:right="0" w:rightChars="0"/>
              <w:jc w:val="center"/>
              <w:rPr>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r>
      <w:tr w14:paraId="43D17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vMerge w:val="restart"/>
            <w:noWrap w:val="0"/>
            <w:vAlign w:val="center"/>
          </w:tcPr>
          <w:p w14:paraId="0D726223">
            <w:pPr>
              <w:pStyle w:val="78"/>
              <w:spacing w:beforeLines="0" w:afterLines="0" w:line="240" w:lineRule="auto"/>
              <w:rPr>
                <w:rFonts w:ascii="Times New Roman" w:hAnsi="宋体"/>
                <w:snapToGrid w:val="0"/>
                <w:color w:val="auto"/>
                <w:kern w:val="21"/>
                <w:sz w:val="21"/>
                <w:szCs w:val="21"/>
                <w:highlight w:val="none"/>
                <w:lang w:val="en-US" w:eastAsia="zh-CN"/>
              </w:rPr>
            </w:pPr>
            <w:r>
              <w:rPr>
                <w:rFonts w:ascii="Times New Roman" w:hAnsi="宋体"/>
                <w:snapToGrid w:val="0"/>
                <w:color w:val="auto"/>
                <w:kern w:val="21"/>
                <w:sz w:val="21"/>
                <w:szCs w:val="21"/>
                <w:highlight w:val="none"/>
                <w:lang w:val="en-US" w:eastAsia="zh-CN"/>
              </w:rPr>
              <w:t>废水</w:t>
            </w:r>
          </w:p>
        </w:tc>
        <w:tc>
          <w:tcPr>
            <w:tcW w:w="1417" w:type="dxa"/>
            <w:noWrap w:val="0"/>
            <w:vAlign w:val="center"/>
          </w:tcPr>
          <w:p w14:paraId="14E1C9ED">
            <w:pPr>
              <w:jc w:val="center"/>
              <w:rPr>
                <w:color w:val="auto"/>
                <w:sz w:val="21"/>
                <w:szCs w:val="21"/>
                <w:highlight w:val="none"/>
              </w:rPr>
            </w:pPr>
            <w:r>
              <w:rPr>
                <w:color w:val="auto"/>
                <w:sz w:val="21"/>
                <w:szCs w:val="21"/>
                <w:highlight w:val="none"/>
              </w:rPr>
              <w:t>COD</w:t>
            </w:r>
          </w:p>
        </w:tc>
        <w:tc>
          <w:tcPr>
            <w:tcW w:w="1701" w:type="dxa"/>
            <w:noWrap w:val="0"/>
            <w:vAlign w:val="center"/>
          </w:tcPr>
          <w:p w14:paraId="788391E1">
            <w:pPr>
              <w:jc w:val="center"/>
              <w:rPr>
                <w:color w:val="auto"/>
                <w:sz w:val="21"/>
                <w:szCs w:val="21"/>
                <w:highlight w:val="none"/>
              </w:rPr>
            </w:pPr>
            <w:r>
              <w:rPr>
                <w:rFonts w:hint="eastAsia"/>
                <w:color w:val="auto"/>
                <w:sz w:val="21"/>
                <w:szCs w:val="21"/>
                <w:highlight w:val="none"/>
                <w:lang w:val="en-US" w:eastAsia="zh-CN"/>
              </w:rPr>
              <w:t>/</w:t>
            </w:r>
          </w:p>
        </w:tc>
        <w:tc>
          <w:tcPr>
            <w:tcW w:w="1276" w:type="dxa"/>
            <w:noWrap w:val="0"/>
            <w:vAlign w:val="center"/>
          </w:tcPr>
          <w:p w14:paraId="6F2CDB82">
            <w:pPr>
              <w:jc w:val="center"/>
              <w:rPr>
                <w:color w:val="auto"/>
                <w:sz w:val="21"/>
                <w:szCs w:val="21"/>
                <w:highlight w:val="none"/>
              </w:rPr>
            </w:pPr>
            <w:r>
              <w:rPr>
                <w:rFonts w:hint="eastAsia"/>
                <w:color w:val="auto"/>
                <w:sz w:val="21"/>
                <w:szCs w:val="21"/>
                <w:highlight w:val="none"/>
                <w:lang w:val="en-US" w:eastAsia="zh-CN"/>
              </w:rPr>
              <w:t>/</w:t>
            </w:r>
          </w:p>
        </w:tc>
        <w:tc>
          <w:tcPr>
            <w:tcW w:w="1701" w:type="dxa"/>
            <w:noWrap w:val="0"/>
            <w:vAlign w:val="center"/>
          </w:tcPr>
          <w:p w14:paraId="3ACC1894">
            <w:pPr>
              <w:spacing w:beforeLines="0" w:afterLines="0" w:line="240" w:lineRule="auto"/>
              <w:jc w:val="center"/>
              <w:rPr>
                <w:rFonts w:ascii="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559" w:type="dxa"/>
            <w:noWrap w:val="0"/>
            <w:vAlign w:val="center"/>
          </w:tcPr>
          <w:p w14:paraId="0C5A69A3">
            <w:pPr>
              <w:jc w:val="center"/>
              <w:rPr>
                <w:color w:val="auto"/>
                <w:sz w:val="21"/>
                <w:szCs w:val="21"/>
                <w:highlight w:val="none"/>
              </w:rPr>
            </w:pPr>
            <w:r>
              <w:rPr>
                <w:rFonts w:hint="eastAsia"/>
                <w:b w:val="0"/>
                <w:bCs/>
                <w:color w:val="auto"/>
                <w:kern w:val="0"/>
                <w:sz w:val="21"/>
                <w:szCs w:val="21"/>
                <w:highlight w:val="none"/>
                <w:lang w:val="en-US" w:eastAsia="zh-CN"/>
              </w:rPr>
              <w:t>0.058</w:t>
            </w:r>
            <w:r>
              <w:rPr>
                <w:color w:val="auto"/>
                <w:szCs w:val="21"/>
                <w:highlight w:val="none"/>
              </w:rPr>
              <w:t>t/a</w:t>
            </w:r>
          </w:p>
        </w:tc>
        <w:tc>
          <w:tcPr>
            <w:tcW w:w="1761" w:type="dxa"/>
            <w:noWrap w:val="0"/>
            <w:vAlign w:val="center"/>
          </w:tcPr>
          <w:p w14:paraId="575174CB">
            <w:pPr>
              <w:spacing w:beforeLines="0" w:afterLines="0" w:line="240" w:lineRule="auto"/>
              <w:jc w:val="center"/>
              <w:rPr>
                <w:rFonts w:ascii="宋体"/>
                <w:color w:val="auto"/>
                <w:kern w:val="0"/>
                <w:sz w:val="21"/>
                <w:szCs w:val="21"/>
                <w:highlight w:val="none"/>
                <w:lang w:val="en-US" w:eastAsia="zh-CN" w:bidi="ar-SA"/>
              </w:rPr>
            </w:pPr>
            <w:r>
              <w:rPr>
                <w:rFonts w:hint="eastAsia" w:cs="Times New Roman"/>
                <w:snapToGrid w:val="0"/>
                <w:color w:val="auto"/>
                <w:kern w:val="21"/>
                <w:szCs w:val="21"/>
                <w:highlight w:val="none"/>
                <w:lang w:val="en-US" w:eastAsia="zh-CN"/>
              </w:rPr>
              <w:t>/</w:t>
            </w:r>
          </w:p>
        </w:tc>
        <w:tc>
          <w:tcPr>
            <w:tcW w:w="1641" w:type="dxa"/>
            <w:noWrap w:val="0"/>
            <w:vAlign w:val="center"/>
          </w:tcPr>
          <w:p w14:paraId="1B32CF59">
            <w:pPr>
              <w:jc w:val="center"/>
              <w:rPr>
                <w:color w:val="auto"/>
                <w:sz w:val="21"/>
                <w:szCs w:val="21"/>
                <w:highlight w:val="none"/>
              </w:rPr>
            </w:pPr>
            <w:r>
              <w:rPr>
                <w:rFonts w:hint="eastAsia" w:cs="Times New Roman"/>
                <w:snapToGrid w:val="0"/>
                <w:color w:val="auto"/>
                <w:kern w:val="21"/>
                <w:szCs w:val="21"/>
                <w:highlight w:val="none"/>
                <w:lang w:val="en-US" w:eastAsia="zh-CN"/>
              </w:rPr>
              <w:t>/</w:t>
            </w:r>
          </w:p>
        </w:tc>
        <w:tc>
          <w:tcPr>
            <w:tcW w:w="1966" w:type="dxa"/>
            <w:noWrap w:val="0"/>
            <w:vAlign w:val="center"/>
          </w:tcPr>
          <w:p w14:paraId="3415F2EE">
            <w:pPr>
              <w:jc w:val="center"/>
              <w:rPr>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r>
      <w:tr w14:paraId="771F0F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vMerge w:val="continue"/>
            <w:noWrap w:val="0"/>
            <w:vAlign w:val="center"/>
          </w:tcPr>
          <w:p w14:paraId="4D5B1E90">
            <w:pPr>
              <w:pStyle w:val="78"/>
              <w:spacing w:beforeLines="0" w:afterLines="0" w:line="240" w:lineRule="auto"/>
              <w:rPr>
                <w:rFonts w:ascii="Times New Roman" w:hAnsi="宋体"/>
                <w:snapToGrid w:val="0"/>
                <w:color w:val="auto"/>
                <w:kern w:val="21"/>
                <w:sz w:val="21"/>
                <w:szCs w:val="21"/>
                <w:highlight w:val="none"/>
                <w:lang w:val="en-US" w:eastAsia="zh-CN"/>
              </w:rPr>
            </w:pPr>
          </w:p>
        </w:tc>
        <w:tc>
          <w:tcPr>
            <w:tcW w:w="1417" w:type="dxa"/>
            <w:noWrap w:val="0"/>
            <w:vAlign w:val="center"/>
          </w:tcPr>
          <w:p w14:paraId="4338AA5D">
            <w:pPr>
              <w:jc w:val="center"/>
              <w:rPr>
                <w:color w:val="auto"/>
                <w:sz w:val="21"/>
                <w:szCs w:val="21"/>
                <w:highlight w:val="none"/>
              </w:rPr>
            </w:pPr>
            <w:r>
              <w:rPr>
                <w:rFonts w:hint="eastAsia"/>
                <w:color w:val="auto"/>
                <w:sz w:val="21"/>
                <w:szCs w:val="21"/>
                <w:highlight w:val="none"/>
              </w:rPr>
              <w:t>NH</w:t>
            </w:r>
            <w:r>
              <w:rPr>
                <w:rFonts w:hint="eastAsia"/>
                <w:color w:val="auto"/>
                <w:sz w:val="21"/>
                <w:szCs w:val="21"/>
                <w:highlight w:val="none"/>
                <w:vertAlign w:val="subscript"/>
              </w:rPr>
              <w:t>3</w:t>
            </w:r>
            <w:r>
              <w:rPr>
                <w:rFonts w:hint="eastAsia"/>
                <w:color w:val="auto"/>
                <w:sz w:val="21"/>
                <w:szCs w:val="21"/>
                <w:highlight w:val="none"/>
              </w:rPr>
              <w:t>-N</w:t>
            </w:r>
          </w:p>
        </w:tc>
        <w:tc>
          <w:tcPr>
            <w:tcW w:w="1701" w:type="dxa"/>
            <w:noWrap w:val="0"/>
            <w:vAlign w:val="center"/>
          </w:tcPr>
          <w:p w14:paraId="04B1B6E8">
            <w:pPr>
              <w:jc w:val="center"/>
              <w:rPr>
                <w:color w:val="auto"/>
                <w:sz w:val="21"/>
                <w:szCs w:val="21"/>
                <w:highlight w:val="none"/>
              </w:rPr>
            </w:pPr>
            <w:r>
              <w:rPr>
                <w:rFonts w:hint="eastAsia"/>
                <w:color w:val="auto"/>
                <w:sz w:val="21"/>
                <w:szCs w:val="21"/>
                <w:highlight w:val="none"/>
                <w:lang w:val="en-US" w:eastAsia="zh-CN"/>
              </w:rPr>
              <w:t>/</w:t>
            </w:r>
          </w:p>
        </w:tc>
        <w:tc>
          <w:tcPr>
            <w:tcW w:w="1276" w:type="dxa"/>
            <w:noWrap w:val="0"/>
            <w:vAlign w:val="center"/>
          </w:tcPr>
          <w:p w14:paraId="02251C8A">
            <w:pPr>
              <w:jc w:val="center"/>
              <w:rPr>
                <w:color w:val="auto"/>
                <w:sz w:val="21"/>
                <w:szCs w:val="21"/>
                <w:highlight w:val="none"/>
              </w:rPr>
            </w:pPr>
            <w:r>
              <w:rPr>
                <w:rFonts w:hint="eastAsia"/>
                <w:color w:val="auto"/>
                <w:sz w:val="21"/>
                <w:szCs w:val="21"/>
                <w:highlight w:val="none"/>
                <w:lang w:val="en-US" w:eastAsia="zh-CN"/>
              </w:rPr>
              <w:t>/</w:t>
            </w:r>
          </w:p>
        </w:tc>
        <w:tc>
          <w:tcPr>
            <w:tcW w:w="1701" w:type="dxa"/>
            <w:noWrap w:val="0"/>
            <w:vAlign w:val="center"/>
          </w:tcPr>
          <w:p w14:paraId="03CE58CF">
            <w:pPr>
              <w:spacing w:beforeLines="0" w:afterLines="0" w:line="240" w:lineRule="auto"/>
              <w:jc w:val="center"/>
              <w:rPr>
                <w:rFonts w:ascii="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559" w:type="dxa"/>
            <w:noWrap w:val="0"/>
            <w:vAlign w:val="center"/>
          </w:tcPr>
          <w:p w14:paraId="5D11890C">
            <w:pPr>
              <w:jc w:val="center"/>
              <w:rPr>
                <w:rFonts w:hint="eastAsia" w:eastAsia="宋体"/>
                <w:color w:val="auto"/>
                <w:sz w:val="21"/>
                <w:szCs w:val="21"/>
                <w:highlight w:val="none"/>
                <w:lang w:eastAsia="zh-CN"/>
              </w:rPr>
            </w:pPr>
            <w:r>
              <w:rPr>
                <w:rFonts w:hint="eastAsia"/>
                <w:b w:val="0"/>
                <w:bCs/>
                <w:color w:val="auto"/>
                <w:kern w:val="0"/>
                <w:sz w:val="21"/>
                <w:szCs w:val="21"/>
                <w:highlight w:val="none"/>
                <w:lang w:val="en-US" w:eastAsia="zh-CN"/>
              </w:rPr>
              <w:t>0.0099</w:t>
            </w:r>
            <w:r>
              <w:rPr>
                <w:color w:val="auto"/>
                <w:szCs w:val="21"/>
                <w:highlight w:val="none"/>
              </w:rPr>
              <w:t>t/a</w:t>
            </w:r>
          </w:p>
        </w:tc>
        <w:tc>
          <w:tcPr>
            <w:tcW w:w="1761" w:type="dxa"/>
            <w:noWrap w:val="0"/>
            <w:vAlign w:val="center"/>
          </w:tcPr>
          <w:p w14:paraId="0E249072">
            <w:pPr>
              <w:spacing w:beforeLines="0" w:afterLines="0" w:line="240" w:lineRule="auto"/>
              <w:jc w:val="center"/>
              <w:rPr>
                <w:rFonts w:ascii="宋体"/>
                <w:color w:val="auto"/>
                <w:kern w:val="0"/>
                <w:sz w:val="21"/>
                <w:szCs w:val="21"/>
                <w:highlight w:val="none"/>
                <w:lang w:val="en-US" w:eastAsia="zh-CN" w:bidi="ar-SA"/>
              </w:rPr>
            </w:pPr>
            <w:r>
              <w:rPr>
                <w:rFonts w:hint="eastAsia" w:cs="Times New Roman"/>
                <w:snapToGrid w:val="0"/>
                <w:color w:val="auto"/>
                <w:kern w:val="21"/>
                <w:szCs w:val="21"/>
                <w:highlight w:val="none"/>
                <w:lang w:val="en-US" w:eastAsia="zh-CN"/>
              </w:rPr>
              <w:t>/</w:t>
            </w:r>
          </w:p>
        </w:tc>
        <w:tc>
          <w:tcPr>
            <w:tcW w:w="1641" w:type="dxa"/>
            <w:noWrap w:val="0"/>
            <w:vAlign w:val="center"/>
          </w:tcPr>
          <w:p w14:paraId="4806FB7B">
            <w:pPr>
              <w:jc w:val="center"/>
              <w:rPr>
                <w:color w:val="auto"/>
                <w:sz w:val="21"/>
                <w:szCs w:val="21"/>
                <w:highlight w:val="none"/>
              </w:rPr>
            </w:pPr>
            <w:r>
              <w:rPr>
                <w:rFonts w:hint="eastAsia" w:cs="Times New Roman"/>
                <w:snapToGrid w:val="0"/>
                <w:color w:val="auto"/>
                <w:kern w:val="21"/>
                <w:szCs w:val="21"/>
                <w:highlight w:val="none"/>
                <w:lang w:val="en-US" w:eastAsia="zh-CN"/>
              </w:rPr>
              <w:t>/</w:t>
            </w:r>
          </w:p>
        </w:tc>
        <w:tc>
          <w:tcPr>
            <w:tcW w:w="1966" w:type="dxa"/>
            <w:noWrap w:val="0"/>
            <w:vAlign w:val="center"/>
          </w:tcPr>
          <w:p w14:paraId="7A7D3413">
            <w:pPr>
              <w:jc w:val="center"/>
              <w:rPr>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r>
      <w:tr w14:paraId="088F56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vMerge w:val="continue"/>
            <w:noWrap w:val="0"/>
            <w:vAlign w:val="center"/>
          </w:tcPr>
          <w:p w14:paraId="0290F6D6">
            <w:pPr>
              <w:pStyle w:val="78"/>
              <w:spacing w:beforeLines="0" w:afterLines="0" w:line="240" w:lineRule="auto"/>
              <w:rPr>
                <w:rFonts w:ascii="Times New Roman" w:hAnsi="宋体"/>
                <w:snapToGrid w:val="0"/>
                <w:color w:val="auto"/>
                <w:kern w:val="21"/>
                <w:sz w:val="21"/>
                <w:szCs w:val="21"/>
                <w:highlight w:val="none"/>
                <w:lang w:val="en-US" w:eastAsia="zh-CN"/>
              </w:rPr>
            </w:pPr>
          </w:p>
        </w:tc>
        <w:tc>
          <w:tcPr>
            <w:tcW w:w="1417" w:type="dxa"/>
            <w:noWrap w:val="0"/>
            <w:vAlign w:val="center"/>
          </w:tcPr>
          <w:p w14:paraId="598A2F95">
            <w:pPr>
              <w:jc w:val="center"/>
              <w:rPr>
                <w:color w:val="auto"/>
                <w:sz w:val="21"/>
                <w:szCs w:val="21"/>
                <w:highlight w:val="none"/>
              </w:rPr>
            </w:pPr>
            <w:r>
              <w:rPr>
                <w:color w:val="auto"/>
                <w:sz w:val="21"/>
                <w:szCs w:val="21"/>
                <w:highlight w:val="none"/>
              </w:rPr>
              <w:t>SS</w:t>
            </w:r>
          </w:p>
        </w:tc>
        <w:tc>
          <w:tcPr>
            <w:tcW w:w="1701" w:type="dxa"/>
            <w:noWrap w:val="0"/>
            <w:vAlign w:val="center"/>
          </w:tcPr>
          <w:p w14:paraId="3F4585E8">
            <w:pPr>
              <w:jc w:val="center"/>
              <w:rPr>
                <w:color w:val="auto"/>
                <w:sz w:val="21"/>
                <w:szCs w:val="21"/>
                <w:highlight w:val="none"/>
              </w:rPr>
            </w:pPr>
            <w:r>
              <w:rPr>
                <w:rFonts w:hint="eastAsia"/>
                <w:color w:val="auto"/>
                <w:sz w:val="21"/>
                <w:szCs w:val="21"/>
                <w:highlight w:val="none"/>
                <w:lang w:val="en-US" w:eastAsia="zh-CN"/>
              </w:rPr>
              <w:t>/</w:t>
            </w:r>
          </w:p>
        </w:tc>
        <w:tc>
          <w:tcPr>
            <w:tcW w:w="1276" w:type="dxa"/>
            <w:noWrap w:val="0"/>
            <w:vAlign w:val="center"/>
          </w:tcPr>
          <w:p w14:paraId="75048948">
            <w:pPr>
              <w:jc w:val="center"/>
              <w:rPr>
                <w:color w:val="auto"/>
                <w:sz w:val="21"/>
                <w:szCs w:val="21"/>
                <w:highlight w:val="none"/>
              </w:rPr>
            </w:pPr>
            <w:r>
              <w:rPr>
                <w:rFonts w:hint="eastAsia"/>
                <w:color w:val="auto"/>
                <w:sz w:val="21"/>
                <w:szCs w:val="21"/>
                <w:highlight w:val="none"/>
                <w:lang w:val="en-US" w:eastAsia="zh-CN"/>
              </w:rPr>
              <w:t>/</w:t>
            </w:r>
          </w:p>
        </w:tc>
        <w:tc>
          <w:tcPr>
            <w:tcW w:w="1701" w:type="dxa"/>
            <w:noWrap w:val="0"/>
            <w:vAlign w:val="center"/>
          </w:tcPr>
          <w:p w14:paraId="112935C0">
            <w:pPr>
              <w:spacing w:beforeLines="0" w:afterLines="0" w:line="240" w:lineRule="auto"/>
              <w:jc w:val="center"/>
              <w:rPr>
                <w:rFonts w:ascii="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559" w:type="dxa"/>
            <w:noWrap w:val="0"/>
            <w:vAlign w:val="center"/>
          </w:tcPr>
          <w:p w14:paraId="3A4C388F">
            <w:pPr>
              <w:jc w:val="center"/>
              <w:rPr>
                <w:color w:val="auto"/>
                <w:sz w:val="21"/>
                <w:szCs w:val="21"/>
                <w:highlight w:val="none"/>
              </w:rPr>
            </w:pPr>
            <w:r>
              <w:rPr>
                <w:rFonts w:hint="eastAsia"/>
                <w:b w:val="0"/>
                <w:bCs/>
                <w:color w:val="auto"/>
                <w:kern w:val="0"/>
                <w:sz w:val="21"/>
                <w:szCs w:val="21"/>
                <w:highlight w:val="none"/>
                <w:lang w:val="en-US" w:eastAsia="zh-CN"/>
              </w:rPr>
              <w:t>0.099</w:t>
            </w:r>
            <w:r>
              <w:rPr>
                <w:color w:val="auto"/>
                <w:szCs w:val="21"/>
                <w:highlight w:val="none"/>
              </w:rPr>
              <w:t>t/a</w:t>
            </w:r>
          </w:p>
        </w:tc>
        <w:tc>
          <w:tcPr>
            <w:tcW w:w="1761" w:type="dxa"/>
            <w:noWrap w:val="0"/>
            <w:vAlign w:val="center"/>
          </w:tcPr>
          <w:p w14:paraId="11C78367">
            <w:pPr>
              <w:spacing w:beforeLines="0" w:afterLines="0" w:line="240" w:lineRule="auto"/>
              <w:jc w:val="center"/>
              <w:rPr>
                <w:rFonts w:ascii="宋体"/>
                <w:color w:val="auto"/>
                <w:kern w:val="0"/>
                <w:sz w:val="21"/>
                <w:szCs w:val="21"/>
                <w:highlight w:val="none"/>
                <w:lang w:val="en-US" w:eastAsia="zh-CN" w:bidi="ar-SA"/>
              </w:rPr>
            </w:pPr>
            <w:r>
              <w:rPr>
                <w:rFonts w:hint="eastAsia" w:cs="Times New Roman"/>
                <w:snapToGrid w:val="0"/>
                <w:color w:val="auto"/>
                <w:kern w:val="21"/>
                <w:szCs w:val="21"/>
                <w:highlight w:val="none"/>
                <w:lang w:val="en-US" w:eastAsia="zh-CN"/>
              </w:rPr>
              <w:t>/</w:t>
            </w:r>
          </w:p>
        </w:tc>
        <w:tc>
          <w:tcPr>
            <w:tcW w:w="1641" w:type="dxa"/>
            <w:noWrap w:val="0"/>
            <w:vAlign w:val="center"/>
          </w:tcPr>
          <w:p w14:paraId="1FFC9A9E">
            <w:pPr>
              <w:jc w:val="center"/>
              <w:rPr>
                <w:color w:val="auto"/>
                <w:sz w:val="21"/>
                <w:szCs w:val="21"/>
                <w:highlight w:val="none"/>
              </w:rPr>
            </w:pPr>
            <w:r>
              <w:rPr>
                <w:rFonts w:hint="eastAsia" w:cs="Times New Roman"/>
                <w:snapToGrid w:val="0"/>
                <w:color w:val="auto"/>
                <w:kern w:val="21"/>
                <w:szCs w:val="21"/>
                <w:highlight w:val="none"/>
                <w:lang w:val="en-US" w:eastAsia="zh-CN"/>
              </w:rPr>
              <w:t>/</w:t>
            </w:r>
          </w:p>
        </w:tc>
        <w:tc>
          <w:tcPr>
            <w:tcW w:w="1966" w:type="dxa"/>
            <w:noWrap w:val="0"/>
            <w:vAlign w:val="center"/>
          </w:tcPr>
          <w:p w14:paraId="0DD76CDB">
            <w:pPr>
              <w:jc w:val="center"/>
              <w:rPr>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r>
      <w:tr w14:paraId="47EA21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vMerge w:val="continue"/>
            <w:noWrap w:val="0"/>
            <w:vAlign w:val="center"/>
          </w:tcPr>
          <w:p w14:paraId="66673F1B">
            <w:pPr>
              <w:pStyle w:val="78"/>
              <w:spacing w:beforeLines="0" w:afterLines="0" w:line="240" w:lineRule="auto"/>
              <w:rPr>
                <w:rFonts w:ascii="Times New Roman" w:hAnsi="宋体"/>
                <w:snapToGrid w:val="0"/>
                <w:color w:val="auto"/>
                <w:kern w:val="21"/>
                <w:sz w:val="21"/>
                <w:szCs w:val="21"/>
                <w:highlight w:val="none"/>
                <w:lang w:val="en-US" w:eastAsia="zh-CN"/>
              </w:rPr>
            </w:pPr>
          </w:p>
        </w:tc>
        <w:tc>
          <w:tcPr>
            <w:tcW w:w="1417" w:type="dxa"/>
            <w:noWrap w:val="0"/>
            <w:vAlign w:val="center"/>
          </w:tcPr>
          <w:p w14:paraId="50FB1D70">
            <w:pPr>
              <w:jc w:val="center"/>
              <w:rPr>
                <w:color w:val="auto"/>
                <w:sz w:val="21"/>
                <w:szCs w:val="21"/>
                <w:highlight w:val="none"/>
              </w:rPr>
            </w:pPr>
            <w:r>
              <w:rPr>
                <w:rFonts w:hint="eastAsia" w:hAnsi="宋体"/>
                <w:b w:val="0"/>
                <w:bCs/>
                <w:color w:val="auto"/>
                <w:kern w:val="0"/>
                <w:sz w:val="21"/>
                <w:szCs w:val="21"/>
                <w:highlight w:val="none"/>
              </w:rPr>
              <w:t>溶解性总固体</w:t>
            </w:r>
          </w:p>
        </w:tc>
        <w:tc>
          <w:tcPr>
            <w:tcW w:w="1701" w:type="dxa"/>
            <w:noWrap w:val="0"/>
            <w:vAlign w:val="center"/>
          </w:tcPr>
          <w:p w14:paraId="7D54FC92">
            <w:pP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w:t>
            </w:r>
          </w:p>
        </w:tc>
        <w:tc>
          <w:tcPr>
            <w:tcW w:w="1276" w:type="dxa"/>
            <w:noWrap w:val="0"/>
            <w:vAlign w:val="center"/>
          </w:tcPr>
          <w:p w14:paraId="6358B287">
            <w:pPr>
              <w:jc w:val="center"/>
              <w:rPr>
                <w:rFonts w:hint="default" w:ascii="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701" w:type="dxa"/>
            <w:noWrap w:val="0"/>
            <w:vAlign w:val="center"/>
          </w:tcPr>
          <w:p w14:paraId="022F4A2A">
            <w:pPr>
              <w:spacing w:beforeLines="0" w:afterLines="0" w:line="240" w:lineRule="auto"/>
              <w:jc w:val="center"/>
              <w:rPr>
                <w:rFonts w:hint="default" w:ascii="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559" w:type="dxa"/>
            <w:noWrap w:val="0"/>
            <w:vAlign w:val="center"/>
          </w:tcPr>
          <w:p w14:paraId="1E60C2B6">
            <w:pPr>
              <w:jc w:val="center"/>
              <w:rPr>
                <w:rFonts w:hint="eastAsia"/>
                <w:color w:val="auto"/>
                <w:szCs w:val="21"/>
                <w:highlight w:val="none"/>
              </w:rPr>
            </w:pPr>
            <w:r>
              <w:rPr>
                <w:rFonts w:hint="eastAsia"/>
                <w:b w:val="0"/>
                <w:bCs/>
                <w:color w:val="auto"/>
                <w:kern w:val="0"/>
                <w:sz w:val="21"/>
                <w:szCs w:val="21"/>
                <w:highlight w:val="none"/>
                <w:lang w:val="en-US" w:eastAsia="zh-CN"/>
              </w:rPr>
              <w:t>1.187</w:t>
            </w:r>
            <w:r>
              <w:rPr>
                <w:color w:val="auto"/>
                <w:szCs w:val="21"/>
                <w:highlight w:val="none"/>
              </w:rPr>
              <w:t>t/a</w:t>
            </w:r>
          </w:p>
        </w:tc>
        <w:tc>
          <w:tcPr>
            <w:tcW w:w="1761" w:type="dxa"/>
            <w:noWrap w:val="0"/>
            <w:vAlign w:val="center"/>
          </w:tcPr>
          <w:p w14:paraId="11ED2CA3">
            <w:pPr>
              <w:spacing w:beforeLines="0" w:afterLines="0" w:line="240" w:lineRule="auto"/>
              <w:jc w:val="center"/>
              <w:rPr>
                <w:rFonts w:hint="eastAsia" w:ascii="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w:t>
            </w:r>
          </w:p>
        </w:tc>
        <w:tc>
          <w:tcPr>
            <w:tcW w:w="1641" w:type="dxa"/>
            <w:noWrap w:val="0"/>
            <w:vAlign w:val="center"/>
          </w:tcPr>
          <w:p w14:paraId="5429CF8F">
            <w:pPr>
              <w:jc w:val="center"/>
              <w:rPr>
                <w:rFonts w:hint="eastAsia"/>
                <w:snapToGrid w:val="0"/>
                <w:color w:val="auto"/>
                <w:kern w:val="21"/>
                <w:sz w:val="21"/>
                <w:szCs w:val="21"/>
                <w:highlight w:val="none"/>
              </w:rPr>
            </w:pPr>
            <w:r>
              <w:rPr>
                <w:rFonts w:hint="eastAsia" w:cs="Times New Roman"/>
                <w:snapToGrid w:val="0"/>
                <w:color w:val="auto"/>
                <w:kern w:val="21"/>
                <w:szCs w:val="21"/>
                <w:highlight w:val="none"/>
                <w:lang w:val="en-US" w:eastAsia="zh-CN"/>
              </w:rPr>
              <w:t>/</w:t>
            </w:r>
          </w:p>
        </w:tc>
        <w:tc>
          <w:tcPr>
            <w:tcW w:w="1966" w:type="dxa"/>
            <w:noWrap w:val="0"/>
            <w:vAlign w:val="center"/>
          </w:tcPr>
          <w:p w14:paraId="0AB3EC18">
            <w:pPr>
              <w:jc w:val="center"/>
              <w:rPr>
                <w:rFonts w:hint="eastAsia" w:ascii="宋体" w:hAnsi="宋体" w:eastAsia="宋体" w:cs="宋体"/>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r>
      <w:tr w14:paraId="726CB8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vMerge w:val="restart"/>
            <w:noWrap w:val="0"/>
            <w:vAlign w:val="center"/>
          </w:tcPr>
          <w:p w14:paraId="1E6FA87B">
            <w:pPr>
              <w:pStyle w:val="78"/>
              <w:spacing w:beforeLines="0" w:afterLines="0" w:line="240" w:lineRule="auto"/>
              <w:rPr>
                <w:rFonts w:ascii="Times New Roman"/>
                <w:snapToGrid w:val="0"/>
                <w:color w:val="auto"/>
                <w:kern w:val="21"/>
                <w:sz w:val="21"/>
                <w:szCs w:val="21"/>
                <w:highlight w:val="none"/>
                <w:lang w:val="en-US" w:eastAsia="zh-CN"/>
              </w:rPr>
            </w:pPr>
            <w:r>
              <w:rPr>
                <w:rFonts w:ascii="Times New Roman" w:hAnsi="宋体"/>
                <w:snapToGrid w:val="0"/>
                <w:color w:val="auto"/>
                <w:kern w:val="21"/>
                <w:sz w:val="21"/>
                <w:szCs w:val="21"/>
                <w:highlight w:val="none"/>
                <w:lang w:val="en-US" w:eastAsia="zh-CN"/>
              </w:rPr>
              <w:t>一般工业</w:t>
            </w:r>
          </w:p>
          <w:p w14:paraId="06E40221">
            <w:pPr>
              <w:pStyle w:val="78"/>
              <w:spacing w:beforeLines="0" w:afterLines="0" w:line="240" w:lineRule="auto"/>
              <w:rPr>
                <w:rFonts w:ascii="Times New Roman"/>
                <w:snapToGrid w:val="0"/>
                <w:color w:val="auto"/>
                <w:kern w:val="21"/>
                <w:sz w:val="21"/>
                <w:szCs w:val="21"/>
                <w:highlight w:val="none"/>
                <w:lang w:val="en-US" w:eastAsia="zh-CN"/>
              </w:rPr>
            </w:pPr>
            <w:r>
              <w:rPr>
                <w:rFonts w:ascii="Times New Roman" w:hAnsi="宋体"/>
                <w:snapToGrid w:val="0"/>
                <w:color w:val="auto"/>
                <w:kern w:val="21"/>
                <w:sz w:val="21"/>
                <w:szCs w:val="21"/>
                <w:highlight w:val="none"/>
                <w:lang w:val="en-US" w:eastAsia="zh-CN"/>
              </w:rPr>
              <w:t>固体废物</w:t>
            </w:r>
          </w:p>
        </w:tc>
        <w:tc>
          <w:tcPr>
            <w:tcW w:w="1417" w:type="dxa"/>
            <w:noWrap w:val="0"/>
            <w:vAlign w:val="center"/>
          </w:tcPr>
          <w:p w14:paraId="6E671262">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color w:val="auto"/>
                <w:kern w:val="0"/>
                <w:sz w:val="21"/>
                <w:szCs w:val="21"/>
                <w:highlight w:val="none"/>
                <w:lang w:val="en-US" w:eastAsia="zh-CN" w:bidi="en-US"/>
              </w:rPr>
            </w:pPr>
            <w:r>
              <w:rPr>
                <w:rFonts w:hint="eastAsia" w:ascii="Times New Roman" w:hAnsi="Times New Roman" w:eastAsia="宋体" w:cs="Times New Roman"/>
                <w:color w:val="auto"/>
                <w:sz w:val="21"/>
                <w:szCs w:val="21"/>
                <w:highlight w:val="none"/>
                <w:lang w:val="en-US" w:eastAsia="zh-CN"/>
              </w:rPr>
              <w:t>废离子交换树脂</w:t>
            </w:r>
          </w:p>
        </w:tc>
        <w:tc>
          <w:tcPr>
            <w:tcW w:w="1701" w:type="dxa"/>
            <w:noWrap w:val="0"/>
            <w:vAlign w:val="center"/>
          </w:tcPr>
          <w:p w14:paraId="14D94C1A">
            <w:pPr>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olor w:val="auto"/>
                <w:sz w:val="21"/>
                <w:szCs w:val="21"/>
                <w:highlight w:val="none"/>
                <w:lang w:val="en-US" w:eastAsia="zh-CN"/>
              </w:rPr>
              <w:t>/</w:t>
            </w:r>
          </w:p>
        </w:tc>
        <w:tc>
          <w:tcPr>
            <w:tcW w:w="1276" w:type="dxa"/>
            <w:noWrap w:val="0"/>
            <w:vAlign w:val="center"/>
          </w:tcPr>
          <w:p w14:paraId="62F7AEAE">
            <w:pPr>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eastAsia"/>
                <w:color w:val="auto"/>
                <w:sz w:val="21"/>
                <w:szCs w:val="21"/>
                <w:highlight w:val="none"/>
                <w:lang w:val="en-US" w:eastAsia="zh-CN"/>
              </w:rPr>
              <w:t>/</w:t>
            </w:r>
          </w:p>
        </w:tc>
        <w:tc>
          <w:tcPr>
            <w:tcW w:w="1701" w:type="dxa"/>
            <w:noWrap w:val="0"/>
            <w:vAlign w:val="center"/>
          </w:tcPr>
          <w:p w14:paraId="64A5C260">
            <w:pPr>
              <w:spacing w:beforeLines="0" w:afterLines="0" w:line="240" w:lineRule="auto"/>
              <w:jc w:val="center"/>
              <w:rPr>
                <w:rFonts w:hint="default" w:ascii="Times New Roman"/>
                <w:snapToGrid w:val="0"/>
                <w:color w:val="auto"/>
                <w:kern w:val="21"/>
                <w:sz w:val="21"/>
                <w:szCs w:val="21"/>
                <w:highlight w:val="none"/>
                <w:lang w:val="en-US" w:eastAsia="zh-CN" w:bidi="ar-SA"/>
              </w:rPr>
            </w:pPr>
            <w:r>
              <w:rPr>
                <w:rFonts w:hint="eastAsia"/>
                <w:color w:val="auto"/>
                <w:sz w:val="21"/>
                <w:szCs w:val="21"/>
                <w:highlight w:val="none"/>
                <w:lang w:val="en-US" w:eastAsia="zh-CN"/>
              </w:rPr>
              <w:t>/</w:t>
            </w:r>
          </w:p>
        </w:tc>
        <w:tc>
          <w:tcPr>
            <w:tcW w:w="1559" w:type="dxa"/>
            <w:noWrap w:val="0"/>
            <w:vAlign w:val="center"/>
          </w:tcPr>
          <w:p w14:paraId="041D2AC3">
            <w:pPr>
              <w:jc w:val="center"/>
              <w:rPr>
                <w:rFonts w:hint="default"/>
                <w:snapToGrid w:val="0"/>
                <w:color w:val="auto"/>
                <w:kern w:val="21"/>
                <w:sz w:val="21"/>
                <w:szCs w:val="21"/>
                <w:highlight w:val="none"/>
                <w:lang w:val="en-US" w:eastAsia="zh-CN" w:bidi="ar-SA"/>
              </w:rPr>
            </w:pPr>
            <w:r>
              <w:rPr>
                <w:rFonts w:hint="eastAsia"/>
                <w:snapToGrid w:val="0"/>
                <w:color w:val="auto"/>
                <w:kern w:val="21"/>
                <w:sz w:val="21"/>
                <w:szCs w:val="21"/>
                <w:highlight w:val="none"/>
                <w:lang w:val="en-US" w:eastAsia="zh-CN"/>
              </w:rPr>
              <w:t>0.017</w:t>
            </w:r>
            <w:r>
              <w:rPr>
                <w:color w:val="auto"/>
                <w:szCs w:val="21"/>
                <w:highlight w:val="none"/>
              </w:rPr>
              <w:t>t/a</w:t>
            </w:r>
          </w:p>
        </w:tc>
        <w:tc>
          <w:tcPr>
            <w:tcW w:w="1761" w:type="dxa"/>
            <w:noWrap w:val="0"/>
            <w:vAlign w:val="center"/>
          </w:tcPr>
          <w:p w14:paraId="3216A210">
            <w:pPr>
              <w:spacing w:beforeLines="0" w:afterLines="0" w:line="240" w:lineRule="auto"/>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w:t>
            </w:r>
          </w:p>
        </w:tc>
        <w:tc>
          <w:tcPr>
            <w:tcW w:w="1641" w:type="dxa"/>
            <w:noWrap w:val="0"/>
            <w:vAlign w:val="center"/>
          </w:tcPr>
          <w:p w14:paraId="57543FA5">
            <w:pPr>
              <w:jc w:val="center"/>
              <w:rPr>
                <w:rFonts w:hint="eastAsia"/>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w:t>
            </w:r>
          </w:p>
        </w:tc>
        <w:tc>
          <w:tcPr>
            <w:tcW w:w="1966" w:type="dxa"/>
            <w:noWrap w:val="0"/>
            <w:vAlign w:val="center"/>
          </w:tcPr>
          <w:p w14:paraId="6EFA26C7">
            <w:pPr>
              <w:jc w:val="center"/>
              <w:rPr>
                <w:rFonts w:hint="eastAsia" w:ascii="宋体" w:hAnsi="宋体" w:eastAsia="宋体" w:cs="宋体"/>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r>
      <w:tr w14:paraId="0C916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vMerge w:val="continue"/>
            <w:noWrap w:val="0"/>
            <w:vAlign w:val="center"/>
          </w:tcPr>
          <w:p w14:paraId="1D39D2C9">
            <w:pPr>
              <w:pStyle w:val="78"/>
              <w:spacing w:beforeLines="0" w:afterLines="0" w:line="240" w:lineRule="auto"/>
              <w:rPr>
                <w:rFonts w:ascii="Times New Roman" w:hAnsi="宋体"/>
                <w:snapToGrid w:val="0"/>
                <w:color w:val="auto"/>
                <w:kern w:val="21"/>
                <w:sz w:val="21"/>
                <w:szCs w:val="21"/>
                <w:highlight w:val="none"/>
                <w:lang w:val="en-US" w:eastAsia="zh-CN"/>
              </w:rPr>
            </w:pPr>
          </w:p>
        </w:tc>
        <w:tc>
          <w:tcPr>
            <w:tcW w:w="1417" w:type="dxa"/>
            <w:noWrap w:val="0"/>
            <w:vAlign w:val="center"/>
          </w:tcPr>
          <w:p w14:paraId="4638B0E4">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hAnsi="宋体"/>
                <w:b w:val="0"/>
                <w:bCs/>
                <w:color w:val="auto"/>
                <w:kern w:val="0"/>
                <w:sz w:val="21"/>
                <w:szCs w:val="21"/>
                <w:highlight w:val="none"/>
                <w:lang w:val="en-US" w:eastAsia="zh-CN"/>
              </w:rPr>
              <w:t>废包装材料</w:t>
            </w:r>
          </w:p>
        </w:tc>
        <w:tc>
          <w:tcPr>
            <w:tcW w:w="1701" w:type="dxa"/>
            <w:shd w:val="clear" w:color="auto" w:fill="auto"/>
            <w:noWrap w:val="0"/>
            <w:vAlign w:val="center"/>
          </w:tcPr>
          <w:p w14:paraId="05749FE7">
            <w:pPr>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eastAsia"/>
                <w:color w:val="auto"/>
                <w:sz w:val="21"/>
                <w:szCs w:val="21"/>
                <w:highlight w:val="none"/>
                <w:lang w:val="en-US" w:eastAsia="zh-CN"/>
              </w:rPr>
              <w:t>/</w:t>
            </w:r>
          </w:p>
        </w:tc>
        <w:tc>
          <w:tcPr>
            <w:tcW w:w="1276" w:type="dxa"/>
            <w:shd w:val="clear" w:color="auto" w:fill="auto"/>
            <w:noWrap w:val="0"/>
            <w:vAlign w:val="center"/>
          </w:tcPr>
          <w:p w14:paraId="18CF1534">
            <w:pPr>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eastAsia"/>
                <w:color w:val="auto"/>
                <w:sz w:val="21"/>
                <w:szCs w:val="21"/>
                <w:highlight w:val="none"/>
                <w:lang w:val="en-US" w:eastAsia="zh-CN"/>
              </w:rPr>
              <w:t>/</w:t>
            </w:r>
          </w:p>
        </w:tc>
        <w:tc>
          <w:tcPr>
            <w:tcW w:w="1701" w:type="dxa"/>
            <w:shd w:val="clear" w:color="auto" w:fill="auto"/>
            <w:noWrap w:val="0"/>
            <w:vAlign w:val="center"/>
          </w:tcPr>
          <w:p w14:paraId="15512F5A">
            <w:pPr>
              <w:spacing w:beforeLines="0" w:afterLines="0" w:line="240" w:lineRule="auto"/>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eastAsia"/>
                <w:color w:val="auto"/>
                <w:sz w:val="21"/>
                <w:szCs w:val="21"/>
                <w:highlight w:val="none"/>
                <w:lang w:val="en-US" w:eastAsia="zh-CN"/>
              </w:rPr>
              <w:t>/</w:t>
            </w:r>
          </w:p>
        </w:tc>
        <w:tc>
          <w:tcPr>
            <w:tcW w:w="1559" w:type="dxa"/>
            <w:noWrap w:val="0"/>
            <w:vAlign w:val="center"/>
          </w:tcPr>
          <w:p w14:paraId="7125153F">
            <w:pPr>
              <w:jc w:val="center"/>
              <w:rPr>
                <w:rFonts w:hint="eastAsia"/>
                <w:snapToGrid w:val="0"/>
                <w:color w:val="auto"/>
                <w:kern w:val="21"/>
                <w:sz w:val="21"/>
                <w:szCs w:val="21"/>
                <w:highlight w:val="none"/>
                <w:lang w:val="en-US" w:eastAsia="zh-CN"/>
              </w:rPr>
            </w:pPr>
            <w:r>
              <w:rPr>
                <w:rFonts w:hint="eastAsia"/>
                <w:b w:val="0"/>
                <w:bCs/>
                <w:color w:val="auto"/>
                <w:kern w:val="0"/>
                <w:sz w:val="21"/>
                <w:szCs w:val="21"/>
                <w:highlight w:val="none"/>
                <w:lang w:val="en-US" w:eastAsia="zh-CN"/>
              </w:rPr>
              <w:t>0.02</w:t>
            </w:r>
            <w:r>
              <w:rPr>
                <w:color w:val="auto"/>
                <w:szCs w:val="21"/>
                <w:highlight w:val="none"/>
              </w:rPr>
              <w:t>t/a</w:t>
            </w:r>
          </w:p>
        </w:tc>
        <w:tc>
          <w:tcPr>
            <w:tcW w:w="1761" w:type="dxa"/>
            <w:noWrap w:val="0"/>
            <w:vAlign w:val="center"/>
          </w:tcPr>
          <w:p w14:paraId="78C0F77E">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val="0"/>
                <w:color w:val="auto"/>
                <w:kern w:val="21"/>
                <w:szCs w:val="21"/>
                <w:highlight w:val="none"/>
                <w:lang w:val="en-US" w:eastAsia="zh-CN"/>
              </w:rPr>
              <w:t>/</w:t>
            </w:r>
          </w:p>
        </w:tc>
        <w:tc>
          <w:tcPr>
            <w:tcW w:w="1641" w:type="dxa"/>
            <w:noWrap w:val="0"/>
            <w:vAlign w:val="center"/>
          </w:tcPr>
          <w:p w14:paraId="666AF6A6">
            <w:pPr>
              <w:jc w:val="center"/>
              <w:rPr>
                <w:rFonts w:hint="eastAsia"/>
                <w:snapToGrid w:val="0"/>
                <w:color w:val="auto"/>
                <w:kern w:val="21"/>
                <w:sz w:val="21"/>
                <w:szCs w:val="21"/>
                <w:highlight w:val="none"/>
                <w:lang w:val="en-US" w:eastAsia="zh-CN"/>
              </w:rPr>
            </w:pPr>
            <w:r>
              <w:rPr>
                <w:rFonts w:hint="eastAsia" w:cs="Times New Roman"/>
                <w:snapToGrid w:val="0"/>
                <w:color w:val="auto"/>
                <w:kern w:val="21"/>
                <w:szCs w:val="21"/>
                <w:highlight w:val="none"/>
                <w:lang w:val="en-US" w:eastAsia="zh-CN"/>
              </w:rPr>
              <w:t>/</w:t>
            </w:r>
          </w:p>
        </w:tc>
        <w:tc>
          <w:tcPr>
            <w:tcW w:w="1966" w:type="dxa"/>
            <w:noWrap w:val="0"/>
            <w:vAlign w:val="center"/>
          </w:tcPr>
          <w:p w14:paraId="4210730D">
            <w:pPr>
              <w:jc w:val="center"/>
              <w:rPr>
                <w:rFonts w:hint="eastAsia" w:ascii="宋体" w:hAnsi="宋体" w:eastAsia="宋体" w:cs="宋体"/>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r>
      <w:tr w14:paraId="1E8F38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vMerge w:val="restart"/>
            <w:noWrap w:val="0"/>
            <w:vAlign w:val="center"/>
          </w:tcPr>
          <w:p w14:paraId="4FF6A3E4">
            <w:pPr>
              <w:pStyle w:val="78"/>
              <w:spacing w:beforeLines="0" w:afterLines="0" w:line="240" w:lineRule="auto"/>
              <w:rPr>
                <w:rFonts w:hint="default" w:ascii="Times New Roman" w:hAnsi="宋体"/>
                <w:snapToGrid w:val="0"/>
                <w:color w:val="auto"/>
                <w:kern w:val="21"/>
                <w:sz w:val="21"/>
                <w:szCs w:val="21"/>
                <w:highlight w:val="none"/>
                <w:lang w:val="en-US" w:eastAsia="zh-CN"/>
              </w:rPr>
            </w:pPr>
            <w:r>
              <w:rPr>
                <w:rFonts w:hint="eastAsia" w:ascii="Times New Roman" w:hAnsi="宋体"/>
                <w:snapToGrid w:val="0"/>
                <w:color w:val="auto"/>
                <w:kern w:val="21"/>
                <w:sz w:val="21"/>
                <w:szCs w:val="21"/>
                <w:highlight w:val="none"/>
                <w:lang w:val="en-US" w:eastAsia="zh-CN"/>
              </w:rPr>
              <w:t>危险废物</w:t>
            </w:r>
          </w:p>
        </w:tc>
        <w:tc>
          <w:tcPr>
            <w:tcW w:w="1417" w:type="dxa"/>
            <w:shd w:val="clear" w:color="auto" w:fill="auto"/>
            <w:noWrap w:val="0"/>
            <w:vAlign w:val="center"/>
          </w:tcPr>
          <w:p w14:paraId="10ADD012">
            <w:pPr>
              <w:adjustRightInd w:val="0"/>
              <w:snapToGrid w:val="0"/>
              <w:jc w:val="center"/>
              <w:rPr>
                <w:rFonts w:hint="eastAsia" w:ascii="Times New Roman" w:hAnsi="宋体" w:eastAsia="宋体" w:cs="Times New Roman"/>
                <w:b w:val="0"/>
                <w:bCs/>
                <w:color w:val="auto"/>
                <w:kern w:val="0"/>
                <w:sz w:val="21"/>
                <w:szCs w:val="21"/>
                <w:highlight w:val="none"/>
                <w:lang w:val="en-US" w:eastAsia="zh-CN" w:bidi="ar-SA"/>
              </w:rPr>
            </w:pPr>
            <w:r>
              <w:rPr>
                <w:rFonts w:hint="eastAsia" w:hAnsi="宋体"/>
                <w:b w:val="0"/>
                <w:bCs/>
                <w:color w:val="auto"/>
                <w:kern w:val="0"/>
                <w:sz w:val="21"/>
                <w:szCs w:val="21"/>
                <w:highlight w:val="none"/>
                <w:lang w:val="en-US" w:eastAsia="zh-CN"/>
              </w:rPr>
              <w:t>废润滑油</w:t>
            </w:r>
          </w:p>
        </w:tc>
        <w:tc>
          <w:tcPr>
            <w:tcW w:w="1701" w:type="dxa"/>
            <w:shd w:val="clear" w:color="auto" w:fill="auto"/>
            <w:noWrap w:val="0"/>
            <w:vAlign w:val="center"/>
          </w:tcPr>
          <w:p w14:paraId="78D34E2D">
            <w:pPr>
              <w:jc w:val="center"/>
              <w:rPr>
                <w:rFonts w:hint="eastAsia"/>
                <w:color w:val="auto"/>
                <w:sz w:val="21"/>
                <w:szCs w:val="21"/>
                <w:highlight w:val="none"/>
                <w:lang w:val="en-US" w:eastAsia="zh-CN"/>
              </w:rPr>
            </w:pPr>
            <w:r>
              <w:rPr>
                <w:rFonts w:hint="eastAsia"/>
                <w:color w:val="auto"/>
                <w:sz w:val="21"/>
                <w:szCs w:val="21"/>
                <w:highlight w:val="none"/>
                <w:lang w:val="en-US" w:eastAsia="zh-CN"/>
              </w:rPr>
              <w:t>/</w:t>
            </w:r>
          </w:p>
        </w:tc>
        <w:tc>
          <w:tcPr>
            <w:tcW w:w="1276" w:type="dxa"/>
            <w:shd w:val="clear" w:color="auto" w:fill="auto"/>
            <w:noWrap w:val="0"/>
            <w:vAlign w:val="center"/>
          </w:tcPr>
          <w:p w14:paraId="2B13A21C">
            <w:pPr>
              <w:jc w:val="center"/>
              <w:rPr>
                <w:rFonts w:hint="eastAsia"/>
                <w:color w:val="auto"/>
                <w:sz w:val="21"/>
                <w:szCs w:val="21"/>
                <w:highlight w:val="none"/>
                <w:lang w:val="en-US" w:eastAsia="zh-CN"/>
              </w:rPr>
            </w:pPr>
            <w:r>
              <w:rPr>
                <w:rFonts w:hint="eastAsia"/>
                <w:color w:val="auto"/>
                <w:sz w:val="21"/>
                <w:szCs w:val="21"/>
                <w:highlight w:val="none"/>
                <w:lang w:val="en-US" w:eastAsia="zh-CN"/>
              </w:rPr>
              <w:t>/</w:t>
            </w:r>
          </w:p>
        </w:tc>
        <w:tc>
          <w:tcPr>
            <w:tcW w:w="1701" w:type="dxa"/>
            <w:shd w:val="clear" w:color="auto" w:fill="auto"/>
            <w:noWrap w:val="0"/>
            <w:vAlign w:val="center"/>
          </w:tcPr>
          <w:p w14:paraId="60C96063">
            <w:pPr>
              <w:spacing w:beforeLines="0" w:afterLines="0" w:line="240" w:lineRule="auto"/>
              <w:jc w:val="center"/>
              <w:rPr>
                <w:rFonts w:hint="eastAsia" w:ascii="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559" w:type="dxa"/>
            <w:shd w:val="clear" w:color="auto" w:fill="auto"/>
            <w:noWrap w:val="0"/>
            <w:vAlign w:val="center"/>
          </w:tcPr>
          <w:p w14:paraId="474EB2E9">
            <w:pPr>
              <w:adjustRightInd w:val="0"/>
              <w:snapToGrid w:val="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b w:val="0"/>
                <w:bCs/>
                <w:color w:val="auto"/>
                <w:kern w:val="0"/>
                <w:sz w:val="21"/>
                <w:szCs w:val="21"/>
                <w:highlight w:val="none"/>
                <w:lang w:val="en-US" w:eastAsia="zh-CN"/>
              </w:rPr>
              <w:t>0.005</w:t>
            </w:r>
            <w:r>
              <w:rPr>
                <w:color w:val="auto"/>
                <w:szCs w:val="21"/>
                <w:highlight w:val="none"/>
              </w:rPr>
              <w:t>t/a</w:t>
            </w:r>
          </w:p>
        </w:tc>
        <w:tc>
          <w:tcPr>
            <w:tcW w:w="1761" w:type="dxa"/>
            <w:noWrap w:val="0"/>
            <w:vAlign w:val="center"/>
          </w:tcPr>
          <w:p w14:paraId="7C3515D2">
            <w:pPr>
              <w:spacing w:beforeLines="0" w:afterLines="0" w:line="240" w:lineRule="auto"/>
              <w:jc w:val="center"/>
              <w:rPr>
                <w:rFonts w:hint="eastAsia" w:ascii="Times New Roman" w:cs="Times New Roman"/>
                <w:snapToGrid w:val="0"/>
                <w:color w:val="auto"/>
                <w:kern w:val="21"/>
                <w:sz w:val="21"/>
                <w:szCs w:val="21"/>
                <w:highlight w:val="none"/>
                <w:lang w:val="en-US" w:eastAsia="zh-CN"/>
              </w:rPr>
            </w:pPr>
            <w:r>
              <w:rPr>
                <w:rFonts w:hint="eastAsia" w:cs="Times New Roman"/>
                <w:snapToGrid w:val="0"/>
                <w:color w:val="auto"/>
                <w:kern w:val="21"/>
                <w:szCs w:val="21"/>
                <w:highlight w:val="none"/>
                <w:lang w:val="en-US" w:eastAsia="zh-CN"/>
              </w:rPr>
              <w:t>/</w:t>
            </w:r>
          </w:p>
        </w:tc>
        <w:tc>
          <w:tcPr>
            <w:tcW w:w="1641" w:type="dxa"/>
            <w:noWrap w:val="0"/>
            <w:vAlign w:val="center"/>
          </w:tcPr>
          <w:p w14:paraId="62E7E648">
            <w:pPr>
              <w:adjustRightInd w:val="0"/>
              <w:snapToGrid w:val="0"/>
              <w:jc w:val="center"/>
              <w:rPr>
                <w:rFonts w:hint="eastAsia"/>
                <w:b w:val="0"/>
                <w:bCs/>
                <w:color w:val="auto"/>
                <w:kern w:val="0"/>
                <w:sz w:val="21"/>
                <w:szCs w:val="21"/>
                <w:highlight w:val="none"/>
                <w:lang w:val="en-US" w:eastAsia="zh-CN"/>
              </w:rPr>
            </w:pPr>
            <w:r>
              <w:rPr>
                <w:rFonts w:hint="eastAsia" w:cs="Times New Roman"/>
                <w:snapToGrid w:val="0"/>
                <w:color w:val="auto"/>
                <w:kern w:val="21"/>
                <w:szCs w:val="21"/>
                <w:highlight w:val="none"/>
                <w:lang w:val="en-US" w:eastAsia="zh-CN"/>
              </w:rPr>
              <w:t>/</w:t>
            </w:r>
          </w:p>
        </w:tc>
        <w:tc>
          <w:tcPr>
            <w:tcW w:w="1966" w:type="dxa"/>
            <w:noWrap w:val="0"/>
            <w:vAlign w:val="center"/>
          </w:tcPr>
          <w:p w14:paraId="3FB11EE4">
            <w:pPr>
              <w:adjustRightInd w:val="0"/>
              <w:snapToGrid w:val="0"/>
              <w:jc w:val="center"/>
              <w:rPr>
                <w:rFonts w:hint="eastAsia" w:ascii="宋体" w:hAnsi="宋体" w:cs="宋体"/>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r>
      <w:tr w14:paraId="223F0C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vMerge w:val="continue"/>
            <w:noWrap w:val="0"/>
            <w:vAlign w:val="center"/>
          </w:tcPr>
          <w:p w14:paraId="0F945E7C">
            <w:pPr>
              <w:pStyle w:val="78"/>
              <w:spacing w:beforeLines="0" w:afterLines="0" w:line="240" w:lineRule="auto"/>
              <w:rPr>
                <w:rFonts w:ascii="Times New Roman" w:hAnsi="宋体"/>
                <w:snapToGrid w:val="0"/>
                <w:color w:val="auto"/>
                <w:kern w:val="21"/>
                <w:sz w:val="21"/>
                <w:szCs w:val="21"/>
                <w:highlight w:val="none"/>
                <w:lang w:val="en-US" w:eastAsia="zh-CN"/>
              </w:rPr>
            </w:pPr>
          </w:p>
        </w:tc>
        <w:tc>
          <w:tcPr>
            <w:tcW w:w="1417" w:type="dxa"/>
            <w:shd w:val="clear" w:color="auto" w:fill="auto"/>
            <w:noWrap w:val="0"/>
            <w:vAlign w:val="center"/>
          </w:tcPr>
          <w:p w14:paraId="1BF5E721">
            <w:pPr>
              <w:adjustRightInd w:val="0"/>
              <w:snapToGrid w:val="0"/>
              <w:jc w:val="center"/>
              <w:rPr>
                <w:rFonts w:hint="eastAsia" w:ascii="Times New Roman" w:hAnsi="宋体" w:eastAsia="宋体" w:cs="Times New Roman"/>
                <w:b w:val="0"/>
                <w:bCs/>
                <w:color w:val="auto"/>
                <w:kern w:val="0"/>
                <w:sz w:val="21"/>
                <w:szCs w:val="21"/>
                <w:highlight w:val="none"/>
                <w:lang w:val="en-US" w:eastAsia="zh-CN" w:bidi="ar-SA"/>
              </w:rPr>
            </w:pPr>
            <w:r>
              <w:rPr>
                <w:rFonts w:hint="eastAsia" w:hAnsi="宋体"/>
                <w:b w:val="0"/>
                <w:bCs/>
                <w:color w:val="auto"/>
                <w:kern w:val="0"/>
                <w:sz w:val="21"/>
                <w:szCs w:val="21"/>
                <w:highlight w:val="none"/>
                <w:lang w:val="en-US" w:eastAsia="zh-CN"/>
              </w:rPr>
              <w:t>废油桶</w:t>
            </w:r>
          </w:p>
        </w:tc>
        <w:tc>
          <w:tcPr>
            <w:tcW w:w="1701" w:type="dxa"/>
            <w:shd w:val="clear" w:color="auto" w:fill="auto"/>
            <w:noWrap w:val="0"/>
            <w:vAlign w:val="center"/>
          </w:tcPr>
          <w:p w14:paraId="64415D3D">
            <w:pPr>
              <w:jc w:val="center"/>
              <w:rPr>
                <w:rFonts w:hint="eastAsia"/>
                <w:color w:val="auto"/>
                <w:sz w:val="21"/>
                <w:szCs w:val="21"/>
                <w:highlight w:val="none"/>
                <w:lang w:val="en-US" w:eastAsia="zh-CN"/>
              </w:rPr>
            </w:pPr>
            <w:r>
              <w:rPr>
                <w:rFonts w:hint="eastAsia"/>
                <w:color w:val="auto"/>
                <w:sz w:val="21"/>
                <w:szCs w:val="21"/>
                <w:highlight w:val="none"/>
                <w:lang w:val="en-US" w:eastAsia="zh-CN"/>
              </w:rPr>
              <w:t>/</w:t>
            </w:r>
          </w:p>
        </w:tc>
        <w:tc>
          <w:tcPr>
            <w:tcW w:w="1276" w:type="dxa"/>
            <w:shd w:val="clear" w:color="auto" w:fill="auto"/>
            <w:noWrap w:val="0"/>
            <w:vAlign w:val="center"/>
          </w:tcPr>
          <w:p w14:paraId="765F6E33">
            <w:pPr>
              <w:jc w:val="center"/>
              <w:rPr>
                <w:rFonts w:hint="eastAsia"/>
                <w:color w:val="auto"/>
                <w:sz w:val="21"/>
                <w:szCs w:val="21"/>
                <w:highlight w:val="none"/>
                <w:lang w:val="en-US" w:eastAsia="zh-CN"/>
              </w:rPr>
            </w:pPr>
            <w:r>
              <w:rPr>
                <w:rFonts w:hint="eastAsia"/>
                <w:color w:val="auto"/>
                <w:sz w:val="21"/>
                <w:szCs w:val="21"/>
                <w:highlight w:val="none"/>
                <w:lang w:val="en-US" w:eastAsia="zh-CN"/>
              </w:rPr>
              <w:t>/</w:t>
            </w:r>
          </w:p>
        </w:tc>
        <w:tc>
          <w:tcPr>
            <w:tcW w:w="1701" w:type="dxa"/>
            <w:shd w:val="clear" w:color="auto" w:fill="auto"/>
            <w:noWrap w:val="0"/>
            <w:vAlign w:val="center"/>
          </w:tcPr>
          <w:p w14:paraId="2491DC30">
            <w:pPr>
              <w:spacing w:beforeLines="0" w:afterLines="0" w:line="240" w:lineRule="auto"/>
              <w:jc w:val="center"/>
              <w:rPr>
                <w:rFonts w:hint="eastAsia" w:ascii="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559" w:type="dxa"/>
            <w:shd w:val="clear" w:color="auto" w:fill="auto"/>
            <w:noWrap w:val="0"/>
            <w:vAlign w:val="center"/>
          </w:tcPr>
          <w:p w14:paraId="519D5A2A">
            <w:pPr>
              <w:adjustRightInd w:val="0"/>
              <w:snapToGrid w:val="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b w:val="0"/>
                <w:bCs/>
                <w:color w:val="auto"/>
                <w:kern w:val="0"/>
                <w:sz w:val="21"/>
                <w:szCs w:val="21"/>
                <w:highlight w:val="none"/>
                <w:lang w:val="en-US" w:eastAsia="zh-CN"/>
              </w:rPr>
              <w:t>0.002</w:t>
            </w:r>
            <w:r>
              <w:rPr>
                <w:color w:val="auto"/>
                <w:szCs w:val="21"/>
                <w:highlight w:val="none"/>
              </w:rPr>
              <w:t>t/a</w:t>
            </w:r>
          </w:p>
        </w:tc>
        <w:tc>
          <w:tcPr>
            <w:tcW w:w="1761" w:type="dxa"/>
            <w:noWrap w:val="0"/>
            <w:vAlign w:val="center"/>
          </w:tcPr>
          <w:p w14:paraId="2A0429A4">
            <w:pPr>
              <w:spacing w:beforeLines="0" w:afterLines="0" w:line="240" w:lineRule="auto"/>
              <w:jc w:val="center"/>
              <w:rPr>
                <w:rFonts w:hint="eastAsia" w:ascii="Times New Roman" w:cs="Times New Roman"/>
                <w:snapToGrid w:val="0"/>
                <w:color w:val="auto"/>
                <w:kern w:val="21"/>
                <w:sz w:val="21"/>
                <w:szCs w:val="21"/>
                <w:highlight w:val="none"/>
                <w:lang w:val="en-US" w:eastAsia="zh-CN"/>
              </w:rPr>
            </w:pPr>
            <w:r>
              <w:rPr>
                <w:rFonts w:hint="eastAsia" w:cs="Times New Roman"/>
                <w:snapToGrid w:val="0"/>
                <w:color w:val="auto"/>
                <w:kern w:val="21"/>
                <w:szCs w:val="21"/>
                <w:highlight w:val="none"/>
                <w:lang w:val="en-US" w:eastAsia="zh-CN"/>
              </w:rPr>
              <w:t>/</w:t>
            </w:r>
          </w:p>
        </w:tc>
        <w:tc>
          <w:tcPr>
            <w:tcW w:w="1641" w:type="dxa"/>
            <w:noWrap w:val="0"/>
            <w:vAlign w:val="center"/>
          </w:tcPr>
          <w:p w14:paraId="5BA754AB">
            <w:pPr>
              <w:adjustRightInd w:val="0"/>
              <w:snapToGrid w:val="0"/>
              <w:jc w:val="center"/>
              <w:rPr>
                <w:rFonts w:hint="eastAsia"/>
                <w:b w:val="0"/>
                <w:bCs/>
                <w:color w:val="auto"/>
                <w:kern w:val="0"/>
                <w:sz w:val="21"/>
                <w:szCs w:val="21"/>
                <w:highlight w:val="none"/>
                <w:lang w:val="en-US" w:eastAsia="zh-CN"/>
              </w:rPr>
            </w:pPr>
            <w:r>
              <w:rPr>
                <w:rFonts w:hint="eastAsia" w:cs="Times New Roman"/>
                <w:snapToGrid w:val="0"/>
                <w:color w:val="auto"/>
                <w:kern w:val="21"/>
                <w:szCs w:val="21"/>
                <w:highlight w:val="none"/>
                <w:lang w:val="en-US" w:eastAsia="zh-CN"/>
              </w:rPr>
              <w:t>/</w:t>
            </w:r>
          </w:p>
        </w:tc>
        <w:tc>
          <w:tcPr>
            <w:tcW w:w="1966" w:type="dxa"/>
            <w:noWrap w:val="0"/>
            <w:vAlign w:val="center"/>
          </w:tcPr>
          <w:p w14:paraId="0CB0C09E">
            <w:pPr>
              <w:adjustRightInd w:val="0"/>
              <w:snapToGrid w:val="0"/>
              <w:jc w:val="center"/>
              <w:rPr>
                <w:rFonts w:hint="eastAsia" w:ascii="宋体" w:hAnsi="宋体" w:cs="宋体"/>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r>
      <w:tr w14:paraId="0A75CD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vMerge w:val="continue"/>
            <w:noWrap w:val="0"/>
            <w:vAlign w:val="center"/>
          </w:tcPr>
          <w:p w14:paraId="2353F3C5">
            <w:pPr>
              <w:pStyle w:val="78"/>
              <w:spacing w:beforeLines="0" w:afterLines="0" w:line="240" w:lineRule="auto"/>
              <w:rPr>
                <w:rFonts w:ascii="Times New Roman" w:hAnsi="宋体"/>
                <w:snapToGrid w:val="0"/>
                <w:color w:val="auto"/>
                <w:kern w:val="21"/>
                <w:sz w:val="21"/>
                <w:szCs w:val="21"/>
                <w:highlight w:val="none"/>
                <w:lang w:val="en-US" w:eastAsia="zh-CN"/>
              </w:rPr>
            </w:pPr>
          </w:p>
        </w:tc>
        <w:tc>
          <w:tcPr>
            <w:tcW w:w="1417" w:type="dxa"/>
            <w:shd w:val="clear" w:color="auto" w:fill="auto"/>
            <w:noWrap w:val="0"/>
            <w:vAlign w:val="center"/>
          </w:tcPr>
          <w:p w14:paraId="447FDF29">
            <w:pPr>
              <w:adjustRightInd w:val="0"/>
              <w:snapToGrid w:val="0"/>
              <w:jc w:val="center"/>
              <w:rPr>
                <w:rFonts w:hint="eastAsia" w:ascii="Times New Roman" w:hAnsi="宋体" w:eastAsia="宋体" w:cs="Times New Roman"/>
                <w:b w:val="0"/>
                <w:bCs/>
                <w:color w:val="auto"/>
                <w:kern w:val="0"/>
                <w:sz w:val="21"/>
                <w:szCs w:val="21"/>
                <w:highlight w:val="none"/>
                <w:lang w:val="en-US" w:eastAsia="zh-CN" w:bidi="ar-SA"/>
              </w:rPr>
            </w:pPr>
            <w:r>
              <w:rPr>
                <w:rFonts w:hint="eastAsia" w:hAnsi="宋体"/>
                <w:b w:val="0"/>
                <w:bCs/>
                <w:color w:val="auto"/>
                <w:kern w:val="0"/>
                <w:sz w:val="21"/>
                <w:szCs w:val="21"/>
                <w:highlight w:val="none"/>
                <w:lang w:val="en-US" w:eastAsia="zh-CN"/>
              </w:rPr>
              <w:t>废含油抹布</w:t>
            </w:r>
          </w:p>
        </w:tc>
        <w:tc>
          <w:tcPr>
            <w:tcW w:w="1701" w:type="dxa"/>
            <w:shd w:val="clear" w:color="auto" w:fill="auto"/>
            <w:noWrap w:val="0"/>
            <w:vAlign w:val="center"/>
          </w:tcPr>
          <w:p w14:paraId="7B64959C">
            <w:pPr>
              <w:jc w:val="center"/>
              <w:rPr>
                <w:rFonts w:hint="eastAsia"/>
                <w:color w:val="auto"/>
                <w:sz w:val="21"/>
                <w:szCs w:val="21"/>
                <w:highlight w:val="none"/>
                <w:lang w:val="en-US" w:eastAsia="zh-CN"/>
              </w:rPr>
            </w:pPr>
            <w:r>
              <w:rPr>
                <w:rFonts w:hint="eastAsia"/>
                <w:color w:val="auto"/>
                <w:sz w:val="21"/>
                <w:szCs w:val="21"/>
                <w:highlight w:val="none"/>
                <w:lang w:val="en-US" w:eastAsia="zh-CN"/>
              </w:rPr>
              <w:t>/</w:t>
            </w:r>
          </w:p>
        </w:tc>
        <w:tc>
          <w:tcPr>
            <w:tcW w:w="1276" w:type="dxa"/>
            <w:shd w:val="clear" w:color="auto" w:fill="auto"/>
            <w:noWrap w:val="0"/>
            <w:vAlign w:val="center"/>
          </w:tcPr>
          <w:p w14:paraId="73E7FD60">
            <w:pPr>
              <w:jc w:val="center"/>
              <w:rPr>
                <w:rFonts w:hint="eastAsia"/>
                <w:color w:val="auto"/>
                <w:sz w:val="21"/>
                <w:szCs w:val="21"/>
                <w:highlight w:val="none"/>
                <w:lang w:val="en-US" w:eastAsia="zh-CN"/>
              </w:rPr>
            </w:pPr>
            <w:r>
              <w:rPr>
                <w:rFonts w:hint="eastAsia"/>
                <w:color w:val="auto"/>
                <w:sz w:val="21"/>
                <w:szCs w:val="21"/>
                <w:highlight w:val="none"/>
                <w:lang w:val="en-US" w:eastAsia="zh-CN"/>
              </w:rPr>
              <w:t>/</w:t>
            </w:r>
          </w:p>
        </w:tc>
        <w:tc>
          <w:tcPr>
            <w:tcW w:w="1701" w:type="dxa"/>
            <w:shd w:val="clear" w:color="auto" w:fill="auto"/>
            <w:noWrap w:val="0"/>
            <w:vAlign w:val="center"/>
          </w:tcPr>
          <w:p w14:paraId="53F8B6D9">
            <w:pPr>
              <w:spacing w:beforeLines="0" w:afterLines="0" w:line="240" w:lineRule="auto"/>
              <w:jc w:val="center"/>
              <w:rPr>
                <w:rFonts w:hint="eastAsia" w:ascii="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559" w:type="dxa"/>
            <w:shd w:val="clear" w:color="auto" w:fill="auto"/>
            <w:noWrap w:val="0"/>
            <w:vAlign w:val="center"/>
          </w:tcPr>
          <w:p w14:paraId="413A7EB4">
            <w:pPr>
              <w:adjustRightInd w:val="0"/>
              <w:snapToGrid w:val="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b w:val="0"/>
                <w:bCs/>
                <w:color w:val="auto"/>
                <w:kern w:val="0"/>
                <w:sz w:val="21"/>
                <w:szCs w:val="21"/>
                <w:highlight w:val="none"/>
                <w:lang w:val="en-US" w:eastAsia="zh-CN"/>
              </w:rPr>
              <w:t>0.001</w:t>
            </w:r>
            <w:r>
              <w:rPr>
                <w:color w:val="auto"/>
                <w:szCs w:val="21"/>
                <w:highlight w:val="none"/>
              </w:rPr>
              <w:t>t/a</w:t>
            </w:r>
          </w:p>
        </w:tc>
        <w:tc>
          <w:tcPr>
            <w:tcW w:w="1761" w:type="dxa"/>
            <w:noWrap w:val="0"/>
            <w:vAlign w:val="center"/>
          </w:tcPr>
          <w:p w14:paraId="691EE8A7">
            <w:pPr>
              <w:spacing w:beforeLines="0" w:afterLines="0" w:line="240" w:lineRule="auto"/>
              <w:jc w:val="center"/>
              <w:rPr>
                <w:rFonts w:hint="eastAsia" w:ascii="Times New Roman" w:cs="Times New Roman"/>
                <w:snapToGrid w:val="0"/>
                <w:color w:val="auto"/>
                <w:kern w:val="21"/>
                <w:sz w:val="21"/>
                <w:szCs w:val="21"/>
                <w:highlight w:val="none"/>
                <w:lang w:val="en-US" w:eastAsia="zh-CN"/>
              </w:rPr>
            </w:pPr>
            <w:r>
              <w:rPr>
                <w:rFonts w:hint="eastAsia" w:cs="Times New Roman"/>
                <w:snapToGrid w:val="0"/>
                <w:color w:val="auto"/>
                <w:kern w:val="21"/>
                <w:szCs w:val="21"/>
                <w:highlight w:val="none"/>
                <w:lang w:val="en-US" w:eastAsia="zh-CN"/>
              </w:rPr>
              <w:t>/</w:t>
            </w:r>
          </w:p>
        </w:tc>
        <w:tc>
          <w:tcPr>
            <w:tcW w:w="1641" w:type="dxa"/>
            <w:noWrap w:val="0"/>
            <w:vAlign w:val="center"/>
          </w:tcPr>
          <w:p w14:paraId="3064ED87">
            <w:pPr>
              <w:adjustRightInd w:val="0"/>
              <w:snapToGrid w:val="0"/>
              <w:jc w:val="center"/>
              <w:rPr>
                <w:rFonts w:hint="eastAsia"/>
                <w:b w:val="0"/>
                <w:bCs/>
                <w:color w:val="auto"/>
                <w:kern w:val="0"/>
                <w:sz w:val="21"/>
                <w:szCs w:val="21"/>
                <w:highlight w:val="none"/>
                <w:lang w:val="en-US" w:eastAsia="zh-CN"/>
              </w:rPr>
            </w:pPr>
            <w:r>
              <w:rPr>
                <w:rFonts w:hint="eastAsia" w:cs="Times New Roman"/>
                <w:snapToGrid w:val="0"/>
                <w:color w:val="auto"/>
                <w:kern w:val="21"/>
                <w:szCs w:val="21"/>
                <w:highlight w:val="none"/>
                <w:lang w:val="en-US" w:eastAsia="zh-CN"/>
              </w:rPr>
              <w:t>/</w:t>
            </w:r>
          </w:p>
        </w:tc>
        <w:tc>
          <w:tcPr>
            <w:tcW w:w="1966" w:type="dxa"/>
            <w:noWrap w:val="0"/>
            <w:vAlign w:val="center"/>
          </w:tcPr>
          <w:p w14:paraId="011E082B">
            <w:pPr>
              <w:adjustRightInd w:val="0"/>
              <w:snapToGrid w:val="0"/>
              <w:jc w:val="center"/>
              <w:rPr>
                <w:rFonts w:hint="eastAsia" w:ascii="宋体" w:hAnsi="宋体" w:cs="宋体"/>
                <w:color w:val="auto"/>
                <w:kern w:val="2"/>
                <w:sz w:val="21"/>
                <w:szCs w:val="21"/>
                <w:highlight w:val="none"/>
                <w:lang w:val="en-US" w:eastAsia="zh-CN" w:bidi="ar-SA"/>
              </w:rPr>
            </w:pPr>
            <w:r>
              <w:rPr>
                <w:rFonts w:hint="eastAsia" w:cs="Times New Roman"/>
                <w:snapToGrid w:val="0"/>
                <w:color w:val="auto"/>
                <w:kern w:val="21"/>
                <w:szCs w:val="21"/>
                <w:highlight w:val="none"/>
                <w:lang w:val="en-US" w:eastAsia="zh-CN"/>
              </w:rPr>
              <w:t>/</w:t>
            </w:r>
          </w:p>
        </w:tc>
      </w:tr>
      <w:tr w14:paraId="3FB2C5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88" w:type="dxa"/>
            <w:noWrap w:val="0"/>
            <w:vAlign w:val="center"/>
          </w:tcPr>
          <w:p w14:paraId="32BD6930">
            <w:pPr>
              <w:pStyle w:val="78"/>
              <w:spacing w:beforeLines="0" w:afterLines="0" w:line="240" w:lineRule="auto"/>
              <w:rPr>
                <w:rFonts w:ascii="Times New Roman" w:hAnsi="宋体"/>
                <w:snapToGrid w:val="0"/>
                <w:color w:val="auto"/>
                <w:kern w:val="21"/>
                <w:sz w:val="21"/>
                <w:szCs w:val="21"/>
                <w:highlight w:val="none"/>
                <w:lang w:val="en-US" w:eastAsia="zh-CN"/>
              </w:rPr>
            </w:pPr>
            <w:r>
              <w:rPr>
                <w:rFonts w:ascii="Times New Roman" w:hAnsi="宋体"/>
                <w:snapToGrid w:val="0"/>
                <w:color w:val="auto"/>
                <w:kern w:val="21"/>
                <w:sz w:val="21"/>
                <w:szCs w:val="21"/>
                <w:highlight w:val="none"/>
                <w:lang w:val="en-US" w:eastAsia="zh-CN"/>
              </w:rPr>
              <w:t>生活垃圾</w:t>
            </w:r>
          </w:p>
        </w:tc>
        <w:tc>
          <w:tcPr>
            <w:tcW w:w="1417" w:type="dxa"/>
            <w:noWrap w:val="0"/>
            <w:vAlign w:val="center"/>
          </w:tcPr>
          <w:p w14:paraId="5AB0F2F3">
            <w:pPr>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bidi="en-US"/>
              </w:rPr>
              <w:t>生活垃圾</w:t>
            </w:r>
          </w:p>
        </w:tc>
        <w:tc>
          <w:tcPr>
            <w:tcW w:w="1701" w:type="dxa"/>
            <w:noWrap w:val="0"/>
            <w:vAlign w:val="center"/>
          </w:tcPr>
          <w:p w14:paraId="6387CD10">
            <w:pPr>
              <w:jc w:val="center"/>
              <w:rPr>
                <w:rFonts w:hint="eastAsia" w:ascii="Times New Roman" w:hAnsi="Times New Roman" w:eastAsia="宋体" w:cs="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276" w:type="dxa"/>
            <w:noWrap w:val="0"/>
            <w:vAlign w:val="center"/>
          </w:tcPr>
          <w:p w14:paraId="63577A94">
            <w:pPr>
              <w:jc w:val="center"/>
              <w:rPr>
                <w:rFonts w:hint="eastAsia" w:ascii="Times New Roman" w:hAnsi="Times New Roman" w:eastAsia="宋体" w:cs="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701" w:type="dxa"/>
            <w:noWrap w:val="0"/>
            <w:vAlign w:val="center"/>
          </w:tcPr>
          <w:p w14:paraId="2A54394B">
            <w:pPr>
              <w:spacing w:beforeLines="0" w:afterLines="0" w:line="240" w:lineRule="auto"/>
              <w:jc w:val="center"/>
              <w:rPr>
                <w:rFonts w:ascii="Times New Roman"/>
                <w:snapToGrid w:val="0"/>
                <w:color w:val="auto"/>
                <w:kern w:val="21"/>
                <w:sz w:val="21"/>
                <w:szCs w:val="21"/>
                <w:highlight w:val="none"/>
                <w:lang w:val="en-US" w:eastAsia="zh-CN"/>
              </w:rPr>
            </w:pPr>
            <w:r>
              <w:rPr>
                <w:rFonts w:hint="eastAsia"/>
                <w:color w:val="auto"/>
                <w:sz w:val="21"/>
                <w:szCs w:val="21"/>
                <w:highlight w:val="none"/>
                <w:lang w:val="en-US" w:eastAsia="zh-CN"/>
              </w:rPr>
              <w:t>/</w:t>
            </w:r>
          </w:p>
        </w:tc>
        <w:tc>
          <w:tcPr>
            <w:tcW w:w="1559" w:type="dxa"/>
            <w:noWrap w:val="0"/>
            <w:vAlign w:val="center"/>
          </w:tcPr>
          <w:p w14:paraId="6080332A">
            <w:pPr>
              <w:jc w:val="center"/>
              <w:rPr>
                <w:rFonts w:hint="eastAsia" w:eastAsia="宋体"/>
                <w:snapToGrid w:val="0"/>
                <w:color w:val="auto"/>
                <w:kern w:val="21"/>
                <w:sz w:val="21"/>
                <w:szCs w:val="21"/>
                <w:highlight w:val="none"/>
                <w:lang w:eastAsia="zh-CN"/>
              </w:rPr>
            </w:pPr>
            <w:r>
              <w:rPr>
                <w:rFonts w:hint="eastAsia"/>
                <w:snapToGrid w:val="0"/>
                <w:color w:val="auto"/>
                <w:kern w:val="21"/>
                <w:sz w:val="21"/>
                <w:szCs w:val="21"/>
                <w:highlight w:val="none"/>
                <w:lang w:val="en-US" w:eastAsia="zh-CN"/>
              </w:rPr>
              <w:t>0</w:t>
            </w:r>
          </w:p>
        </w:tc>
        <w:tc>
          <w:tcPr>
            <w:tcW w:w="1761" w:type="dxa"/>
            <w:noWrap w:val="0"/>
            <w:vAlign w:val="center"/>
          </w:tcPr>
          <w:p w14:paraId="3EE9EA7C">
            <w:pPr>
              <w:spacing w:beforeLines="0" w:afterLines="0" w:line="240" w:lineRule="auto"/>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w:t>
            </w:r>
          </w:p>
        </w:tc>
        <w:tc>
          <w:tcPr>
            <w:tcW w:w="1641" w:type="dxa"/>
            <w:noWrap w:val="0"/>
            <w:vAlign w:val="center"/>
          </w:tcPr>
          <w:p w14:paraId="41A054AC">
            <w:pPr>
              <w:jc w:val="center"/>
              <w:rPr>
                <w:snapToGrid w:val="0"/>
                <w:color w:val="auto"/>
                <w:kern w:val="21"/>
                <w:sz w:val="21"/>
                <w:szCs w:val="21"/>
                <w:highlight w:val="none"/>
              </w:rPr>
            </w:pPr>
            <w:r>
              <w:rPr>
                <w:rFonts w:hint="eastAsia" w:cs="Times New Roman"/>
                <w:snapToGrid w:val="0"/>
                <w:color w:val="auto"/>
                <w:kern w:val="21"/>
                <w:szCs w:val="21"/>
                <w:highlight w:val="none"/>
                <w:lang w:val="en-US" w:eastAsia="zh-CN"/>
              </w:rPr>
              <w:t>/</w:t>
            </w:r>
          </w:p>
        </w:tc>
        <w:tc>
          <w:tcPr>
            <w:tcW w:w="1966" w:type="dxa"/>
            <w:noWrap w:val="0"/>
            <w:vAlign w:val="center"/>
          </w:tcPr>
          <w:p w14:paraId="74C438C7">
            <w:pPr>
              <w:jc w:val="center"/>
              <w:rPr>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w:t>
            </w:r>
          </w:p>
        </w:tc>
      </w:tr>
    </w:tbl>
    <w:p w14:paraId="78585036">
      <w:pPr>
        <w:rPr>
          <w:snapToGrid w:val="0"/>
          <w:color w:val="auto"/>
          <w:spacing w:val="-6"/>
          <w:kern w:val="21"/>
          <w:szCs w:val="21"/>
          <w:highlight w:val="none"/>
        </w:rPr>
      </w:pPr>
      <w:r>
        <w:rPr>
          <w:rFonts w:hAnsi="宋体"/>
          <w:snapToGrid w:val="0"/>
          <w:color w:val="auto"/>
          <w:kern w:val="21"/>
          <w:szCs w:val="21"/>
          <w:highlight w:val="none"/>
        </w:rPr>
        <w:t>注：</w:t>
      </w:r>
      <w:r>
        <w:rPr>
          <w:snapToGrid w:val="0"/>
          <w:color w:val="auto"/>
          <w:spacing w:val="-16"/>
          <w:kern w:val="21"/>
          <w:szCs w:val="21"/>
          <w:highlight w:val="none"/>
        </w:rPr>
        <w:fldChar w:fldCharType="begin"/>
      </w:r>
      <w:r>
        <w:rPr>
          <w:snapToGrid w:val="0"/>
          <w:color w:val="auto"/>
          <w:spacing w:val="-16"/>
          <w:kern w:val="21"/>
          <w:szCs w:val="21"/>
          <w:highlight w:val="none"/>
        </w:rPr>
        <w:instrText xml:space="preserve"> = 6 \* GB3 \* MERGEFORMAT </w:instrText>
      </w:r>
      <w:r>
        <w:rPr>
          <w:snapToGrid w:val="0"/>
          <w:color w:val="auto"/>
          <w:spacing w:val="-16"/>
          <w:kern w:val="21"/>
          <w:szCs w:val="21"/>
          <w:highlight w:val="none"/>
        </w:rPr>
        <w:fldChar w:fldCharType="separate"/>
      </w:r>
      <w:r>
        <w:rPr>
          <w:rFonts w:hAnsi="宋体"/>
          <w:color w:val="auto"/>
          <w:szCs w:val="21"/>
          <w:highlight w:val="none"/>
        </w:rPr>
        <w:t>⑥</w:t>
      </w:r>
      <w:r>
        <w:rPr>
          <w:snapToGrid w:val="0"/>
          <w:color w:val="auto"/>
          <w:spacing w:val="-16"/>
          <w:kern w:val="21"/>
          <w:szCs w:val="21"/>
          <w:highlight w:val="none"/>
        </w:rPr>
        <w:fldChar w:fldCharType="end"/>
      </w:r>
      <w:r>
        <w:rPr>
          <w:snapToGrid w:val="0"/>
          <w:color w:val="auto"/>
          <w:spacing w:val="-16"/>
          <w:kern w:val="21"/>
          <w:szCs w:val="21"/>
          <w:highlight w:val="none"/>
        </w:rPr>
        <w:t>=</w:t>
      </w:r>
      <w:r>
        <w:rPr>
          <w:snapToGrid w:val="0"/>
          <w:color w:val="auto"/>
          <w:spacing w:val="-6"/>
          <w:kern w:val="21"/>
          <w:szCs w:val="21"/>
          <w:highlight w:val="none"/>
        </w:rPr>
        <w:fldChar w:fldCharType="begin"/>
      </w:r>
      <w:r>
        <w:rPr>
          <w:snapToGrid w:val="0"/>
          <w:color w:val="auto"/>
          <w:spacing w:val="-6"/>
          <w:kern w:val="21"/>
          <w:szCs w:val="21"/>
          <w:highlight w:val="none"/>
        </w:rPr>
        <w:instrText xml:space="preserve"> = 1 \* GB3 \* MERGEFORMAT </w:instrText>
      </w:r>
      <w:r>
        <w:rPr>
          <w:snapToGrid w:val="0"/>
          <w:color w:val="auto"/>
          <w:spacing w:val="-6"/>
          <w:kern w:val="21"/>
          <w:szCs w:val="21"/>
          <w:highlight w:val="none"/>
        </w:rPr>
        <w:fldChar w:fldCharType="separate"/>
      </w:r>
      <w:r>
        <w:rPr>
          <w:rFonts w:hAnsi="宋体"/>
          <w:color w:val="auto"/>
          <w:szCs w:val="21"/>
          <w:highlight w:val="none"/>
        </w:rPr>
        <w:t>①</w:t>
      </w:r>
      <w:r>
        <w:rPr>
          <w:snapToGrid w:val="0"/>
          <w:color w:val="auto"/>
          <w:spacing w:val="-6"/>
          <w:kern w:val="21"/>
          <w:szCs w:val="21"/>
          <w:highlight w:val="none"/>
        </w:rPr>
        <w:fldChar w:fldCharType="end"/>
      </w:r>
      <w:r>
        <w:rPr>
          <w:snapToGrid w:val="0"/>
          <w:color w:val="auto"/>
          <w:spacing w:val="-6"/>
          <w:kern w:val="21"/>
          <w:szCs w:val="21"/>
          <w:highlight w:val="none"/>
        </w:rPr>
        <w:t>+</w:t>
      </w:r>
      <w:r>
        <w:rPr>
          <w:snapToGrid w:val="0"/>
          <w:color w:val="auto"/>
          <w:spacing w:val="-6"/>
          <w:kern w:val="21"/>
          <w:szCs w:val="21"/>
          <w:highlight w:val="none"/>
        </w:rPr>
        <w:fldChar w:fldCharType="begin"/>
      </w:r>
      <w:r>
        <w:rPr>
          <w:snapToGrid w:val="0"/>
          <w:color w:val="auto"/>
          <w:spacing w:val="-6"/>
          <w:kern w:val="21"/>
          <w:szCs w:val="21"/>
          <w:highlight w:val="none"/>
        </w:rPr>
        <w:instrText xml:space="preserve"> = 3 \* GB3 \* MERGEFORMAT </w:instrText>
      </w:r>
      <w:r>
        <w:rPr>
          <w:snapToGrid w:val="0"/>
          <w:color w:val="auto"/>
          <w:spacing w:val="-6"/>
          <w:kern w:val="21"/>
          <w:szCs w:val="21"/>
          <w:highlight w:val="none"/>
        </w:rPr>
        <w:fldChar w:fldCharType="separate"/>
      </w:r>
      <w:r>
        <w:rPr>
          <w:rFonts w:hAnsi="宋体"/>
          <w:color w:val="auto"/>
          <w:szCs w:val="21"/>
          <w:highlight w:val="none"/>
        </w:rPr>
        <w:t>③</w:t>
      </w:r>
      <w:r>
        <w:rPr>
          <w:snapToGrid w:val="0"/>
          <w:color w:val="auto"/>
          <w:spacing w:val="-6"/>
          <w:kern w:val="21"/>
          <w:szCs w:val="21"/>
          <w:highlight w:val="none"/>
        </w:rPr>
        <w:fldChar w:fldCharType="end"/>
      </w:r>
      <w:r>
        <w:rPr>
          <w:snapToGrid w:val="0"/>
          <w:color w:val="auto"/>
          <w:spacing w:val="-6"/>
          <w:kern w:val="21"/>
          <w:szCs w:val="21"/>
          <w:highlight w:val="none"/>
        </w:rPr>
        <w:t>+</w:t>
      </w:r>
      <w:r>
        <w:rPr>
          <w:snapToGrid w:val="0"/>
          <w:color w:val="auto"/>
          <w:spacing w:val="-6"/>
          <w:kern w:val="21"/>
          <w:szCs w:val="21"/>
          <w:highlight w:val="none"/>
        </w:rPr>
        <w:fldChar w:fldCharType="begin"/>
      </w:r>
      <w:r>
        <w:rPr>
          <w:snapToGrid w:val="0"/>
          <w:color w:val="auto"/>
          <w:spacing w:val="-6"/>
          <w:kern w:val="21"/>
          <w:szCs w:val="21"/>
          <w:highlight w:val="none"/>
        </w:rPr>
        <w:instrText xml:space="preserve"> = 4 \* GB3 \* MERGEFORMAT </w:instrText>
      </w:r>
      <w:r>
        <w:rPr>
          <w:snapToGrid w:val="0"/>
          <w:color w:val="auto"/>
          <w:spacing w:val="-6"/>
          <w:kern w:val="21"/>
          <w:szCs w:val="21"/>
          <w:highlight w:val="none"/>
        </w:rPr>
        <w:fldChar w:fldCharType="separate"/>
      </w:r>
      <w:r>
        <w:rPr>
          <w:rFonts w:hAnsi="宋体"/>
          <w:color w:val="auto"/>
          <w:szCs w:val="21"/>
          <w:highlight w:val="none"/>
        </w:rPr>
        <w:t>④</w:t>
      </w:r>
      <w:r>
        <w:rPr>
          <w:snapToGrid w:val="0"/>
          <w:color w:val="auto"/>
          <w:spacing w:val="-6"/>
          <w:kern w:val="21"/>
          <w:szCs w:val="21"/>
          <w:highlight w:val="none"/>
        </w:rPr>
        <w:fldChar w:fldCharType="end"/>
      </w:r>
      <w:r>
        <w:rPr>
          <w:snapToGrid w:val="0"/>
          <w:color w:val="auto"/>
          <w:spacing w:val="-6"/>
          <w:kern w:val="21"/>
          <w:szCs w:val="21"/>
          <w:highlight w:val="none"/>
        </w:rPr>
        <w:t>-</w:t>
      </w:r>
      <w:r>
        <w:rPr>
          <w:snapToGrid w:val="0"/>
          <w:color w:val="auto"/>
          <w:spacing w:val="-16"/>
          <w:kern w:val="21"/>
          <w:szCs w:val="21"/>
          <w:highlight w:val="none"/>
        </w:rPr>
        <w:fldChar w:fldCharType="begin"/>
      </w:r>
      <w:r>
        <w:rPr>
          <w:snapToGrid w:val="0"/>
          <w:color w:val="auto"/>
          <w:spacing w:val="-16"/>
          <w:kern w:val="21"/>
          <w:szCs w:val="21"/>
          <w:highlight w:val="none"/>
        </w:rPr>
        <w:instrText xml:space="preserve"> = 5 \* GB3 \* MERGEFORMAT </w:instrText>
      </w:r>
      <w:r>
        <w:rPr>
          <w:snapToGrid w:val="0"/>
          <w:color w:val="auto"/>
          <w:spacing w:val="-16"/>
          <w:kern w:val="21"/>
          <w:szCs w:val="21"/>
          <w:highlight w:val="none"/>
        </w:rPr>
        <w:fldChar w:fldCharType="separate"/>
      </w:r>
      <w:r>
        <w:rPr>
          <w:rFonts w:hAnsi="宋体"/>
          <w:color w:val="auto"/>
          <w:szCs w:val="21"/>
          <w:highlight w:val="none"/>
        </w:rPr>
        <w:t>⑤</w:t>
      </w:r>
      <w:r>
        <w:rPr>
          <w:snapToGrid w:val="0"/>
          <w:color w:val="auto"/>
          <w:spacing w:val="-16"/>
          <w:kern w:val="21"/>
          <w:szCs w:val="21"/>
          <w:highlight w:val="none"/>
        </w:rPr>
        <w:fldChar w:fldCharType="end"/>
      </w:r>
      <w:r>
        <w:rPr>
          <w:rFonts w:hAnsi="宋体"/>
          <w:snapToGrid w:val="0"/>
          <w:color w:val="auto"/>
          <w:spacing w:val="-16"/>
          <w:kern w:val="21"/>
          <w:szCs w:val="21"/>
          <w:highlight w:val="none"/>
        </w:rPr>
        <w:t>；</w:t>
      </w:r>
      <w:r>
        <w:rPr>
          <w:snapToGrid w:val="0"/>
          <w:color w:val="auto"/>
          <w:spacing w:val="-6"/>
          <w:kern w:val="21"/>
          <w:szCs w:val="21"/>
          <w:highlight w:val="none"/>
        </w:rPr>
        <w:fldChar w:fldCharType="begin"/>
      </w:r>
      <w:r>
        <w:rPr>
          <w:snapToGrid w:val="0"/>
          <w:color w:val="auto"/>
          <w:spacing w:val="-6"/>
          <w:kern w:val="21"/>
          <w:szCs w:val="21"/>
          <w:highlight w:val="none"/>
        </w:rPr>
        <w:instrText xml:space="preserve"> = 7 \* GB3 \* MERGEFORMAT </w:instrText>
      </w:r>
      <w:r>
        <w:rPr>
          <w:snapToGrid w:val="0"/>
          <w:color w:val="auto"/>
          <w:spacing w:val="-6"/>
          <w:kern w:val="21"/>
          <w:szCs w:val="21"/>
          <w:highlight w:val="none"/>
        </w:rPr>
        <w:fldChar w:fldCharType="separate"/>
      </w:r>
      <w:r>
        <w:rPr>
          <w:rFonts w:hAnsi="宋体"/>
          <w:color w:val="auto"/>
          <w:szCs w:val="21"/>
          <w:highlight w:val="none"/>
        </w:rPr>
        <w:t>⑦</w:t>
      </w:r>
      <w:r>
        <w:rPr>
          <w:snapToGrid w:val="0"/>
          <w:color w:val="auto"/>
          <w:spacing w:val="-6"/>
          <w:kern w:val="21"/>
          <w:szCs w:val="21"/>
          <w:highlight w:val="none"/>
        </w:rPr>
        <w:fldChar w:fldCharType="end"/>
      </w:r>
      <w:r>
        <w:rPr>
          <w:snapToGrid w:val="0"/>
          <w:color w:val="auto"/>
          <w:spacing w:val="-6"/>
          <w:kern w:val="21"/>
          <w:szCs w:val="21"/>
          <w:highlight w:val="none"/>
        </w:rPr>
        <w:t>=</w:t>
      </w:r>
      <w:r>
        <w:rPr>
          <w:snapToGrid w:val="0"/>
          <w:color w:val="auto"/>
          <w:spacing w:val="-16"/>
          <w:kern w:val="21"/>
          <w:szCs w:val="21"/>
          <w:highlight w:val="none"/>
        </w:rPr>
        <w:fldChar w:fldCharType="begin"/>
      </w:r>
      <w:r>
        <w:rPr>
          <w:snapToGrid w:val="0"/>
          <w:color w:val="auto"/>
          <w:spacing w:val="-16"/>
          <w:kern w:val="21"/>
          <w:szCs w:val="21"/>
          <w:highlight w:val="none"/>
        </w:rPr>
        <w:instrText xml:space="preserve"> = 6 \* GB3 \* MERGEFORMAT </w:instrText>
      </w:r>
      <w:r>
        <w:rPr>
          <w:snapToGrid w:val="0"/>
          <w:color w:val="auto"/>
          <w:spacing w:val="-16"/>
          <w:kern w:val="21"/>
          <w:szCs w:val="21"/>
          <w:highlight w:val="none"/>
        </w:rPr>
        <w:fldChar w:fldCharType="separate"/>
      </w:r>
      <w:r>
        <w:rPr>
          <w:rFonts w:hAnsi="宋体"/>
          <w:color w:val="auto"/>
          <w:szCs w:val="21"/>
          <w:highlight w:val="none"/>
        </w:rPr>
        <w:t>⑥</w:t>
      </w:r>
      <w:r>
        <w:rPr>
          <w:snapToGrid w:val="0"/>
          <w:color w:val="auto"/>
          <w:spacing w:val="-16"/>
          <w:kern w:val="21"/>
          <w:szCs w:val="21"/>
          <w:highlight w:val="none"/>
        </w:rPr>
        <w:fldChar w:fldCharType="end"/>
      </w:r>
      <w:r>
        <w:rPr>
          <w:snapToGrid w:val="0"/>
          <w:color w:val="auto"/>
          <w:spacing w:val="-16"/>
          <w:kern w:val="21"/>
          <w:szCs w:val="21"/>
          <w:highlight w:val="none"/>
        </w:rPr>
        <w:t>-</w:t>
      </w:r>
      <w:r>
        <w:rPr>
          <w:snapToGrid w:val="0"/>
          <w:color w:val="auto"/>
          <w:spacing w:val="-6"/>
          <w:kern w:val="21"/>
          <w:szCs w:val="21"/>
          <w:highlight w:val="none"/>
        </w:rPr>
        <w:fldChar w:fldCharType="begin"/>
      </w:r>
      <w:r>
        <w:rPr>
          <w:snapToGrid w:val="0"/>
          <w:color w:val="auto"/>
          <w:spacing w:val="-6"/>
          <w:kern w:val="21"/>
          <w:szCs w:val="21"/>
          <w:highlight w:val="none"/>
        </w:rPr>
        <w:instrText xml:space="preserve"> = 1 \* GB3 \* MERGEFORMAT </w:instrText>
      </w:r>
      <w:r>
        <w:rPr>
          <w:snapToGrid w:val="0"/>
          <w:color w:val="auto"/>
          <w:spacing w:val="-6"/>
          <w:kern w:val="21"/>
          <w:szCs w:val="21"/>
          <w:highlight w:val="none"/>
        </w:rPr>
        <w:fldChar w:fldCharType="separate"/>
      </w:r>
      <w:r>
        <w:rPr>
          <w:rFonts w:hAnsi="宋体"/>
          <w:color w:val="auto"/>
          <w:szCs w:val="21"/>
          <w:highlight w:val="none"/>
        </w:rPr>
        <w:t>①</w:t>
      </w:r>
      <w:r>
        <w:rPr>
          <w:snapToGrid w:val="0"/>
          <w:color w:val="auto"/>
          <w:spacing w:val="-6"/>
          <w:kern w:val="21"/>
          <w:szCs w:val="21"/>
          <w:highlight w:val="none"/>
        </w:rPr>
        <w:fldChar w:fldCharType="end"/>
      </w:r>
    </w:p>
    <w:p w14:paraId="18C9417F">
      <w:pPr>
        <w:rPr>
          <w:rFonts w:hint="eastAsia"/>
          <w:color w:val="auto"/>
          <w:highlight w:val="green"/>
          <w:lang w:val="en-US" w:eastAsia="zh-CN"/>
        </w:rPr>
      </w:pPr>
    </w:p>
    <w:sectPr>
      <w:headerReference r:id="rId7" w:type="default"/>
      <w:footerReference r:id="rId8" w:type="default"/>
      <w:pgSz w:w="16838" w:h="11905" w:orient="landscape"/>
      <w:pgMar w:top="1247" w:right="1134" w:bottom="1134" w:left="1134" w:header="851" w:footer="1077"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cript"/>
    <w:pitch w:val="default"/>
    <w:sig w:usb0="00000000" w:usb1="00000000"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体">
    <w:altName w:val="方正仿宋_GBK"/>
    <w:panose1 w:val="00000000000000000000"/>
    <w:charset w:val="86"/>
    <w:family w:val="roma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Georgia">
    <w:altName w:val="Noto Sans Syriac Eastern"/>
    <w:panose1 w:val="02040502050405020303"/>
    <w:charset w:val="00"/>
    <w:family w:val="roman"/>
    <w:pitch w:val="default"/>
    <w:sig w:usb0="00000000" w:usb1="00000000" w:usb2="00000000" w:usb3="00000000" w:csb0="2000009F" w:csb1="00000000"/>
  </w:font>
  <w:font w:name="TimesNewRomanPSMT">
    <w:altName w:val="DejaVu Sans"/>
    <w:panose1 w:val="00000000000000000000"/>
    <w:charset w:val="80"/>
    <w:family w:val="auto"/>
    <w:pitch w:val="default"/>
    <w:sig w:usb0="00000000" w:usb1="00000000" w:usb2="00000010" w:usb3="00000000" w:csb0="00060001"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新宋体">
    <w:altName w:val="方正书宋_GBK"/>
    <w:panose1 w:val="02010609030101010101"/>
    <w:charset w:val="86"/>
    <w:family w:val="modern"/>
    <w:pitch w:val="default"/>
    <w:sig w:usb0="00000000" w:usb1="0000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D0255">
    <w:pPr>
      <w:pStyle w:val="2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362B3">
    <w:pPr>
      <w:pStyle w:val="23"/>
      <w:framePr w:wrap="around" w:vAnchor="text" w:hAnchor="margin" w:xAlign="outside" w:y="1"/>
      <w:rPr>
        <w:rStyle w:val="41"/>
      </w:rPr>
    </w:pPr>
    <w:r>
      <w:rPr>
        <w:rStyle w:val="41"/>
      </w:rPr>
      <w:fldChar w:fldCharType="begin"/>
    </w:r>
    <w:r>
      <w:rPr>
        <w:rStyle w:val="41"/>
      </w:rPr>
      <w:instrText xml:space="preserve">PAGE  </w:instrText>
    </w:r>
    <w:r>
      <w:rPr>
        <w:rStyle w:val="41"/>
      </w:rPr>
      <w:fldChar w:fldCharType="end"/>
    </w:r>
  </w:p>
  <w:p w14:paraId="272108CA">
    <w:pPr>
      <w:pStyle w:val="2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5D67A">
    <w:pPr>
      <w:pStyle w:val="2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D79EB4">
                          <w:pPr>
                            <w:pStyle w:val="2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jg1h9d8BAADAAwAADgAAAAAA&#10;AAABACAAAAAeAQAAZHJzL2Uyb0RvYy54bWxQSwUGAAAAAAYABgBZAQAAbwUAAAAA&#10;">
              <v:fill on="f" focussize="0,0"/>
              <v:stroke on="f"/>
              <v:imagedata o:title=""/>
              <o:lock v:ext="edit" aspectratio="f"/>
              <v:textbox inset="0mm,0mm,0mm,0mm" style="mso-fit-shape-to-text:t;">
                <w:txbxContent>
                  <w:p w14:paraId="5BD79EB4">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4B34B">
    <w:pPr>
      <w:pStyle w:val="2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08915" cy="146685"/>
              <wp:effectExtent l="0" t="0" r="0" b="0"/>
              <wp:wrapNone/>
              <wp:docPr id="225" name="Text Box 3"/>
              <wp:cNvGraphicFramePr/>
              <a:graphic xmlns:a="http://schemas.openxmlformats.org/drawingml/2006/main">
                <a:graphicData uri="http://schemas.microsoft.com/office/word/2010/wordprocessingShape">
                  <wps:wsp>
                    <wps:cNvSpPr txBox="1">
                      <a:spLocks noChangeArrowheads="1"/>
                    </wps:cNvSpPr>
                    <wps:spPr bwMode="auto">
                      <a:xfrm>
                        <a:off x="0" y="0"/>
                        <a:ext cx="208915" cy="146685"/>
                      </a:xfrm>
                      <a:prstGeom prst="rect">
                        <a:avLst/>
                      </a:prstGeom>
                      <a:noFill/>
                      <a:ln>
                        <a:noFill/>
                      </a:ln>
                      <a:effectLst/>
                    </wps:spPr>
                    <wps:txbx>
                      <w:txbxContent>
                        <w:p w14:paraId="51B747D8"/>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top:0pt;height:11.55pt;width:16.45pt;mso-position-horizontal:center;mso-position-horizontal-relative:margin;z-index:251660288;mso-width-relative:page;mso-height-relative:page;" filled="f" stroked="f" coordsize="21600,21600" o:gfxdata="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C/8KDUAAAAAwEAAA8AAAAAAAAAAQAgAAAAIgAAAGRycy9kb3du&#10;cmV2LnhtbFBLAQIUABQAAAAIAIdO4kAGcaGQAwIAABMEAAAOAAAAAAAAAAEAIAAAACMBAABkcnMv&#10;ZTJvRG9jLnhtbFBLBQYAAAAABgAGAFkBAACYBQAAAAA=&#10;">
              <v:fill on="f" focussize="0,0"/>
              <v:stroke on="f"/>
              <v:imagedata o:title=""/>
              <o:lock v:ext="edit" aspectratio="f"/>
              <v:textbox inset="0mm,0mm,0mm,0mm">
                <w:txbxContent>
                  <w:p w14:paraId="51B747D8"/>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40274">
    <w:pPr>
      <w:pStyle w:val="2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2DFA5">
    <w:pPr>
      <w:pStyle w:val="2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9AEF99"/>
    <w:multiLevelType w:val="singleLevel"/>
    <w:tmpl w:val="EE9AEF99"/>
    <w:lvl w:ilvl="0" w:tentative="0">
      <w:start w:val="1"/>
      <w:numFmt w:val="bullet"/>
      <w:pStyle w:val="19"/>
      <w:lvlText w:val=""/>
      <w:lvlJc w:val="left"/>
      <w:pPr>
        <w:tabs>
          <w:tab w:val="left" w:pos="2040"/>
        </w:tabs>
        <w:ind w:left="2040" w:hanging="360"/>
      </w:pPr>
      <w:rPr>
        <w:rFonts w:hint="default" w:ascii="Wingdings" w:hAnsi="Wingdings"/>
      </w:rPr>
    </w:lvl>
  </w:abstractNum>
  <w:abstractNum w:abstractNumId="1">
    <w:nsid w:val="09A1837D"/>
    <w:multiLevelType w:val="singleLevel"/>
    <w:tmpl w:val="09A1837D"/>
    <w:lvl w:ilvl="0" w:tentative="0">
      <w:start w:val="1"/>
      <w:numFmt w:val="decimal"/>
      <w:suff w:val="nothing"/>
      <w:lvlText w:val="（%1）"/>
      <w:lvlJc w:val="left"/>
    </w:lvl>
  </w:abstractNum>
  <w:abstractNum w:abstractNumId="2">
    <w:nsid w:val="6CD02421"/>
    <w:multiLevelType w:val="multilevel"/>
    <w:tmpl w:val="6CD02421"/>
    <w:lvl w:ilvl="0" w:tentative="0">
      <w:start w:val="1"/>
      <w:numFmt w:val="decimal"/>
      <w:pStyle w:val="184"/>
      <w:lvlText w:val="表%1"/>
      <w:lvlJc w:val="center"/>
      <w:pPr>
        <w:ind w:left="420" w:hanging="420"/>
      </w:pPr>
      <w:rPr>
        <w:rFonts w:hint="eastAsia" w:ascii="Times New Roman" w:hAnsi="Times New Roman" w:cs="Times New Roman"/>
        <w:i w:val="0"/>
        <w:iCs w:val="0"/>
        <w:caps w:val="0"/>
        <w:smallCaps w:val="0"/>
        <w:strike w:val="0"/>
        <w:dstrike w:val="0"/>
        <w:outline w:val="0"/>
        <w:shadow w:val="0"/>
        <w:emboss w:val="0"/>
        <w:imprint w:val="0"/>
        <w:vanish w:val="0"/>
        <w:color w:val="000000"/>
        <w:spacing w:val="0"/>
        <w:kern w:val="0"/>
        <w:position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hyphenationZone w:val="36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lN2I2MWFhNDIwZDk1NmNkYzczYWZhYjhkOWEwNWUifQ=="/>
  </w:docVars>
  <w:rsids>
    <w:rsidRoot w:val="000B41E7"/>
    <w:rsid w:val="0000030F"/>
    <w:rsid w:val="000048D0"/>
    <w:rsid w:val="00005CD0"/>
    <w:rsid w:val="00006F66"/>
    <w:rsid w:val="00007581"/>
    <w:rsid w:val="000125A2"/>
    <w:rsid w:val="00014872"/>
    <w:rsid w:val="00014DE7"/>
    <w:rsid w:val="00016DDA"/>
    <w:rsid w:val="0002474A"/>
    <w:rsid w:val="000311EF"/>
    <w:rsid w:val="00033480"/>
    <w:rsid w:val="000335EB"/>
    <w:rsid w:val="00033DC3"/>
    <w:rsid w:val="00034283"/>
    <w:rsid w:val="00036CBA"/>
    <w:rsid w:val="000401FD"/>
    <w:rsid w:val="00042448"/>
    <w:rsid w:val="00044414"/>
    <w:rsid w:val="00047CFB"/>
    <w:rsid w:val="00050EB4"/>
    <w:rsid w:val="00053846"/>
    <w:rsid w:val="00055428"/>
    <w:rsid w:val="0005566A"/>
    <w:rsid w:val="0005784C"/>
    <w:rsid w:val="000670F9"/>
    <w:rsid w:val="00067FA8"/>
    <w:rsid w:val="00071637"/>
    <w:rsid w:val="00072CD1"/>
    <w:rsid w:val="00073674"/>
    <w:rsid w:val="00073F9F"/>
    <w:rsid w:val="000740D4"/>
    <w:rsid w:val="00074AFA"/>
    <w:rsid w:val="0007520B"/>
    <w:rsid w:val="00075550"/>
    <w:rsid w:val="00075DD7"/>
    <w:rsid w:val="0007669B"/>
    <w:rsid w:val="00077A8A"/>
    <w:rsid w:val="000815A7"/>
    <w:rsid w:val="000815F6"/>
    <w:rsid w:val="000834A9"/>
    <w:rsid w:val="000837E5"/>
    <w:rsid w:val="00083DEC"/>
    <w:rsid w:val="00085099"/>
    <w:rsid w:val="00085B6F"/>
    <w:rsid w:val="0008678D"/>
    <w:rsid w:val="00091994"/>
    <w:rsid w:val="00092B61"/>
    <w:rsid w:val="00092CF4"/>
    <w:rsid w:val="0009325C"/>
    <w:rsid w:val="00093267"/>
    <w:rsid w:val="00093BB8"/>
    <w:rsid w:val="00095242"/>
    <w:rsid w:val="00095718"/>
    <w:rsid w:val="00095A52"/>
    <w:rsid w:val="00095DEF"/>
    <w:rsid w:val="000A0A14"/>
    <w:rsid w:val="000A3B26"/>
    <w:rsid w:val="000A4395"/>
    <w:rsid w:val="000A497B"/>
    <w:rsid w:val="000A5961"/>
    <w:rsid w:val="000A74CD"/>
    <w:rsid w:val="000B0ABE"/>
    <w:rsid w:val="000B101B"/>
    <w:rsid w:val="000B259E"/>
    <w:rsid w:val="000B3093"/>
    <w:rsid w:val="000B41E7"/>
    <w:rsid w:val="000B6648"/>
    <w:rsid w:val="000C04EC"/>
    <w:rsid w:val="000C1DB9"/>
    <w:rsid w:val="000C3BE9"/>
    <w:rsid w:val="000C69EC"/>
    <w:rsid w:val="000C7001"/>
    <w:rsid w:val="000C795C"/>
    <w:rsid w:val="000D4619"/>
    <w:rsid w:val="000D538E"/>
    <w:rsid w:val="000D621F"/>
    <w:rsid w:val="000D64A2"/>
    <w:rsid w:val="000E0435"/>
    <w:rsid w:val="000E2785"/>
    <w:rsid w:val="000E37F3"/>
    <w:rsid w:val="000E3FF7"/>
    <w:rsid w:val="000E5540"/>
    <w:rsid w:val="000E7876"/>
    <w:rsid w:val="000F2C02"/>
    <w:rsid w:val="000F3E27"/>
    <w:rsid w:val="000F3EF9"/>
    <w:rsid w:val="000F4570"/>
    <w:rsid w:val="00101FAE"/>
    <w:rsid w:val="00102297"/>
    <w:rsid w:val="001028DF"/>
    <w:rsid w:val="001030FE"/>
    <w:rsid w:val="001104AD"/>
    <w:rsid w:val="001115A5"/>
    <w:rsid w:val="0011268A"/>
    <w:rsid w:val="00112D73"/>
    <w:rsid w:val="00112DCA"/>
    <w:rsid w:val="00113ACE"/>
    <w:rsid w:val="00113E83"/>
    <w:rsid w:val="00116258"/>
    <w:rsid w:val="001166A9"/>
    <w:rsid w:val="001178E7"/>
    <w:rsid w:val="00121E5D"/>
    <w:rsid w:val="001239AE"/>
    <w:rsid w:val="00123F55"/>
    <w:rsid w:val="001251F2"/>
    <w:rsid w:val="00125BC4"/>
    <w:rsid w:val="001265B4"/>
    <w:rsid w:val="00131331"/>
    <w:rsid w:val="001317EB"/>
    <w:rsid w:val="00136AEC"/>
    <w:rsid w:val="00140A6B"/>
    <w:rsid w:val="00142066"/>
    <w:rsid w:val="00142937"/>
    <w:rsid w:val="00144D36"/>
    <w:rsid w:val="00145CEE"/>
    <w:rsid w:val="00150FB4"/>
    <w:rsid w:val="001510FA"/>
    <w:rsid w:val="00151518"/>
    <w:rsid w:val="00153A0E"/>
    <w:rsid w:val="00154A73"/>
    <w:rsid w:val="00155DBB"/>
    <w:rsid w:val="0015685B"/>
    <w:rsid w:val="00156971"/>
    <w:rsid w:val="00157591"/>
    <w:rsid w:val="00161EEA"/>
    <w:rsid w:val="00162358"/>
    <w:rsid w:val="00162FA3"/>
    <w:rsid w:val="0016626B"/>
    <w:rsid w:val="00166D53"/>
    <w:rsid w:val="001677B3"/>
    <w:rsid w:val="001733FB"/>
    <w:rsid w:val="00173637"/>
    <w:rsid w:val="001756E0"/>
    <w:rsid w:val="001762E1"/>
    <w:rsid w:val="00177794"/>
    <w:rsid w:val="00181D7E"/>
    <w:rsid w:val="001826CC"/>
    <w:rsid w:val="00187049"/>
    <w:rsid w:val="00192EFE"/>
    <w:rsid w:val="00194A75"/>
    <w:rsid w:val="0019764B"/>
    <w:rsid w:val="001979DA"/>
    <w:rsid w:val="00197A5E"/>
    <w:rsid w:val="001A17A1"/>
    <w:rsid w:val="001A194E"/>
    <w:rsid w:val="001A6430"/>
    <w:rsid w:val="001A6C4B"/>
    <w:rsid w:val="001A7027"/>
    <w:rsid w:val="001A7370"/>
    <w:rsid w:val="001B04D5"/>
    <w:rsid w:val="001B5522"/>
    <w:rsid w:val="001C1FEA"/>
    <w:rsid w:val="001C2E05"/>
    <w:rsid w:val="001C2F4C"/>
    <w:rsid w:val="001D2341"/>
    <w:rsid w:val="001D237E"/>
    <w:rsid w:val="001D3610"/>
    <w:rsid w:val="001D5501"/>
    <w:rsid w:val="001D6264"/>
    <w:rsid w:val="001D681D"/>
    <w:rsid w:val="001D779C"/>
    <w:rsid w:val="001E5069"/>
    <w:rsid w:val="001E730D"/>
    <w:rsid w:val="001E7579"/>
    <w:rsid w:val="001E7F53"/>
    <w:rsid w:val="001F289E"/>
    <w:rsid w:val="001F2DD9"/>
    <w:rsid w:val="001F34F8"/>
    <w:rsid w:val="001F45BF"/>
    <w:rsid w:val="001F4CD6"/>
    <w:rsid w:val="001F68DF"/>
    <w:rsid w:val="001F74E3"/>
    <w:rsid w:val="002041D0"/>
    <w:rsid w:val="00205440"/>
    <w:rsid w:val="0020576F"/>
    <w:rsid w:val="00206049"/>
    <w:rsid w:val="00210855"/>
    <w:rsid w:val="0021103D"/>
    <w:rsid w:val="002117A5"/>
    <w:rsid w:val="002141F8"/>
    <w:rsid w:val="002159D4"/>
    <w:rsid w:val="00215B61"/>
    <w:rsid w:val="00215C89"/>
    <w:rsid w:val="0021786B"/>
    <w:rsid w:val="00220DC6"/>
    <w:rsid w:val="002216AE"/>
    <w:rsid w:val="0022691B"/>
    <w:rsid w:val="00226AE9"/>
    <w:rsid w:val="002272C7"/>
    <w:rsid w:val="00227E88"/>
    <w:rsid w:val="002310DD"/>
    <w:rsid w:val="00231BDE"/>
    <w:rsid w:val="00231F78"/>
    <w:rsid w:val="0023297D"/>
    <w:rsid w:val="002348E3"/>
    <w:rsid w:val="00240089"/>
    <w:rsid w:val="002439D2"/>
    <w:rsid w:val="00243AD6"/>
    <w:rsid w:val="00245D41"/>
    <w:rsid w:val="00246F78"/>
    <w:rsid w:val="0025406F"/>
    <w:rsid w:val="00254A4B"/>
    <w:rsid w:val="0025556B"/>
    <w:rsid w:val="002617E9"/>
    <w:rsid w:val="00262102"/>
    <w:rsid w:val="002627C3"/>
    <w:rsid w:val="00265DCF"/>
    <w:rsid w:val="00266312"/>
    <w:rsid w:val="00271163"/>
    <w:rsid w:val="00271857"/>
    <w:rsid w:val="00274FC2"/>
    <w:rsid w:val="00276E90"/>
    <w:rsid w:val="00277521"/>
    <w:rsid w:val="00281845"/>
    <w:rsid w:val="00281F33"/>
    <w:rsid w:val="00284A42"/>
    <w:rsid w:val="0028628B"/>
    <w:rsid w:val="002862B4"/>
    <w:rsid w:val="00286BD3"/>
    <w:rsid w:val="002872ED"/>
    <w:rsid w:val="00290D27"/>
    <w:rsid w:val="00291096"/>
    <w:rsid w:val="00291884"/>
    <w:rsid w:val="0029237F"/>
    <w:rsid w:val="00293668"/>
    <w:rsid w:val="002944A7"/>
    <w:rsid w:val="002958E2"/>
    <w:rsid w:val="00295A0B"/>
    <w:rsid w:val="00295BBF"/>
    <w:rsid w:val="002974B9"/>
    <w:rsid w:val="002A26B8"/>
    <w:rsid w:val="002A2994"/>
    <w:rsid w:val="002A4447"/>
    <w:rsid w:val="002A7C54"/>
    <w:rsid w:val="002B3D07"/>
    <w:rsid w:val="002B4D6F"/>
    <w:rsid w:val="002B4DDE"/>
    <w:rsid w:val="002B7074"/>
    <w:rsid w:val="002B7224"/>
    <w:rsid w:val="002C2419"/>
    <w:rsid w:val="002C3DF8"/>
    <w:rsid w:val="002C4DBC"/>
    <w:rsid w:val="002C5936"/>
    <w:rsid w:val="002D109B"/>
    <w:rsid w:val="002D1C09"/>
    <w:rsid w:val="002D29B9"/>
    <w:rsid w:val="002D3ECF"/>
    <w:rsid w:val="002D3FA9"/>
    <w:rsid w:val="002E069A"/>
    <w:rsid w:val="002E07C3"/>
    <w:rsid w:val="002E0C32"/>
    <w:rsid w:val="002E2BA9"/>
    <w:rsid w:val="002E310A"/>
    <w:rsid w:val="002E3D9D"/>
    <w:rsid w:val="002E3F00"/>
    <w:rsid w:val="002E482E"/>
    <w:rsid w:val="002E51CF"/>
    <w:rsid w:val="002E5D88"/>
    <w:rsid w:val="002E67C2"/>
    <w:rsid w:val="002E6FC5"/>
    <w:rsid w:val="002E7E59"/>
    <w:rsid w:val="002F29F5"/>
    <w:rsid w:val="002F4ACC"/>
    <w:rsid w:val="002F7624"/>
    <w:rsid w:val="002F7E32"/>
    <w:rsid w:val="00300CE4"/>
    <w:rsid w:val="0030212A"/>
    <w:rsid w:val="0030408A"/>
    <w:rsid w:val="003044EB"/>
    <w:rsid w:val="0030513F"/>
    <w:rsid w:val="00305C2E"/>
    <w:rsid w:val="00306757"/>
    <w:rsid w:val="00307B9D"/>
    <w:rsid w:val="00311340"/>
    <w:rsid w:val="003137FC"/>
    <w:rsid w:val="00314A84"/>
    <w:rsid w:val="00315F68"/>
    <w:rsid w:val="00316731"/>
    <w:rsid w:val="003177DE"/>
    <w:rsid w:val="003203DA"/>
    <w:rsid w:val="0032041F"/>
    <w:rsid w:val="00320931"/>
    <w:rsid w:val="003218D9"/>
    <w:rsid w:val="00321FBC"/>
    <w:rsid w:val="003225FE"/>
    <w:rsid w:val="0032401D"/>
    <w:rsid w:val="003259B0"/>
    <w:rsid w:val="003265CD"/>
    <w:rsid w:val="003318B5"/>
    <w:rsid w:val="00333A84"/>
    <w:rsid w:val="00333EFC"/>
    <w:rsid w:val="003341C7"/>
    <w:rsid w:val="00334D81"/>
    <w:rsid w:val="00335EF5"/>
    <w:rsid w:val="003417DF"/>
    <w:rsid w:val="00341EB2"/>
    <w:rsid w:val="00342230"/>
    <w:rsid w:val="00342F51"/>
    <w:rsid w:val="003440D7"/>
    <w:rsid w:val="00344C68"/>
    <w:rsid w:val="00345358"/>
    <w:rsid w:val="00345623"/>
    <w:rsid w:val="003463B2"/>
    <w:rsid w:val="00347416"/>
    <w:rsid w:val="00347824"/>
    <w:rsid w:val="003558C6"/>
    <w:rsid w:val="0036077A"/>
    <w:rsid w:val="00360846"/>
    <w:rsid w:val="0036575C"/>
    <w:rsid w:val="00370FBC"/>
    <w:rsid w:val="00372865"/>
    <w:rsid w:val="00374AFD"/>
    <w:rsid w:val="00374FC9"/>
    <w:rsid w:val="00377BE1"/>
    <w:rsid w:val="003824F2"/>
    <w:rsid w:val="0038372C"/>
    <w:rsid w:val="00384A92"/>
    <w:rsid w:val="00385732"/>
    <w:rsid w:val="00386278"/>
    <w:rsid w:val="0039257F"/>
    <w:rsid w:val="00392936"/>
    <w:rsid w:val="00395044"/>
    <w:rsid w:val="00396AFE"/>
    <w:rsid w:val="003970E9"/>
    <w:rsid w:val="003A2F08"/>
    <w:rsid w:val="003A37DB"/>
    <w:rsid w:val="003A4116"/>
    <w:rsid w:val="003A4A16"/>
    <w:rsid w:val="003A4C03"/>
    <w:rsid w:val="003A5C6D"/>
    <w:rsid w:val="003A5F49"/>
    <w:rsid w:val="003A7B4C"/>
    <w:rsid w:val="003B2121"/>
    <w:rsid w:val="003B2201"/>
    <w:rsid w:val="003B4D48"/>
    <w:rsid w:val="003B61A2"/>
    <w:rsid w:val="003B62D0"/>
    <w:rsid w:val="003B6596"/>
    <w:rsid w:val="003B7CEE"/>
    <w:rsid w:val="003C0456"/>
    <w:rsid w:val="003C2A48"/>
    <w:rsid w:val="003C3461"/>
    <w:rsid w:val="003C7461"/>
    <w:rsid w:val="003C794C"/>
    <w:rsid w:val="003D0153"/>
    <w:rsid w:val="003D089B"/>
    <w:rsid w:val="003D2265"/>
    <w:rsid w:val="003D4A5D"/>
    <w:rsid w:val="003D71A8"/>
    <w:rsid w:val="003E1828"/>
    <w:rsid w:val="003E47DD"/>
    <w:rsid w:val="003E514F"/>
    <w:rsid w:val="003F0FC5"/>
    <w:rsid w:val="003F2EAF"/>
    <w:rsid w:val="003F2EFF"/>
    <w:rsid w:val="003F3808"/>
    <w:rsid w:val="003F5419"/>
    <w:rsid w:val="003F735C"/>
    <w:rsid w:val="0040231E"/>
    <w:rsid w:val="00402BD1"/>
    <w:rsid w:val="00403B2D"/>
    <w:rsid w:val="0040792C"/>
    <w:rsid w:val="00407C5B"/>
    <w:rsid w:val="00410E91"/>
    <w:rsid w:val="004121C5"/>
    <w:rsid w:val="0041387B"/>
    <w:rsid w:val="00413C3B"/>
    <w:rsid w:val="004201FB"/>
    <w:rsid w:val="00420203"/>
    <w:rsid w:val="00420B07"/>
    <w:rsid w:val="00420BEF"/>
    <w:rsid w:val="0042221C"/>
    <w:rsid w:val="00423A68"/>
    <w:rsid w:val="004247C9"/>
    <w:rsid w:val="00425DCB"/>
    <w:rsid w:val="00426C55"/>
    <w:rsid w:val="00432D8A"/>
    <w:rsid w:val="00433A91"/>
    <w:rsid w:val="004354DD"/>
    <w:rsid w:val="0043618C"/>
    <w:rsid w:val="004366CF"/>
    <w:rsid w:val="00441040"/>
    <w:rsid w:val="0044180C"/>
    <w:rsid w:val="0044310C"/>
    <w:rsid w:val="00447800"/>
    <w:rsid w:val="00451869"/>
    <w:rsid w:val="00453292"/>
    <w:rsid w:val="00455E79"/>
    <w:rsid w:val="0045752D"/>
    <w:rsid w:val="00457C62"/>
    <w:rsid w:val="00460E53"/>
    <w:rsid w:val="00461B36"/>
    <w:rsid w:val="00461FBB"/>
    <w:rsid w:val="004627E2"/>
    <w:rsid w:val="00463E93"/>
    <w:rsid w:val="00464034"/>
    <w:rsid w:val="004658AD"/>
    <w:rsid w:val="004666C0"/>
    <w:rsid w:val="004672B9"/>
    <w:rsid w:val="0047091B"/>
    <w:rsid w:val="00470B93"/>
    <w:rsid w:val="004726E7"/>
    <w:rsid w:val="00472DBB"/>
    <w:rsid w:val="00472EE8"/>
    <w:rsid w:val="004734CC"/>
    <w:rsid w:val="00473C78"/>
    <w:rsid w:val="004779D1"/>
    <w:rsid w:val="00483938"/>
    <w:rsid w:val="00486520"/>
    <w:rsid w:val="00491A21"/>
    <w:rsid w:val="00496ED9"/>
    <w:rsid w:val="004A004A"/>
    <w:rsid w:val="004A05FB"/>
    <w:rsid w:val="004A4279"/>
    <w:rsid w:val="004A454E"/>
    <w:rsid w:val="004A4E02"/>
    <w:rsid w:val="004A51CE"/>
    <w:rsid w:val="004A6175"/>
    <w:rsid w:val="004A6993"/>
    <w:rsid w:val="004B261A"/>
    <w:rsid w:val="004B38DE"/>
    <w:rsid w:val="004B3D93"/>
    <w:rsid w:val="004B47EA"/>
    <w:rsid w:val="004B5DF8"/>
    <w:rsid w:val="004B68CE"/>
    <w:rsid w:val="004B7A2E"/>
    <w:rsid w:val="004C0007"/>
    <w:rsid w:val="004C146E"/>
    <w:rsid w:val="004C1480"/>
    <w:rsid w:val="004C3C41"/>
    <w:rsid w:val="004C4367"/>
    <w:rsid w:val="004C4FE0"/>
    <w:rsid w:val="004D051F"/>
    <w:rsid w:val="004D0B3B"/>
    <w:rsid w:val="004D18F0"/>
    <w:rsid w:val="004D197C"/>
    <w:rsid w:val="004D7337"/>
    <w:rsid w:val="004D7371"/>
    <w:rsid w:val="004E0655"/>
    <w:rsid w:val="004E20B3"/>
    <w:rsid w:val="004E3D22"/>
    <w:rsid w:val="004E578C"/>
    <w:rsid w:val="004E6D0F"/>
    <w:rsid w:val="004E6FAC"/>
    <w:rsid w:val="004F0C18"/>
    <w:rsid w:val="004F14AA"/>
    <w:rsid w:val="004F17CB"/>
    <w:rsid w:val="004F202E"/>
    <w:rsid w:val="004F3B45"/>
    <w:rsid w:val="004F3C99"/>
    <w:rsid w:val="004F4491"/>
    <w:rsid w:val="004F4859"/>
    <w:rsid w:val="004F5C12"/>
    <w:rsid w:val="004F7072"/>
    <w:rsid w:val="00501108"/>
    <w:rsid w:val="005013B7"/>
    <w:rsid w:val="0050207D"/>
    <w:rsid w:val="00502EB1"/>
    <w:rsid w:val="00503DB9"/>
    <w:rsid w:val="00504FD1"/>
    <w:rsid w:val="00505A16"/>
    <w:rsid w:val="00506924"/>
    <w:rsid w:val="00510438"/>
    <w:rsid w:val="0051259A"/>
    <w:rsid w:val="005145A0"/>
    <w:rsid w:val="005149B5"/>
    <w:rsid w:val="005153B3"/>
    <w:rsid w:val="0052038B"/>
    <w:rsid w:val="005239E9"/>
    <w:rsid w:val="00524588"/>
    <w:rsid w:val="00524E14"/>
    <w:rsid w:val="00525CBF"/>
    <w:rsid w:val="00531BBB"/>
    <w:rsid w:val="00531DFF"/>
    <w:rsid w:val="00535BD7"/>
    <w:rsid w:val="00544F8B"/>
    <w:rsid w:val="00544FEA"/>
    <w:rsid w:val="0054603C"/>
    <w:rsid w:val="00546E70"/>
    <w:rsid w:val="00546F15"/>
    <w:rsid w:val="00552372"/>
    <w:rsid w:val="0055410A"/>
    <w:rsid w:val="00554975"/>
    <w:rsid w:val="00555F33"/>
    <w:rsid w:val="00557D66"/>
    <w:rsid w:val="005620EB"/>
    <w:rsid w:val="00562234"/>
    <w:rsid w:val="0056261B"/>
    <w:rsid w:val="00562769"/>
    <w:rsid w:val="00563220"/>
    <w:rsid w:val="00563D99"/>
    <w:rsid w:val="00564A23"/>
    <w:rsid w:val="00564BC5"/>
    <w:rsid w:val="00565A99"/>
    <w:rsid w:val="00566A1E"/>
    <w:rsid w:val="00567AAA"/>
    <w:rsid w:val="00570280"/>
    <w:rsid w:val="00574A70"/>
    <w:rsid w:val="00575C4C"/>
    <w:rsid w:val="00575E7F"/>
    <w:rsid w:val="0058006F"/>
    <w:rsid w:val="005805F9"/>
    <w:rsid w:val="00582BD5"/>
    <w:rsid w:val="00584295"/>
    <w:rsid w:val="00584842"/>
    <w:rsid w:val="00584C8E"/>
    <w:rsid w:val="00585919"/>
    <w:rsid w:val="00585E65"/>
    <w:rsid w:val="005861CF"/>
    <w:rsid w:val="00587747"/>
    <w:rsid w:val="00587AC2"/>
    <w:rsid w:val="00587BF0"/>
    <w:rsid w:val="005909E0"/>
    <w:rsid w:val="00591261"/>
    <w:rsid w:val="00594F4D"/>
    <w:rsid w:val="00595294"/>
    <w:rsid w:val="00595E23"/>
    <w:rsid w:val="005A08EC"/>
    <w:rsid w:val="005A09FB"/>
    <w:rsid w:val="005A0A83"/>
    <w:rsid w:val="005A15B7"/>
    <w:rsid w:val="005A266C"/>
    <w:rsid w:val="005A5A20"/>
    <w:rsid w:val="005A5E5A"/>
    <w:rsid w:val="005A623E"/>
    <w:rsid w:val="005A7014"/>
    <w:rsid w:val="005A770E"/>
    <w:rsid w:val="005B1467"/>
    <w:rsid w:val="005B23F1"/>
    <w:rsid w:val="005B3326"/>
    <w:rsid w:val="005B3774"/>
    <w:rsid w:val="005B3A85"/>
    <w:rsid w:val="005B4642"/>
    <w:rsid w:val="005B5D76"/>
    <w:rsid w:val="005B6842"/>
    <w:rsid w:val="005B6EFA"/>
    <w:rsid w:val="005C1560"/>
    <w:rsid w:val="005C15EB"/>
    <w:rsid w:val="005C3F7F"/>
    <w:rsid w:val="005C6FA6"/>
    <w:rsid w:val="005D153F"/>
    <w:rsid w:val="005D38CB"/>
    <w:rsid w:val="005D49AF"/>
    <w:rsid w:val="005D4A5F"/>
    <w:rsid w:val="005D55CD"/>
    <w:rsid w:val="005D7BD9"/>
    <w:rsid w:val="005E28A3"/>
    <w:rsid w:val="005E3ACD"/>
    <w:rsid w:val="005E61BF"/>
    <w:rsid w:val="005E6269"/>
    <w:rsid w:val="005E7253"/>
    <w:rsid w:val="005E7272"/>
    <w:rsid w:val="005E72BB"/>
    <w:rsid w:val="005E77B8"/>
    <w:rsid w:val="005F2BC0"/>
    <w:rsid w:val="005F2CBB"/>
    <w:rsid w:val="005F2DAD"/>
    <w:rsid w:val="005F51CF"/>
    <w:rsid w:val="005F5B8A"/>
    <w:rsid w:val="006036A5"/>
    <w:rsid w:val="00604312"/>
    <w:rsid w:val="006048AC"/>
    <w:rsid w:val="0060625A"/>
    <w:rsid w:val="00607E59"/>
    <w:rsid w:val="00607E5A"/>
    <w:rsid w:val="006100FA"/>
    <w:rsid w:val="00610209"/>
    <w:rsid w:val="00612FDE"/>
    <w:rsid w:val="006141A7"/>
    <w:rsid w:val="006153C5"/>
    <w:rsid w:val="006155C9"/>
    <w:rsid w:val="006163A9"/>
    <w:rsid w:val="00617210"/>
    <w:rsid w:val="0061730D"/>
    <w:rsid w:val="006175C0"/>
    <w:rsid w:val="00621EA5"/>
    <w:rsid w:val="00626512"/>
    <w:rsid w:val="00627927"/>
    <w:rsid w:val="00632935"/>
    <w:rsid w:val="006329E8"/>
    <w:rsid w:val="00632A9D"/>
    <w:rsid w:val="00632DF2"/>
    <w:rsid w:val="00633DEB"/>
    <w:rsid w:val="0063499D"/>
    <w:rsid w:val="0063583C"/>
    <w:rsid w:val="00637E89"/>
    <w:rsid w:val="006400FD"/>
    <w:rsid w:val="0064033E"/>
    <w:rsid w:val="006416D7"/>
    <w:rsid w:val="00642021"/>
    <w:rsid w:val="00643226"/>
    <w:rsid w:val="0064450F"/>
    <w:rsid w:val="006451AA"/>
    <w:rsid w:val="00646226"/>
    <w:rsid w:val="00646A8E"/>
    <w:rsid w:val="00654D63"/>
    <w:rsid w:val="0065501D"/>
    <w:rsid w:val="006569B7"/>
    <w:rsid w:val="00660B6A"/>
    <w:rsid w:val="00663395"/>
    <w:rsid w:val="006650D5"/>
    <w:rsid w:val="00666836"/>
    <w:rsid w:val="00667991"/>
    <w:rsid w:val="006706A5"/>
    <w:rsid w:val="00673308"/>
    <w:rsid w:val="00675497"/>
    <w:rsid w:val="00677829"/>
    <w:rsid w:val="0068160B"/>
    <w:rsid w:val="00681A67"/>
    <w:rsid w:val="0068209A"/>
    <w:rsid w:val="0068337F"/>
    <w:rsid w:val="00683E24"/>
    <w:rsid w:val="00685984"/>
    <w:rsid w:val="00685B38"/>
    <w:rsid w:val="00686568"/>
    <w:rsid w:val="0068745A"/>
    <w:rsid w:val="00687C4A"/>
    <w:rsid w:val="00690A5F"/>
    <w:rsid w:val="00695EBB"/>
    <w:rsid w:val="00696B5F"/>
    <w:rsid w:val="006A0AA4"/>
    <w:rsid w:val="006A17B1"/>
    <w:rsid w:val="006A2921"/>
    <w:rsid w:val="006A321F"/>
    <w:rsid w:val="006A5498"/>
    <w:rsid w:val="006A5F31"/>
    <w:rsid w:val="006A6FD4"/>
    <w:rsid w:val="006B2703"/>
    <w:rsid w:val="006B351F"/>
    <w:rsid w:val="006B4A6B"/>
    <w:rsid w:val="006B54EC"/>
    <w:rsid w:val="006B6439"/>
    <w:rsid w:val="006B7B0C"/>
    <w:rsid w:val="006C32D5"/>
    <w:rsid w:val="006C3B29"/>
    <w:rsid w:val="006C3FB4"/>
    <w:rsid w:val="006C6324"/>
    <w:rsid w:val="006C7B2A"/>
    <w:rsid w:val="006D09C8"/>
    <w:rsid w:val="006D0E90"/>
    <w:rsid w:val="006D1357"/>
    <w:rsid w:val="006D527F"/>
    <w:rsid w:val="006D619B"/>
    <w:rsid w:val="006D725D"/>
    <w:rsid w:val="006D7C1B"/>
    <w:rsid w:val="006D7D56"/>
    <w:rsid w:val="006E34C8"/>
    <w:rsid w:val="006E4112"/>
    <w:rsid w:val="006E6138"/>
    <w:rsid w:val="006E6688"/>
    <w:rsid w:val="006F4594"/>
    <w:rsid w:val="006F5698"/>
    <w:rsid w:val="006F78F9"/>
    <w:rsid w:val="0070108B"/>
    <w:rsid w:val="0070142B"/>
    <w:rsid w:val="00704AAA"/>
    <w:rsid w:val="0070524A"/>
    <w:rsid w:val="0070565B"/>
    <w:rsid w:val="0070692E"/>
    <w:rsid w:val="007111EB"/>
    <w:rsid w:val="00712D04"/>
    <w:rsid w:val="00712D7A"/>
    <w:rsid w:val="00713B42"/>
    <w:rsid w:val="007148F7"/>
    <w:rsid w:val="00714D03"/>
    <w:rsid w:val="00717458"/>
    <w:rsid w:val="00717912"/>
    <w:rsid w:val="007208C7"/>
    <w:rsid w:val="00721D00"/>
    <w:rsid w:val="00722154"/>
    <w:rsid w:val="007221F9"/>
    <w:rsid w:val="007235FD"/>
    <w:rsid w:val="00723882"/>
    <w:rsid w:val="00726583"/>
    <w:rsid w:val="00726742"/>
    <w:rsid w:val="00726ACC"/>
    <w:rsid w:val="00730406"/>
    <w:rsid w:val="007307D9"/>
    <w:rsid w:val="0073172F"/>
    <w:rsid w:val="00731887"/>
    <w:rsid w:val="00732804"/>
    <w:rsid w:val="00733157"/>
    <w:rsid w:val="00735427"/>
    <w:rsid w:val="00735B12"/>
    <w:rsid w:val="007364F6"/>
    <w:rsid w:val="00737377"/>
    <w:rsid w:val="007375F5"/>
    <w:rsid w:val="00741EBE"/>
    <w:rsid w:val="00744579"/>
    <w:rsid w:val="00746A7B"/>
    <w:rsid w:val="007478CD"/>
    <w:rsid w:val="00750BF2"/>
    <w:rsid w:val="00752BFE"/>
    <w:rsid w:val="00755DB8"/>
    <w:rsid w:val="00757160"/>
    <w:rsid w:val="00762B7B"/>
    <w:rsid w:val="00762EC6"/>
    <w:rsid w:val="00764926"/>
    <w:rsid w:val="00766325"/>
    <w:rsid w:val="00780DA4"/>
    <w:rsid w:val="00781095"/>
    <w:rsid w:val="00781470"/>
    <w:rsid w:val="0078218D"/>
    <w:rsid w:val="007831DD"/>
    <w:rsid w:val="00784238"/>
    <w:rsid w:val="00784502"/>
    <w:rsid w:val="007864D5"/>
    <w:rsid w:val="007900ED"/>
    <w:rsid w:val="0079043D"/>
    <w:rsid w:val="007905A4"/>
    <w:rsid w:val="007915C0"/>
    <w:rsid w:val="007A0236"/>
    <w:rsid w:val="007A09A6"/>
    <w:rsid w:val="007A123E"/>
    <w:rsid w:val="007A1AE4"/>
    <w:rsid w:val="007A35EF"/>
    <w:rsid w:val="007A48AB"/>
    <w:rsid w:val="007A5301"/>
    <w:rsid w:val="007A5382"/>
    <w:rsid w:val="007A5AA3"/>
    <w:rsid w:val="007A70E4"/>
    <w:rsid w:val="007A72A4"/>
    <w:rsid w:val="007B0FA0"/>
    <w:rsid w:val="007B1629"/>
    <w:rsid w:val="007B1747"/>
    <w:rsid w:val="007B5DA2"/>
    <w:rsid w:val="007B7C94"/>
    <w:rsid w:val="007C0051"/>
    <w:rsid w:val="007C0C9C"/>
    <w:rsid w:val="007C3293"/>
    <w:rsid w:val="007C3444"/>
    <w:rsid w:val="007C3C4F"/>
    <w:rsid w:val="007C6216"/>
    <w:rsid w:val="007C6508"/>
    <w:rsid w:val="007C6705"/>
    <w:rsid w:val="007C698E"/>
    <w:rsid w:val="007C7EE7"/>
    <w:rsid w:val="007D2837"/>
    <w:rsid w:val="007D2D18"/>
    <w:rsid w:val="007D45E1"/>
    <w:rsid w:val="007D5171"/>
    <w:rsid w:val="007E01DC"/>
    <w:rsid w:val="007E1ADC"/>
    <w:rsid w:val="007E1F03"/>
    <w:rsid w:val="007E231F"/>
    <w:rsid w:val="007E4F96"/>
    <w:rsid w:val="007E7309"/>
    <w:rsid w:val="007F0E9D"/>
    <w:rsid w:val="007F1E4F"/>
    <w:rsid w:val="007F2612"/>
    <w:rsid w:val="007F2CF3"/>
    <w:rsid w:val="007F3187"/>
    <w:rsid w:val="007F33BD"/>
    <w:rsid w:val="008026E4"/>
    <w:rsid w:val="00803259"/>
    <w:rsid w:val="0080400B"/>
    <w:rsid w:val="00805C3D"/>
    <w:rsid w:val="00811875"/>
    <w:rsid w:val="00820743"/>
    <w:rsid w:val="008218E9"/>
    <w:rsid w:val="00822AB1"/>
    <w:rsid w:val="00822AFD"/>
    <w:rsid w:val="0082305D"/>
    <w:rsid w:val="00824475"/>
    <w:rsid w:val="008254A6"/>
    <w:rsid w:val="008268A8"/>
    <w:rsid w:val="00827FA7"/>
    <w:rsid w:val="00831974"/>
    <w:rsid w:val="00832C0F"/>
    <w:rsid w:val="0083375A"/>
    <w:rsid w:val="00833A60"/>
    <w:rsid w:val="00835BB0"/>
    <w:rsid w:val="00835E56"/>
    <w:rsid w:val="008361BE"/>
    <w:rsid w:val="0083681F"/>
    <w:rsid w:val="00836DCC"/>
    <w:rsid w:val="00837121"/>
    <w:rsid w:val="00837355"/>
    <w:rsid w:val="00837751"/>
    <w:rsid w:val="00840655"/>
    <w:rsid w:val="00841BCE"/>
    <w:rsid w:val="00842D74"/>
    <w:rsid w:val="00844897"/>
    <w:rsid w:val="00846435"/>
    <w:rsid w:val="00846523"/>
    <w:rsid w:val="008505E2"/>
    <w:rsid w:val="00851C5D"/>
    <w:rsid w:val="00852E0E"/>
    <w:rsid w:val="00857B87"/>
    <w:rsid w:val="00857CDB"/>
    <w:rsid w:val="008607DB"/>
    <w:rsid w:val="008609C0"/>
    <w:rsid w:val="00862AC1"/>
    <w:rsid w:val="0086315A"/>
    <w:rsid w:val="00864C4D"/>
    <w:rsid w:val="00866A0A"/>
    <w:rsid w:val="00870B0C"/>
    <w:rsid w:val="00873F00"/>
    <w:rsid w:val="00874A43"/>
    <w:rsid w:val="00874EBF"/>
    <w:rsid w:val="00876150"/>
    <w:rsid w:val="00877D97"/>
    <w:rsid w:val="008821CC"/>
    <w:rsid w:val="00885183"/>
    <w:rsid w:val="00885482"/>
    <w:rsid w:val="00891402"/>
    <w:rsid w:val="00891560"/>
    <w:rsid w:val="00891CC4"/>
    <w:rsid w:val="00892B5F"/>
    <w:rsid w:val="0089306B"/>
    <w:rsid w:val="008945F2"/>
    <w:rsid w:val="008951F1"/>
    <w:rsid w:val="00895729"/>
    <w:rsid w:val="00895ED1"/>
    <w:rsid w:val="008974BF"/>
    <w:rsid w:val="008A13CF"/>
    <w:rsid w:val="008A238E"/>
    <w:rsid w:val="008A4B61"/>
    <w:rsid w:val="008A4F8D"/>
    <w:rsid w:val="008A6B70"/>
    <w:rsid w:val="008B205B"/>
    <w:rsid w:val="008B2123"/>
    <w:rsid w:val="008B215C"/>
    <w:rsid w:val="008B5235"/>
    <w:rsid w:val="008B5F9C"/>
    <w:rsid w:val="008C0BD5"/>
    <w:rsid w:val="008C0DAF"/>
    <w:rsid w:val="008C2857"/>
    <w:rsid w:val="008C3DEB"/>
    <w:rsid w:val="008C5A83"/>
    <w:rsid w:val="008D098C"/>
    <w:rsid w:val="008D0E93"/>
    <w:rsid w:val="008D2A15"/>
    <w:rsid w:val="008D3037"/>
    <w:rsid w:val="008D3171"/>
    <w:rsid w:val="008D52B9"/>
    <w:rsid w:val="008D6894"/>
    <w:rsid w:val="008E0687"/>
    <w:rsid w:val="008E0C60"/>
    <w:rsid w:val="008E1919"/>
    <w:rsid w:val="008E1E99"/>
    <w:rsid w:val="008E30C6"/>
    <w:rsid w:val="008E3972"/>
    <w:rsid w:val="008E4E10"/>
    <w:rsid w:val="008F0511"/>
    <w:rsid w:val="008F0E15"/>
    <w:rsid w:val="008F17BC"/>
    <w:rsid w:val="008F1A4C"/>
    <w:rsid w:val="008F1B8F"/>
    <w:rsid w:val="008F3501"/>
    <w:rsid w:val="008F3B23"/>
    <w:rsid w:val="008F49D7"/>
    <w:rsid w:val="008F5EFA"/>
    <w:rsid w:val="008F62E2"/>
    <w:rsid w:val="008F7E55"/>
    <w:rsid w:val="0090013C"/>
    <w:rsid w:val="0090080D"/>
    <w:rsid w:val="009028F2"/>
    <w:rsid w:val="00903BDD"/>
    <w:rsid w:val="00903E1D"/>
    <w:rsid w:val="00904728"/>
    <w:rsid w:val="0090722F"/>
    <w:rsid w:val="00911895"/>
    <w:rsid w:val="00913B58"/>
    <w:rsid w:val="00914972"/>
    <w:rsid w:val="00915AA7"/>
    <w:rsid w:val="00915E30"/>
    <w:rsid w:val="00916810"/>
    <w:rsid w:val="00916C12"/>
    <w:rsid w:val="009171BD"/>
    <w:rsid w:val="0091736B"/>
    <w:rsid w:val="00917734"/>
    <w:rsid w:val="00921396"/>
    <w:rsid w:val="009218C3"/>
    <w:rsid w:val="00925FD2"/>
    <w:rsid w:val="0092600E"/>
    <w:rsid w:val="009271E6"/>
    <w:rsid w:val="00927DEB"/>
    <w:rsid w:val="00930D12"/>
    <w:rsid w:val="009310FA"/>
    <w:rsid w:val="009312F8"/>
    <w:rsid w:val="00932CC1"/>
    <w:rsid w:val="00933E60"/>
    <w:rsid w:val="0093694E"/>
    <w:rsid w:val="0094024B"/>
    <w:rsid w:val="0094210E"/>
    <w:rsid w:val="00942D69"/>
    <w:rsid w:val="009435F7"/>
    <w:rsid w:val="00944E61"/>
    <w:rsid w:val="00945453"/>
    <w:rsid w:val="009476BF"/>
    <w:rsid w:val="00947D5A"/>
    <w:rsid w:val="00947DF5"/>
    <w:rsid w:val="0095013D"/>
    <w:rsid w:val="0095065C"/>
    <w:rsid w:val="00956D13"/>
    <w:rsid w:val="00957712"/>
    <w:rsid w:val="00957C9C"/>
    <w:rsid w:val="00960B47"/>
    <w:rsid w:val="00961D1A"/>
    <w:rsid w:val="00962ACD"/>
    <w:rsid w:val="00967C5F"/>
    <w:rsid w:val="00970438"/>
    <w:rsid w:val="009729E1"/>
    <w:rsid w:val="00972D73"/>
    <w:rsid w:val="00973CA5"/>
    <w:rsid w:val="00974A8F"/>
    <w:rsid w:val="00975EE7"/>
    <w:rsid w:val="00976362"/>
    <w:rsid w:val="009774FF"/>
    <w:rsid w:val="00982136"/>
    <w:rsid w:val="00984EB2"/>
    <w:rsid w:val="009850E1"/>
    <w:rsid w:val="00985FE7"/>
    <w:rsid w:val="009866B6"/>
    <w:rsid w:val="00987378"/>
    <w:rsid w:val="00987635"/>
    <w:rsid w:val="00987E18"/>
    <w:rsid w:val="00987E2E"/>
    <w:rsid w:val="00990229"/>
    <w:rsid w:val="00990317"/>
    <w:rsid w:val="0099083C"/>
    <w:rsid w:val="00992232"/>
    <w:rsid w:val="009925BA"/>
    <w:rsid w:val="00995B77"/>
    <w:rsid w:val="00997F2A"/>
    <w:rsid w:val="009A0F03"/>
    <w:rsid w:val="009A14AB"/>
    <w:rsid w:val="009A625C"/>
    <w:rsid w:val="009A7DD4"/>
    <w:rsid w:val="009B1559"/>
    <w:rsid w:val="009B5886"/>
    <w:rsid w:val="009B6163"/>
    <w:rsid w:val="009B62F4"/>
    <w:rsid w:val="009B7382"/>
    <w:rsid w:val="009C1045"/>
    <w:rsid w:val="009C2868"/>
    <w:rsid w:val="009C3261"/>
    <w:rsid w:val="009C38AB"/>
    <w:rsid w:val="009C6448"/>
    <w:rsid w:val="009C72D8"/>
    <w:rsid w:val="009C7DF2"/>
    <w:rsid w:val="009D1ACA"/>
    <w:rsid w:val="009D267D"/>
    <w:rsid w:val="009D2EEF"/>
    <w:rsid w:val="009D494B"/>
    <w:rsid w:val="009D4EFC"/>
    <w:rsid w:val="009D5178"/>
    <w:rsid w:val="009D7593"/>
    <w:rsid w:val="009D7659"/>
    <w:rsid w:val="009D7809"/>
    <w:rsid w:val="009D7E15"/>
    <w:rsid w:val="009E14AE"/>
    <w:rsid w:val="009E3536"/>
    <w:rsid w:val="009E36F3"/>
    <w:rsid w:val="009E3F78"/>
    <w:rsid w:val="009E6DAD"/>
    <w:rsid w:val="009E7357"/>
    <w:rsid w:val="009E7761"/>
    <w:rsid w:val="009F0981"/>
    <w:rsid w:val="00A001E1"/>
    <w:rsid w:val="00A016FF"/>
    <w:rsid w:val="00A01A62"/>
    <w:rsid w:val="00A03645"/>
    <w:rsid w:val="00A03681"/>
    <w:rsid w:val="00A03C0A"/>
    <w:rsid w:val="00A073CF"/>
    <w:rsid w:val="00A11DCE"/>
    <w:rsid w:val="00A14200"/>
    <w:rsid w:val="00A14A13"/>
    <w:rsid w:val="00A15150"/>
    <w:rsid w:val="00A15864"/>
    <w:rsid w:val="00A168DC"/>
    <w:rsid w:val="00A209CE"/>
    <w:rsid w:val="00A22EA0"/>
    <w:rsid w:val="00A23276"/>
    <w:rsid w:val="00A24D3F"/>
    <w:rsid w:val="00A25112"/>
    <w:rsid w:val="00A26DA9"/>
    <w:rsid w:val="00A27143"/>
    <w:rsid w:val="00A276FC"/>
    <w:rsid w:val="00A27CF6"/>
    <w:rsid w:val="00A3076B"/>
    <w:rsid w:val="00A30D8D"/>
    <w:rsid w:val="00A30FC1"/>
    <w:rsid w:val="00A32C54"/>
    <w:rsid w:val="00A330F9"/>
    <w:rsid w:val="00A34273"/>
    <w:rsid w:val="00A34BF2"/>
    <w:rsid w:val="00A36E68"/>
    <w:rsid w:val="00A37CCA"/>
    <w:rsid w:val="00A40270"/>
    <w:rsid w:val="00A4034D"/>
    <w:rsid w:val="00A40971"/>
    <w:rsid w:val="00A4293C"/>
    <w:rsid w:val="00A43CF4"/>
    <w:rsid w:val="00A43DE0"/>
    <w:rsid w:val="00A446FD"/>
    <w:rsid w:val="00A4791C"/>
    <w:rsid w:val="00A50336"/>
    <w:rsid w:val="00A53DCF"/>
    <w:rsid w:val="00A53E5E"/>
    <w:rsid w:val="00A5776D"/>
    <w:rsid w:val="00A57C62"/>
    <w:rsid w:val="00A60F23"/>
    <w:rsid w:val="00A61872"/>
    <w:rsid w:val="00A6394E"/>
    <w:rsid w:val="00A65F26"/>
    <w:rsid w:val="00A7190E"/>
    <w:rsid w:val="00A71C04"/>
    <w:rsid w:val="00A724C3"/>
    <w:rsid w:val="00A7259C"/>
    <w:rsid w:val="00A758A4"/>
    <w:rsid w:val="00A81143"/>
    <w:rsid w:val="00A8140B"/>
    <w:rsid w:val="00A814D7"/>
    <w:rsid w:val="00A8228B"/>
    <w:rsid w:val="00A82A68"/>
    <w:rsid w:val="00A82EE4"/>
    <w:rsid w:val="00A84607"/>
    <w:rsid w:val="00A855EF"/>
    <w:rsid w:val="00A85FFD"/>
    <w:rsid w:val="00A86BAA"/>
    <w:rsid w:val="00A92939"/>
    <w:rsid w:val="00A9322E"/>
    <w:rsid w:val="00A97308"/>
    <w:rsid w:val="00AA4E6A"/>
    <w:rsid w:val="00AA51EE"/>
    <w:rsid w:val="00AA7859"/>
    <w:rsid w:val="00AB0027"/>
    <w:rsid w:val="00AB0F74"/>
    <w:rsid w:val="00AB1E93"/>
    <w:rsid w:val="00AB1E98"/>
    <w:rsid w:val="00AB30B6"/>
    <w:rsid w:val="00AB7B49"/>
    <w:rsid w:val="00AC0B77"/>
    <w:rsid w:val="00AC3AC1"/>
    <w:rsid w:val="00AC4688"/>
    <w:rsid w:val="00AC60AC"/>
    <w:rsid w:val="00AC6CE8"/>
    <w:rsid w:val="00AD0426"/>
    <w:rsid w:val="00AD1281"/>
    <w:rsid w:val="00AD2131"/>
    <w:rsid w:val="00AD3BE9"/>
    <w:rsid w:val="00AD3DAC"/>
    <w:rsid w:val="00AD48A2"/>
    <w:rsid w:val="00AD64D9"/>
    <w:rsid w:val="00AD675F"/>
    <w:rsid w:val="00AE0A8A"/>
    <w:rsid w:val="00AE2F92"/>
    <w:rsid w:val="00AE42BD"/>
    <w:rsid w:val="00AE4473"/>
    <w:rsid w:val="00AE4493"/>
    <w:rsid w:val="00AE4822"/>
    <w:rsid w:val="00AE65C3"/>
    <w:rsid w:val="00AE7AFA"/>
    <w:rsid w:val="00AF254E"/>
    <w:rsid w:val="00AF2878"/>
    <w:rsid w:val="00AF2E77"/>
    <w:rsid w:val="00AF2F38"/>
    <w:rsid w:val="00AF34C3"/>
    <w:rsid w:val="00AF37D1"/>
    <w:rsid w:val="00AF4443"/>
    <w:rsid w:val="00B01768"/>
    <w:rsid w:val="00B01843"/>
    <w:rsid w:val="00B01D4D"/>
    <w:rsid w:val="00B03B16"/>
    <w:rsid w:val="00B042E9"/>
    <w:rsid w:val="00B0648C"/>
    <w:rsid w:val="00B06ACF"/>
    <w:rsid w:val="00B06D97"/>
    <w:rsid w:val="00B1097A"/>
    <w:rsid w:val="00B11B99"/>
    <w:rsid w:val="00B133BC"/>
    <w:rsid w:val="00B16355"/>
    <w:rsid w:val="00B17681"/>
    <w:rsid w:val="00B17C7E"/>
    <w:rsid w:val="00B20978"/>
    <w:rsid w:val="00B20FFF"/>
    <w:rsid w:val="00B22AF8"/>
    <w:rsid w:val="00B22F4B"/>
    <w:rsid w:val="00B237E7"/>
    <w:rsid w:val="00B24107"/>
    <w:rsid w:val="00B2424F"/>
    <w:rsid w:val="00B24BC7"/>
    <w:rsid w:val="00B311DD"/>
    <w:rsid w:val="00B31DAB"/>
    <w:rsid w:val="00B33ED2"/>
    <w:rsid w:val="00B35357"/>
    <w:rsid w:val="00B360FB"/>
    <w:rsid w:val="00B36DBE"/>
    <w:rsid w:val="00B3712F"/>
    <w:rsid w:val="00B4141A"/>
    <w:rsid w:val="00B4169E"/>
    <w:rsid w:val="00B41C9F"/>
    <w:rsid w:val="00B42C33"/>
    <w:rsid w:val="00B43929"/>
    <w:rsid w:val="00B50162"/>
    <w:rsid w:val="00B50D89"/>
    <w:rsid w:val="00B50E3A"/>
    <w:rsid w:val="00B51010"/>
    <w:rsid w:val="00B52E87"/>
    <w:rsid w:val="00B54156"/>
    <w:rsid w:val="00B553A9"/>
    <w:rsid w:val="00B572E1"/>
    <w:rsid w:val="00B57FEC"/>
    <w:rsid w:val="00B61400"/>
    <w:rsid w:val="00B61F3D"/>
    <w:rsid w:val="00B643A9"/>
    <w:rsid w:val="00B64A3A"/>
    <w:rsid w:val="00B65D3E"/>
    <w:rsid w:val="00B669CA"/>
    <w:rsid w:val="00B709A2"/>
    <w:rsid w:val="00B71837"/>
    <w:rsid w:val="00B71BAD"/>
    <w:rsid w:val="00B72A56"/>
    <w:rsid w:val="00B75CA9"/>
    <w:rsid w:val="00B8255E"/>
    <w:rsid w:val="00B82F32"/>
    <w:rsid w:val="00B83D85"/>
    <w:rsid w:val="00B860E6"/>
    <w:rsid w:val="00B93645"/>
    <w:rsid w:val="00B93850"/>
    <w:rsid w:val="00B93F3A"/>
    <w:rsid w:val="00B94A5D"/>
    <w:rsid w:val="00B94CD7"/>
    <w:rsid w:val="00B950E6"/>
    <w:rsid w:val="00B977D1"/>
    <w:rsid w:val="00B9780E"/>
    <w:rsid w:val="00B97A81"/>
    <w:rsid w:val="00BA0063"/>
    <w:rsid w:val="00BA08BA"/>
    <w:rsid w:val="00BA12E6"/>
    <w:rsid w:val="00BA38A7"/>
    <w:rsid w:val="00BA4A42"/>
    <w:rsid w:val="00BA4A5E"/>
    <w:rsid w:val="00BA52AD"/>
    <w:rsid w:val="00BA5D09"/>
    <w:rsid w:val="00BA688B"/>
    <w:rsid w:val="00BB2351"/>
    <w:rsid w:val="00BB264E"/>
    <w:rsid w:val="00BB6954"/>
    <w:rsid w:val="00BC46F0"/>
    <w:rsid w:val="00BC5A14"/>
    <w:rsid w:val="00BC5BBA"/>
    <w:rsid w:val="00BC6187"/>
    <w:rsid w:val="00BC65B3"/>
    <w:rsid w:val="00BD01EA"/>
    <w:rsid w:val="00BD5A78"/>
    <w:rsid w:val="00BD6B6C"/>
    <w:rsid w:val="00BD7231"/>
    <w:rsid w:val="00BD7326"/>
    <w:rsid w:val="00BE0719"/>
    <w:rsid w:val="00BE07BB"/>
    <w:rsid w:val="00BE0B6B"/>
    <w:rsid w:val="00BE0F0C"/>
    <w:rsid w:val="00BE0FFC"/>
    <w:rsid w:val="00BE1985"/>
    <w:rsid w:val="00BE1C8C"/>
    <w:rsid w:val="00BE42B5"/>
    <w:rsid w:val="00BE440B"/>
    <w:rsid w:val="00BE4CF6"/>
    <w:rsid w:val="00BE77F6"/>
    <w:rsid w:val="00BF1912"/>
    <w:rsid w:val="00BF2C02"/>
    <w:rsid w:val="00BF4120"/>
    <w:rsid w:val="00BF4B51"/>
    <w:rsid w:val="00C00FFD"/>
    <w:rsid w:val="00C0156F"/>
    <w:rsid w:val="00C033E7"/>
    <w:rsid w:val="00C04BDB"/>
    <w:rsid w:val="00C12343"/>
    <w:rsid w:val="00C144F7"/>
    <w:rsid w:val="00C156DA"/>
    <w:rsid w:val="00C2010E"/>
    <w:rsid w:val="00C201E3"/>
    <w:rsid w:val="00C2191B"/>
    <w:rsid w:val="00C222CE"/>
    <w:rsid w:val="00C22F08"/>
    <w:rsid w:val="00C23F56"/>
    <w:rsid w:val="00C26738"/>
    <w:rsid w:val="00C32A18"/>
    <w:rsid w:val="00C3746A"/>
    <w:rsid w:val="00C401CA"/>
    <w:rsid w:val="00C404C1"/>
    <w:rsid w:val="00C42B1B"/>
    <w:rsid w:val="00C42DDA"/>
    <w:rsid w:val="00C4326A"/>
    <w:rsid w:val="00C4442E"/>
    <w:rsid w:val="00C448B2"/>
    <w:rsid w:val="00C46D33"/>
    <w:rsid w:val="00C479C9"/>
    <w:rsid w:val="00C507AF"/>
    <w:rsid w:val="00C50B15"/>
    <w:rsid w:val="00C50B26"/>
    <w:rsid w:val="00C53AE2"/>
    <w:rsid w:val="00C54CD1"/>
    <w:rsid w:val="00C55103"/>
    <w:rsid w:val="00C556A2"/>
    <w:rsid w:val="00C562D0"/>
    <w:rsid w:val="00C5645B"/>
    <w:rsid w:val="00C577FA"/>
    <w:rsid w:val="00C60431"/>
    <w:rsid w:val="00C60AAB"/>
    <w:rsid w:val="00C62C27"/>
    <w:rsid w:val="00C63107"/>
    <w:rsid w:val="00C63C61"/>
    <w:rsid w:val="00C66E4B"/>
    <w:rsid w:val="00C709FB"/>
    <w:rsid w:val="00C71AEA"/>
    <w:rsid w:val="00C71B38"/>
    <w:rsid w:val="00C72815"/>
    <w:rsid w:val="00C7616E"/>
    <w:rsid w:val="00C76680"/>
    <w:rsid w:val="00C77EE6"/>
    <w:rsid w:val="00C80285"/>
    <w:rsid w:val="00C80D0B"/>
    <w:rsid w:val="00C818DE"/>
    <w:rsid w:val="00C825F8"/>
    <w:rsid w:val="00C84248"/>
    <w:rsid w:val="00C84AA4"/>
    <w:rsid w:val="00C86844"/>
    <w:rsid w:val="00C8763F"/>
    <w:rsid w:val="00C90B6C"/>
    <w:rsid w:val="00C90DCA"/>
    <w:rsid w:val="00C95BD5"/>
    <w:rsid w:val="00C95FB5"/>
    <w:rsid w:val="00C972CB"/>
    <w:rsid w:val="00C979CD"/>
    <w:rsid w:val="00C97E61"/>
    <w:rsid w:val="00CA06E1"/>
    <w:rsid w:val="00CA3E0C"/>
    <w:rsid w:val="00CA44B4"/>
    <w:rsid w:val="00CA5A11"/>
    <w:rsid w:val="00CA5B6E"/>
    <w:rsid w:val="00CA613C"/>
    <w:rsid w:val="00CA6A90"/>
    <w:rsid w:val="00CB2424"/>
    <w:rsid w:val="00CB3553"/>
    <w:rsid w:val="00CB3D2B"/>
    <w:rsid w:val="00CB4C86"/>
    <w:rsid w:val="00CB53F8"/>
    <w:rsid w:val="00CB6E0B"/>
    <w:rsid w:val="00CB76D6"/>
    <w:rsid w:val="00CC0212"/>
    <w:rsid w:val="00CC1AD3"/>
    <w:rsid w:val="00CC1CEA"/>
    <w:rsid w:val="00CC28F2"/>
    <w:rsid w:val="00CC2FDE"/>
    <w:rsid w:val="00CC4C6F"/>
    <w:rsid w:val="00CC67B4"/>
    <w:rsid w:val="00CC751E"/>
    <w:rsid w:val="00CC75CB"/>
    <w:rsid w:val="00CD0377"/>
    <w:rsid w:val="00CD305E"/>
    <w:rsid w:val="00CD6B95"/>
    <w:rsid w:val="00CD79D1"/>
    <w:rsid w:val="00CE0E4F"/>
    <w:rsid w:val="00CE1E66"/>
    <w:rsid w:val="00CE1E9B"/>
    <w:rsid w:val="00CE30C8"/>
    <w:rsid w:val="00CE46D7"/>
    <w:rsid w:val="00CE4A7B"/>
    <w:rsid w:val="00CE4ABD"/>
    <w:rsid w:val="00CE4C6A"/>
    <w:rsid w:val="00CE5712"/>
    <w:rsid w:val="00CE61CE"/>
    <w:rsid w:val="00CE678D"/>
    <w:rsid w:val="00CE7A79"/>
    <w:rsid w:val="00CF0AE0"/>
    <w:rsid w:val="00CF3529"/>
    <w:rsid w:val="00CF4307"/>
    <w:rsid w:val="00CF5E37"/>
    <w:rsid w:val="00CF60FB"/>
    <w:rsid w:val="00CF72A4"/>
    <w:rsid w:val="00D0100E"/>
    <w:rsid w:val="00D01999"/>
    <w:rsid w:val="00D02118"/>
    <w:rsid w:val="00D02619"/>
    <w:rsid w:val="00D051CD"/>
    <w:rsid w:val="00D063AC"/>
    <w:rsid w:val="00D1179B"/>
    <w:rsid w:val="00D11C37"/>
    <w:rsid w:val="00D123D3"/>
    <w:rsid w:val="00D13CE8"/>
    <w:rsid w:val="00D1430A"/>
    <w:rsid w:val="00D1450C"/>
    <w:rsid w:val="00D15CBB"/>
    <w:rsid w:val="00D1753B"/>
    <w:rsid w:val="00D20C82"/>
    <w:rsid w:val="00D22571"/>
    <w:rsid w:val="00D25852"/>
    <w:rsid w:val="00D26194"/>
    <w:rsid w:val="00D27470"/>
    <w:rsid w:val="00D33B0E"/>
    <w:rsid w:val="00D35351"/>
    <w:rsid w:val="00D36044"/>
    <w:rsid w:val="00D36A20"/>
    <w:rsid w:val="00D40EB0"/>
    <w:rsid w:val="00D432E4"/>
    <w:rsid w:val="00D44BF7"/>
    <w:rsid w:val="00D453EE"/>
    <w:rsid w:val="00D4570C"/>
    <w:rsid w:val="00D46817"/>
    <w:rsid w:val="00D517FD"/>
    <w:rsid w:val="00D51DB1"/>
    <w:rsid w:val="00D5233F"/>
    <w:rsid w:val="00D5597B"/>
    <w:rsid w:val="00D565E5"/>
    <w:rsid w:val="00D567AB"/>
    <w:rsid w:val="00D60C39"/>
    <w:rsid w:val="00D62A64"/>
    <w:rsid w:val="00D709B1"/>
    <w:rsid w:val="00D73303"/>
    <w:rsid w:val="00D73C16"/>
    <w:rsid w:val="00D75B2D"/>
    <w:rsid w:val="00D767D8"/>
    <w:rsid w:val="00D77BB1"/>
    <w:rsid w:val="00D800E1"/>
    <w:rsid w:val="00D81375"/>
    <w:rsid w:val="00D8139E"/>
    <w:rsid w:val="00D81B3A"/>
    <w:rsid w:val="00D84ACF"/>
    <w:rsid w:val="00D84AEE"/>
    <w:rsid w:val="00D86106"/>
    <w:rsid w:val="00D879F9"/>
    <w:rsid w:val="00D87D27"/>
    <w:rsid w:val="00D91A9D"/>
    <w:rsid w:val="00D93508"/>
    <w:rsid w:val="00D94099"/>
    <w:rsid w:val="00D954BF"/>
    <w:rsid w:val="00D979D8"/>
    <w:rsid w:val="00D97CD8"/>
    <w:rsid w:val="00D97F0F"/>
    <w:rsid w:val="00DA0226"/>
    <w:rsid w:val="00DA40F7"/>
    <w:rsid w:val="00DA6747"/>
    <w:rsid w:val="00DA6EA5"/>
    <w:rsid w:val="00DB03BF"/>
    <w:rsid w:val="00DB0659"/>
    <w:rsid w:val="00DB33A8"/>
    <w:rsid w:val="00DB522C"/>
    <w:rsid w:val="00DB7449"/>
    <w:rsid w:val="00DC0288"/>
    <w:rsid w:val="00DC07FE"/>
    <w:rsid w:val="00DC11B2"/>
    <w:rsid w:val="00DC236B"/>
    <w:rsid w:val="00DC3ABD"/>
    <w:rsid w:val="00DC7338"/>
    <w:rsid w:val="00DC7719"/>
    <w:rsid w:val="00DC7852"/>
    <w:rsid w:val="00DD10E0"/>
    <w:rsid w:val="00DD13D1"/>
    <w:rsid w:val="00DD1F2D"/>
    <w:rsid w:val="00DD6D60"/>
    <w:rsid w:val="00DE4113"/>
    <w:rsid w:val="00DE47E5"/>
    <w:rsid w:val="00DE63C6"/>
    <w:rsid w:val="00DE6C46"/>
    <w:rsid w:val="00E01129"/>
    <w:rsid w:val="00E01C38"/>
    <w:rsid w:val="00E05D9E"/>
    <w:rsid w:val="00E1167A"/>
    <w:rsid w:val="00E12829"/>
    <w:rsid w:val="00E132E3"/>
    <w:rsid w:val="00E13B7F"/>
    <w:rsid w:val="00E233AF"/>
    <w:rsid w:val="00E23F4B"/>
    <w:rsid w:val="00E24055"/>
    <w:rsid w:val="00E24316"/>
    <w:rsid w:val="00E30446"/>
    <w:rsid w:val="00E32BA8"/>
    <w:rsid w:val="00E35BDA"/>
    <w:rsid w:val="00E35CFB"/>
    <w:rsid w:val="00E36337"/>
    <w:rsid w:val="00E367C3"/>
    <w:rsid w:val="00E40D4E"/>
    <w:rsid w:val="00E4488A"/>
    <w:rsid w:val="00E467C8"/>
    <w:rsid w:val="00E47B40"/>
    <w:rsid w:val="00E52624"/>
    <w:rsid w:val="00E52FDB"/>
    <w:rsid w:val="00E539C2"/>
    <w:rsid w:val="00E54255"/>
    <w:rsid w:val="00E543B5"/>
    <w:rsid w:val="00E54BE1"/>
    <w:rsid w:val="00E557DD"/>
    <w:rsid w:val="00E5591E"/>
    <w:rsid w:val="00E559EB"/>
    <w:rsid w:val="00E57B38"/>
    <w:rsid w:val="00E65339"/>
    <w:rsid w:val="00E677A4"/>
    <w:rsid w:val="00E701E5"/>
    <w:rsid w:val="00E708EF"/>
    <w:rsid w:val="00E72693"/>
    <w:rsid w:val="00E738B5"/>
    <w:rsid w:val="00E7416E"/>
    <w:rsid w:val="00E749E5"/>
    <w:rsid w:val="00E75679"/>
    <w:rsid w:val="00E75D08"/>
    <w:rsid w:val="00E7785E"/>
    <w:rsid w:val="00E77F55"/>
    <w:rsid w:val="00E80531"/>
    <w:rsid w:val="00E80697"/>
    <w:rsid w:val="00E81837"/>
    <w:rsid w:val="00E81FD7"/>
    <w:rsid w:val="00E86158"/>
    <w:rsid w:val="00E867E7"/>
    <w:rsid w:val="00E86D7C"/>
    <w:rsid w:val="00E9116A"/>
    <w:rsid w:val="00E91F99"/>
    <w:rsid w:val="00E941B5"/>
    <w:rsid w:val="00E94498"/>
    <w:rsid w:val="00E947BA"/>
    <w:rsid w:val="00E96289"/>
    <w:rsid w:val="00E96517"/>
    <w:rsid w:val="00EA15FE"/>
    <w:rsid w:val="00EA1CF9"/>
    <w:rsid w:val="00EA31C1"/>
    <w:rsid w:val="00EA3881"/>
    <w:rsid w:val="00EA43D6"/>
    <w:rsid w:val="00EA4CAA"/>
    <w:rsid w:val="00EA6894"/>
    <w:rsid w:val="00EA7FFE"/>
    <w:rsid w:val="00EB0294"/>
    <w:rsid w:val="00EB0B3C"/>
    <w:rsid w:val="00EB12BB"/>
    <w:rsid w:val="00EB1C54"/>
    <w:rsid w:val="00EB2C99"/>
    <w:rsid w:val="00EB4C22"/>
    <w:rsid w:val="00EB66B6"/>
    <w:rsid w:val="00EC0B3A"/>
    <w:rsid w:val="00EC3B9C"/>
    <w:rsid w:val="00EC49E6"/>
    <w:rsid w:val="00EC5086"/>
    <w:rsid w:val="00EC68AE"/>
    <w:rsid w:val="00EC6EA1"/>
    <w:rsid w:val="00EC75AE"/>
    <w:rsid w:val="00EC7614"/>
    <w:rsid w:val="00ED0974"/>
    <w:rsid w:val="00ED3416"/>
    <w:rsid w:val="00ED3434"/>
    <w:rsid w:val="00ED39BC"/>
    <w:rsid w:val="00ED3AE3"/>
    <w:rsid w:val="00ED3B66"/>
    <w:rsid w:val="00ED4CDB"/>
    <w:rsid w:val="00ED634F"/>
    <w:rsid w:val="00ED6615"/>
    <w:rsid w:val="00ED7B6B"/>
    <w:rsid w:val="00EE2C9F"/>
    <w:rsid w:val="00EE3107"/>
    <w:rsid w:val="00EE3288"/>
    <w:rsid w:val="00EE484A"/>
    <w:rsid w:val="00EE7B44"/>
    <w:rsid w:val="00EF144D"/>
    <w:rsid w:val="00EF53C3"/>
    <w:rsid w:val="00EF6441"/>
    <w:rsid w:val="00EF6FAE"/>
    <w:rsid w:val="00EF7376"/>
    <w:rsid w:val="00EF7C6D"/>
    <w:rsid w:val="00F01B5B"/>
    <w:rsid w:val="00F05443"/>
    <w:rsid w:val="00F05B5C"/>
    <w:rsid w:val="00F05EB3"/>
    <w:rsid w:val="00F06410"/>
    <w:rsid w:val="00F077DE"/>
    <w:rsid w:val="00F10399"/>
    <w:rsid w:val="00F1160B"/>
    <w:rsid w:val="00F11C88"/>
    <w:rsid w:val="00F124F5"/>
    <w:rsid w:val="00F14C79"/>
    <w:rsid w:val="00F23C54"/>
    <w:rsid w:val="00F262B3"/>
    <w:rsid w:val="00F26969"/>
    <w:rsid w:val="00F3461C"/>
    <w:rsid w:val="00F350A2"/>
    <w:rsid w:val="00F3606F"/>
    <w:rsid w:val="00F36DD9"/>
    <w:rsid w:val="00F4083E"/>
    <w:rsid w:val="00F4255F"/>
    <w:rsid w:val="00F431CA"/>
    <w:rsid w:val="00F43FCC"/>
    <w:rsid w:val="00F44C09"/>
    <w:rsid w:val="00F46985"/>
    <w:rsid w:val="00F4793B"/>
    <w:rsid w:val="00F50928"/>
    <w:rsid w:val="00F50A02"/>
    <w:rsid w:val="00F50B69"/>
    <w:rsid w:val="00F511B8"/>
    <w:rsid w:val="00F516A9"/>
    <w:rsid w:val="00F51B47"/>
    <w:rsid w:val="00F53A23"/>
    <w:rsid w:val="00F5401E"/>
    <w:rsid w:val="00F5445C"/>
    <w:rsid w:val="00F555D0"/>
    <w:rsid w:val="00F578FA"/>
    <w:rsid w:val="00F60E60"/>
    <w:rsid w:val="00F60E86"/>
    <w:rsid w:val="00F612FE"/>
    <w:rsid w:val="00F6226D"/>
    <w:rsid w:val="00F63AA4"/>
    <w:rsid w:val="00F66D8C"/>
    <w:rsid w:val="00F67628"/>
    <w:rsid w:val="00F70555"/>
    <w:rsid w:val="00F70D25"/>
    <w:rsid w:val="00F71F96"/>
    <w:rsid w:val="00F742BC"/>
    <w:rsid w:val="00F74DBA"/>
    <w:rsid w:val="00F75674"/>
    <w:rsid w:val="00F76094"/>
    <w:rsid w:val="00F77822"/>
    <w:rsid w:val="00F77E83"/>
    <w:rsid w:val="00F80E4E"/>
    <w:rsid w:val="00F848CF"/>
    <w:rsid w:val="00F85264"/>
    <w:rsid w:val="00F85B2F"/>
    <w:rsid w:val="00F861C4"/>
    <w:rsid w:val="00F91A6E"/>
    <w:rsid w:val="00F925B3"/>
    <w:rsid w:val="00F96041"/>
    <w:rsid w:val="00FA0A73"/>
    <w:rsid w:val="00FA1478"/>
    <w:rsid w:val="00FA465E"/>
    <w:rsid w:val="00FA59FF"/>
    <w:rsid w:val="00FA5C08"/>
    <w:rsid w:val="00FA7200"/>
    <w:rsid w:val="00FA75A4"/>
    <w:rsid w:val="00FB085D"/>
    <w:rsid w:val="00FB0E96"/>
    <w:rsid w:val="00FB2B0E"/>
    <w:rsid w:val="00FB7C4A"/>
    <w:rsid w:val="00FC2A18"/>
    <w:rsid w:val="00FC3F9B"/>
    <w:rsid w:val="00FC4C13"/>
    <w:rsid w:val="00FC4E9C"/>
    <w:rsid w:val="00FC6EEF"/>
    <w:rsid w:val="00FD0333"/>
    <w:rsid w:val="00FD2581"/>
    <w:rsid w:val="00FD4C52"/>
    <w:rsid w:val="00FD638F"/>
    <w:rsid w:val="00FD67DF"/>
    <w:rsid w:val="00FD75F6"/>
    <w:rsid w:val="00FD7F66"/>
    <w:rsid w:val="00FE07C1"/>
    <w:rsid w:val="00FE0C87"/>
    <w:rsid w:val="00FE1185"/>
    <w:rsid w:val="00FE1C2B"/>
    <w:rsid w:val="00FE334E"/>
    <w:rsid w:val="00FE3C0C"/>
    <w:rsid w:val="00FE3CF8"/>
    <w:rsid w:val="00FE4879"/>
    <w:rsid w:val="00FE5021"/>
    <w:rsid w:val="00FE7542"/>
    <w:rsid w:val="00FE7FCB"/>
    <w:rsid w:val="00FF138F"/>
    <w:rsid w:val="00FF1724"/>
    <w:rsid w:val="00FF1816"/>
    <w:rsid w:val="00FF2250"/>
    <w:rsid w:val="00FF242E"/>
    <w:rsid w:val="00FF38EE"/>
    <w:rsid w:val="00FF3B33"/>
    <w:rsid w:val="00FF4B99"/>
    <w:rsid w:val="00FF4CA3"/>
    <w:rsid w:val="00FF5C7F"/>
    <w:rsid w:val="010348CA"/>
    <w:rsid w:val="01074EC2"/>
    <w:rsid w:val="010C770C"/>
    <w:rsid w:val="010D53C3"/>
    <w:rsid w:val="011B0745"/>
    <w:rsid w:val="011B0F24"/>
    <w:rsid w:val="01222163"/>
    <w:rsid w:val="012D0849"/>
    <w:rsid w:val="01437C9C"/>
    <w:rsid w:val="01454C77"/>
    <w:rsid w:val="014B2CCB"/>
    <w:rsid w:val="014D071C"/>
    <w:rsid w:val="015E2E3F"/>
    <w:rsid w:val="01661B19"/>
    <w:rsid w:val="016B3AD8"/>
    <w:rsid w:val="016E6CE4"/>
    <w:rsid w:val="01717F4F"/>
    <w:rsid w:val="017A5202"/>
    <w:rsid w:val="017A674F"/>
    <w:rsid w:val="01846F4E"/>
    <w:rsid w:val="018607BE"/>
    <w:rsid w:val="01867FE8"/>
    <w:rsid w:val="0189685E"/>
    <w:rsid w:val="018A1427"/>
    <w:rsid w:val="018A3753"/>
    <w:rsid w:val="019D0802"/>
    <w:rsid w:val="01AD5116"/>
    <w:rsid w:val="01AF73BA"/>
    <w:rsid w:val="01B06081"/>
    <w:rsid w:val="01BC0727"/>
    <w:rsid w:val="01C36075"/>
    <w:rsid w:val="01C76BE9"/>
    <w:rsid w:val="01C77956"/>
    <w:rsid w:val="01D41E6A"/>
    <w:rsid w:val="01D86F17"/>
    <w:rsid w:val="01DC703A"/>
    <w:rsid w:val="01E33478"/>
    <w:rsid w:val="01E505F5"/>
    <w:rsid w:val="01EC339D"/>
    <w:rsid w:val="01F71227"/>
    <w:rsid w:val="01F71329"/>
    <w:rsid w:val="01FE3B56"/>
    <w:rsid w:val="01FF2A63"/>
    <w:rsid w:val="020411DA"/>
    <w:rsid w:val="02056D00"/>
    <w:rsid w:val="020A2D5F"/>
    <w:rsid w:val="020B16F5"/>
    <w:rsid w:val="020C6BED"/>
    <w:rsid w:val="020E5C6F"/>
    <w:rsid w:val="021672F2"/>
    <w:rsid w:val="021A393D"/>
    <w:rsid w:val="021F5A55"/>
    <w:rsid w:val="02287D4B"/>
    <w:rsid w:val="022C6982"/>
    <w:rsid w:val="022F64C0"/>
    <w:rsid w:val="02367B60"/>
    <w:rsid w:val="02397D48"/>
    <w:rsid w:val="023B7E41"/>
    <w:rsid w:val="02422EA5"/>
    <w:rsid w:val="024C1B2A"/>
    <w:rsid w:val="02567F10"/>
    <w:rsid w:val="02580D35"/>
    <w:rsid w:val="02607E51"/>
    <w:rsid w:val="02673680"/>
    <w:rsid w:val="026E3962"/>
    <w:rsid w:val="0272471B"/>
    <w:rsid w:val="0274786A"/>
    <w:rsid w:val="027A5940"/>
    <w:rsid w:val="027A7208"/>
    <w:rsid w:val="027D6BAF"/>
    <w:rsid w:val="027F129C"/>
    <w:rsid w:val="0288005D"/>
    <w:rsid w:val="028E55D3"/>
    <w:rsid w:val="029C258E"/>
    <w:rsid w:val="029D518A"/>
    <w:rsid w:val="02A116C6"/>
    <w:rsid w:val="02A423F3"/>
    <w:rsid w:val="02AC36BD"/>
    <w:rsid w:val="02B131E9"/>
    <w:rsid w:val="02B65D46"/>
    <w:rsid w:val="02B71C54"/>
    <w:rsid w:val="02C221F0"/>
    <w:rsid w:val="02C8018C"/>
    <w:rsid w:val="02D30952"/>
    <w:rsid w:val="02D64230"/>
    <w:rsid w:val="02D73F78"/>
    <w:rsid w:val="02DF442B"/>
    <w:rsid w:val="02E76ECA"/>
    <w:rsid w:val="02E8192B"/>
    <w:rsid w:val="02EC7CC7"/>
    <w:rsid w:val="02EF29FB"/>
    <w:rsid w:val="02EF6F20"/>
    <w:rsid w:val="02F7667D"/>
    <w:rsid w:val="031468D6"/>
    <w:rsid w:val="032361BA"/>
    <w:rsid w:val="03240870"/>
    <w:rsid w:val="03256E07"/>
    <w:rsid w:val="032778FD"/>
    <w:rsid w:val="03287A78"/>
    <w:rsid w:val="032A1114"/>
    <w:rsid w:val="032B56E1"/>
    <w:rsid w:val="032D3FC7"/>
    <w:rsid w:val="032E4575"/>
    <w:rsid w:val="033E202B"/>
    <w:rsid w:val="0341020B"/>
    <w:rsid w:val="034F69B8"/>
    <w:rsid w:val="037A42E0"/>
    <w:rsid w:val="037B54CB"/>
    <w:rsid w:val="03822048"/>
    <w:rsid w:val="038237DB"/>
    <w:rsid w:val="038A1793"/>
    <w:rsid w:val="038A69C4"/>
    <w:rsid w:val="038F0F77"/>
    <w:rsid w:val="03903DCB"/>
    <w:rsid w:val="03911096"/>
    <w:rsid w:val="039C5E96"/>
    <w:rsid w:val="03A13EF0"/>
    <w:rsid w:val="03A7674D"/>
    <w:rsid w:val="03A84344"/>
    <w:rsid w:val="03AB6040"/>
    <w:rsid w:val="03B375DB"/>
    <w:rsid w:val="03B663F5"/>
    <w:rsid w:val="03C35C40"/>
    <w:rsid w:val="03CE219C"/>
    <w:rsid w:val="03D032AA"/>
    <w:rsid w:val="03D4672D"/>
    <w:rsid w:val="03D54200"/>
    <w:rsid w:val="03D874E6"/>
    <w:rsid w:val="03DB1089"/>
    <w:rsid w:val="03DE572A"/>
    <w:rsid w:val="03E859A6"/>
    <w:rsid w:val="03EE4141"/>
    <w:rsid w:val="03F37758"/>
    <w:rsid w:val="03FA61DB"/>
    <w:rsid w:val="04001C69"/>
    <w:rsid w:val="04094CDD"/>
    <w:rsid w:val="04161698"/>
    <w:rsid w:val="041E3CC9"/>
    <w:rsid w:val="04287425"/>
    <w:rsid w:val="042A536C"/>
    <w:rsid w:val="0441587E"/>
    <w:rsid w:val="044A698F"/>
    <w:rsid w:val="04531FA4"/>
    <w:rsid w:val="045D7740"/>
    <w:rsid w:val="0461345D"/>
    <w:rsid w:val="046F7D4C"/>
    <w:rsid w:val="047C47B3"/>
    <w:rsid w:val="047D0D01"/>
    <w:rsid w:val="04853768"/>
    <w:rsid w:val="048F6F97"/>
    <w:rsid w:val="04906647"/>
    <w:rsid w:val="04960DC4"/>
    <w:rsid w:val="049E59C7"/>
    <w:rsid w:val="04A465CA"/>
    <w:rsid w:val="04A8338F"/>
    <w:rsid w:val="04B73D05"/>
    <w:rsid w:val="04C57532"/>
    <w:rsid w:val="04D3719B"/>
    <w:rsid w:val="04D74983"/>
    <w:rsid w:val="04D86756"/>
    <w:rsid w:val="04D9350E"/>
    <w:rsid w:val="04DB0799"/>
    <w:rsid w:val="04DF048C"/>
    <w:rsid w:val="04DF1508"/>
    <w:rsid w:val="04E74DDF"/>
    <w:rsid w:val="04EB48D3"/>
    <w:rsid w:val="04F139CF"/>
    <w:rsid w:val="04F63474"/>
    <w:rsid w:val="050339CA"/>
    <w:rsid w:val="050B1E36"/>
    <w:rsid w:val="050B69F8"/>
    <w:rsid w:val="05191440"/>
    <w:rsid w:val="051B4E91"/>
    <w:rsid w:val="051C6368"/>
    <w:rsid w:val="051E0BD4"/>
    <w:rsid w:val="051F77D9"/>
    <w:rsid w:val="05246DAD"/>
    <w:rsid w:val="052D6C99"/>
    <w:rsid w:val="05345112"/>
    <w:rsid w:val="05355B4E"/>
    <w:rsid w:val="0538546B"/>
    <w:rsid w:val="053C0C8A"/>
    <w:rsid w:val="053D6603"/>
    <w:rsid w:val="05444A5B"/>
    <w:rsid w:val="0545515C"/>
    <w:rsid w:val="054F3C73"/>
    <w:rsid w:val="055102B4"/>
    <w:rsid w:val="055B251E"/>
    <w:rsid w:val="055E1626"/>
    <w:rsid w:val="05616943"/>
    <w:rsid w:val="056215BC"/>
    <w:rsid w:val="05645481"/>
    <w:rsid w:val="05663DA1"/>
    <w:rsid w:val="05691A6B"/>
    <w:rsid w:val="056B4D72"/>
    <w:rsid w:val="05700AA4"/>
    <w:rsid w:val="057367AC"/>
    <w:rsid w:val="057A68A1"/>
    <w:rsid w:val="05A94084"/>
    <w:rsid w:val="05AB7BBE"/>
    <w:rsid w:val="05AC22B4"/>
    <w:rsid w:val="05B7054C"/>
    <w:rsid w:val="05B76009"/>
    <w:rsid w:val="05B80B77"/>
    <w:rsid w:val="05B912FE"/>
    <w:rsid w:val="05B9677F"/>
    <w:rsid w:val="05BC001D"/>
    <w:rsid w:val="05BC566A"/>
    <w:rsid w:val="05BF02E6"/>
    <w:rsid w:val="05CE280E"/>
    <w:rsid w:val="05D5035C"/>
    <w:rsid w:val="05F72E03"/>
    <w:rsid w:val="06036285"/>
    <w:rsid w:val="0604243D"/>
    <w:rsid w:val="06120806"/>
    <w:rsid w:val="06124050"/>
    <w:rsid w:val="06170B04"/>
    <w:rsid w:val="061D47B0"/>
    <w:rsid w:val="062A1CE3"/>
    <w:rsid w:val="062C6F51"/>
    <w:rsid w:val="062E2CC9"/>
    <w:rsid w:val="0640095C"/>
    <w:rsid w:val="06462D6D"/>
    <w:rsid w:val="064C7E90"/>
    <w:rsid w:val="06512F53"/>
    <w:rsid w:val="0652420A"/>
    <w:rsid w:val="065379A1"/>
    <w:rsid w:val="065B4E27"/>
    <w:rsid w:val="065E4099"/>
    <w:rsid w:val="065F7385"/>
    <w:rsid w:val="066974F6"/>
    <w:rsid w:val="066C37F1"/>
    <w:rsid w:val="06741E2A"/>
    <w:rsid w:val="067B2C5A"/>
    <w:rsid w:val="067D4177"/>
    <w:rsid w:val="067F19CE"/>
    <w:rsid w:val="06830532"/>
    <w:rsid w:val="06982689"/>
    <w:rsid w:val="06AD6A8D"/>
    <w:rsid w:val="06BD13E0"/>
    <w:rsid w:val="06BF7DC5"/>
    <w:rsid w:val="06C24DC9"/>
    <w:rsid w:val="06C93158"/>
    <w:rsid w:val="06CC1D7E"/>
    <w:rsid w:val="06DB7EE6"/>
    <w:rsid w:val="06DF671B"/>
    <w:rsid w:val="06E5362C"/>
    <w:rsid w:val="06E72ECD"/>
    <w:rsid w:val="06E81B23"/>
    <w:rsid w:val="06EA20B0"/>
    <w:rsid w:val="06F21187"/>
    <w:rsid w:val="06FA4C40"/>
    <w:rsid w:val="0702257C"/>
    <w:rsid w:val="07054DB1"/>
    <w:rsid w:val="07081469"/>
    <w:rsid w:val="07096063"/>
    <w:rsid w:val="070A504C"/>
    <w:rsid w:val="070E5296"/>
    <w:rsid w:val="07146A36"/>
    <w:rsid w:val="071E2D3E"/>
    <w:rsid w:val="072355A3"/>
    <w:rsid w:val="07247C28"/>
    <w:rsid w:val="07255094"/>
    <w:rsid w:val="072B5798"/>
    <w:rsid w:val="073360BD"/>
    <w:rsid w:val="0738162C"/>
    <w:rsid w:val="073A5C95"/>
    <w:rsid w:val="07410BB1"/>
    <w:rsid w:val="0748799D"/>
    <w:rsid w:val="07497CF6"/>
    <w:rsid w:val="075C38E0"/>
    <w:rsid w:val="0762247B"/>
    <w:rsid w:val="076349BF"/>
    <w:rsid w:val="0765047C"/>
    <w:rsid w:val="07653A01"/>
    <w:rsid w:val="07726CDC"/>
    <w:rsid w:val="07741F8C"/>
    <w:rsid w:val="07766781"/>
    <w:rsid w:val="077741FC"/>
    <w:rsid w:val="077F0A25"/>
    <w:rsid w:val="078165D6"/>
    <w:rsid w:val="07861A44"/>
    <w:rsid w:val="07887FAF"/>
    <w:rsid w:val="07911E87"/>
    <w:rsid w:val="0797664C"/>
    <w:rsid w:val="079E1E1E"/>
    <w:rsid w:val="079E1ED1"/>
    <w:rsid w:val="07A670E8"/>
    <w:rsid w:val="07A9627E"/>
    <w:rsid w:val="07B672CB"/>
    <w:rsid w:val="07C6558B"/>
    <w:rsid w:val="07C80EED"/>
    <w:rsid w:val="07CA4C73"/>
    <w:rsid w:val="07D032D5"/>
    <w:rsid w:val="07D22BEC"/>
    <w:rsid w:val="07D7357C"/>
    <w:rsid w:val="07DD4FF8"/>
    <w:rsid w:val="07E41A00"/>
    <w:rsid w:val="07EF0382"/>
    <w:rsid w:val="07F047CA"/>
    <w:rsid w:val="07F32971"/>
    <w:rsid w:val="07F365EB"/>
    <w:rsid w:val="07F733F2"/>
    <w:rsid w:val="07FA4F1C"/>
    <w:rsid w:val="07FB43E9"/>
    <w:rsid w:val="080B3399"/>
    <w:rsid w:val="080C3319"/>
    <w:rsid w:val="081202B3"/>
    <w:rsid w:val="08180369"/>
    <w:rsid w:val="082507A2"/>
    <w:rsid w:val="08282A76"/>
    <w:rsid w:val="082A41EA"/>
    <w:rsid w:val="082C41C0"/>
    <w:rsid w:val="082D1A59"/>
    <w:rsid w:val="082F466F"/>
    <w:rsid w:val="083141E6"/>
    <w:rsid w:val="08365AD5"/>
    <w:rsid w:val="08367E3B"/>
    <w:rsid w:val="08372DCC"/>
    <w:rsid w:val="08404F36"/>
    <w:rsid w:val="08412ED0"/>
    <w:rsid w:val="08493DEA"/>
    <w:rsid w:val="084C1B44"/>
    <w:rsid w:val="085265A0"/>
    <w:rsid w:val="085B0099"/>
    <w:rsid w:val="085E4548"/>
    <w:rsid w:val="08684CE0"/>
    <w:rsid w:val="086C0A1B"/>
    <w:rsid w:val="087020C5"/>
    <w:rsid w:val="08707CF7"/>
    <w:rsid w:val="08755236"/>
    <w:rsid w:val="0879379A"/>
    <w:rsid w:val="0883706B"/>
    <w:rsid w:val="08A412A6"/>
    <w:rsid w:val="08AC25CB"/>
    <w:rsid w:val="08C003B1"/>
    <w:rsid w:val="08C67D4B"/>
    <w:rsid w:val="08CF3B9B"/>
    <w:rsid w:val="08D056A8"/>
    <w:rsid w:val="08D06D92"/>
    <w:rsid w:val="08D2511C"/>
    <w:rsid w:val="08D3272D"/>
    <w:rsid w:val="08E54DD4"/>
    <w:rsid w:val="08EE0368"/>
    <w:rsid w:val="08F72D76"/>
    <w:rsid w:val="08FE60B1"/>
    <w:rsid w:val="0902043D"/>
    <w:rsid w:val="090B40BB"/>
    <w:rsid w:val="090E139C"/>
    <w:rsid w:val="09120680"/>
    <w:rsid w:val="091E1F94"/>
    <w:rsid w:val="09262321"/>
    <w:rsid w:val="09302F57"/>
    <w:rsid w:val="09312E9C"/>
    <w:rsid w:val="09413DBA"/>
    <w:rsid w:val="09466D7B"/>
    <w:rsid w:val="094A04B5"/>
    <w:rsid w:val="09502F56"/>
    <w:rsid w:val="095764B1"/>
    <w:rsid w:val="096220A9"/>
    <w:rsid w:val="09637B1E"/>
    <w:rsid w:val="09654C46"/>
    <w:rsid w:val="09656EFA"/>
    <w:rsid w:val="09665185"/>
    <w:rsid w:val="096D28D9"/>
    <w:rsid w:val="09722ECD"/>
    <w:rsid w:val="097479AD"/>
    <w:rsid w:val="097E2CFA"/>
    <w:rsid w:val="098470A4"/>
    <w:rsid w:val="0986594A"/>
    <w:rsid w:val="098E6130"/>
    <w:rsid w:val="0992029A"/>
    <w:rsid w:val="0992531D"/>
    <w:rsid w:val="09A241CB"/>
    <w:rsid w:val="09A42825"/>
    <w:rsid w:val="09AC4708"/>
    <w:rsid w:val="09B05932"/>
    <w:rsid w:val="09C75100"/>
    <w:rsid w:val="09C87D69"/>
    <w:rsid w:val="09CC082B"/>
    <w:rsid w:val="09CD42C0"/>
    <w:rsid w:val="09DA4DDD"/>
    <w:rsid w:val="09DC6397"/>
    <w:rsid w:val="09DE6C5B"/>
    <w:rsid w:val="09E046C4"/>
    <w:rsid w:val="09E20C79"/>
    <w:rsid w:val="09E40CB3"/>
    <w:rsid w:val="09EB0ED1"/>
    <w:rsid w:val="09EB7C50"/>
    <w:rsid w:val="09EC36F1"/>
    <w:rsid w:val="09ED4C49"/>
    <w:rsid w:val="09F03543"/>
    <w:rsid w:val="09F87EE5"/>
    <w:rsid w:val="09FE31A7"/>
    <w:rsid w:val="0A1010CF"/>
    <w:rsid w:val="0A190B72"/>
    <w:rsid w:val="0A1F30D9"/>
    <w:rsid w:val="0A2829D6"/>
    <w:rsid w:val="0A2E5CC3"/>
    <w:rsid w:val="0A3337A9"/>
    <w:rsid w:val="0A36643B"/>
    <w:rsid w:val="0A3729F1"/>
    <w:rsid w:val="0A38214E"/>
    <w:rsid w:val="0A45629F"/>
    <w:rsid w:val="0A47735A"/>
    <w:rsid w:val="0A4C6329"/>
    <w:rsid w:val="0A5715CE"/>
    <w:rsid w:val="0A5922DF"/>
    <w:rsid w:val="0A6605B2"/>
    <w:rsid w:val="0A692563"/>
    <w:rsid w:val="0A695141"/>
    <w:rsid w:val="0A73514E"/>
    <w:rsid w:val="0A85794D"/>
    <w:rsid w:val="0A863DFA"/>
    <w:rsid w:val="0A877BE4"/>
    <w:rsid w:val="0A8D16B6"/>
    <w:rsid w:val="0A8F7AAE"/>
    <w:rsid w:val="0A9105CD"/>
    <w:rsid w:val="0A941A89"/>
    <w:rsid w:val="0A9B30A2"/>
    <w:rsid w:val="0A9B46A5"/>
    <w:rsid w:val="0AA96F34"/>
    <w:rsid w:val="0AB43D6A"/>
    <w:rsid w:val="0AC355B3"/>
    <w:rsid w:val="0ACB07F5"/>
    <w:rsid w:val="0AD22508"/>
    <w:rsid w:val="0AD6025D"/>
    <w:rsid w:val="0AD62EAF"/>
    <w:rsid w:val="0ADA341F"/>
    <w:rsid w:val="0AE0655C"/>
    <w:rsid w:val="0AF02EB1"/>
    <w:rsid w:val="0AF03640"/>
    <w:rsid w:val="0AF43286"/>
    <w:rsid w:val="0AF433D6"/>
    <w:rsid w:val="0AFB7A3F"/>
    <w:rsid w:val="0AFE2F73"/>
    <w:rsid w:val="0B035026"/>
    <w:rsid w:val="0B052548"/>
    <w:rsid w:val="0B057E33"/>
    <w:rsid w:val="0B085D5F"/>
    <w:rsid w:val="0B0C30FE"/>
    <w:rsid w:val="0B0D6F6B"/>
    <w:rsid w:val="0B177BAF"/>
    <w:rsid w:val="0B196515"/>
    <w:rsid w:val="0B1A49A8"/>
    <w:rsid w:val="0B204BAA"/>
    <w:rsid w:val="0B276F23"/>
    <w:rsid w:val="0B2B3FCD"/>
    <w:rsid w:val="0B2B4D91"/>
    <w:rsid w:val="0B304CAB"/>
    <w:rsid w:val="0B350656"/>
    <w:rsid w:val="0B3B1BD2"/>
    <w:rsid w:val="0B495E11"/>
    <w:rsid w:val="0B516C63"/>
    <w:rsid w:val="0B5A379F"/>
    <w:rsid w:val="0B5A5F56"/>
    <w:rsid w:val="0B603C52"/>
    <w:rsid w:val="0B621483"/>
    <w:rsid w:val="0B696EC9"/>
    <w:rsid w:val="0B6A4ED1"/>
    <w:rsid w:val="0B7F7B23"/>
    <w:rsid w:val="0B804E2E"/>
    <w:rsid w:val="0B8415DD"/>
    <w:rsid w:val="0B890F61"/>
    <w:rsid w:val="0B907F82"/>
    <w:rsid w:val="0B912523"/>
    <w:rsid w:val="0B991402"/>
    <w:rsid w:val="0B995A3F"/>
    <w:rsid w:val="0B995EA6"/>
    <w:rsid w:val="0B9E0788"/>
    <w:rsid w:val="0B9F01C5"/>
    <w:rsid w:val="0BA635F1"/>
    <w:rsid w:val="0BB5671B"/>
    <w:rsid w:val="0BBC72F6"/>
    <w:rsid w:val="0BDC60DF"/>
    <w:rsid w:val="0BDD41F5"/>
    <w:rsid w:val="0BDE296D"/>
    <w:rsid w:val="0BE40CC7"/>
    <w:rsid w:val="0BEC714C"/>
    <w:rsid w:val="0C1B3CF0"/>
    <w:rsid w:val="0C2410F1"/>
    <w:rsid w:val="0C275BE2"/>
    <w:rsid w:val="0C2D102E"/>
    <w:rsid w:val="0C2D6093"/>
    <w:rsid w:val="0C3B6140"/>
    <w:rsid w:val="0C406F08"/>
    <w:rsid w:val="0C495404"/>
    <w:rsid w:val="0C495501"/>
    <w:rsid w:val="0C496694"/>
    <w:rsid w:val="0C5B102E"/>
    <w:rsid w:val="0C6F2ECF"/>
    <w:rsid w:val="0C712247"/>
    <w:rsid w:val="0C724CF7"/>
    <w:rsid w:val="0C834B08"/>
    <w:rsid w:val="0C8F5EB3"/>
    <w:rsid w:val="0CA233EC"/>
    <w:rsid w:val="0CAA0D98"/>
    <w:rsid w:val="0CAD1827"/>
    <w:rsid w:val="0CAE147F"/>
    <w:rsid w:val="0CB3705D"/>
    <w:rsid w:val="0CB66FAE"/>
    <w:rsid w:val="0CC85D88"/>
    <w:rsid w:val="0CDB1764"/>
    <w:rsid w:val="0CDB227E"/>
    <w:rsid w:val="0CEB6161"/>
    <w:rsid w:val="0CFF114E"/>
    <w:rsid w:val="0D0024DC"/>
    <w:rsid w:val="0D0216A7"/>
    <w:rsid w:val="0D0A5472"/>
    <w:rsid w:val="0D0F3BAE"/>
    <w:rsid w:val="0D1000AE"/>
    <w:rsid w:val="0D192ECF"/>
    <w:rsid w:val="0D20155B"/>
    <w:rsid w:val="0D21456C"/>
    <w:rsid w:val="0D346A90"/>
    <w:rsid w:val="0D3709B8"/>
    <w:rsid w:val="0D3A01A5"/>
    <w:rsid w:val="0D423ECE"/>
    <w:rsid w:val="0D43523B"/>
    <w:rsid w:val="0D4B549C"/>
    <w:rsid w:val="0D4E1EA3"/>
    <w:rsid w:val="0D564607"/>
    <w:rsid w:val="0D6541CE"/>
    <w:rsid w:val="0D6F3985"/>
    <w:rsid w:val="0D78097E"/>
    <w:rsid w:val="0D7C070D"/>
    <w:rsid w:val="0D895893"/>
    <w:rsid w:val="0D8F76E7"/>
    <w:rsid w:val="0D921D8F"/>
    <w:rsid w:val="0D9326C9"/>
    <w:rsid w:val="0D95362E"/>
    <w:rsid w:val="0D9F31AB"/>
    <w:rsid w:val="0DA05B84"/>
    <w:rsid w:val="0DA45221"/>
    <w:rsid w:val="0DAA4203"/>
    <w:rsid w:val="0DAE1FD0"/>
    <w:rsid w:val="0DB064B7"/>
    <w:rsid w:val="0DBA3094"/>
    <w:rsid w:val="0DC363ED"/>
    <w:rsid w:val="0DC708B6"/>
    <w:rsid w:val="0DC7755F"/>
    <w:rsid w:val="0DC82B0C"/>
    <w:rsid w:val="0DCA4916"/>
    <w:rsid w:val="0DE16BD7"/>
    <w:rsid w:val="0DE6032D"/>
    <w:rsid w:val="0DE7727B"/>
    <w:rsid w:val="0DE83CBE"/>
    <w:rsid w:val="0DE855B4"/>
    <w:rsid w:val="0DED57F3"/>
    <w:rsid w:val="0DF93BBD"/>
    <w:rsid w:val="0DFD0FF8"/>
    <w:rsid w:val="0E020652"/>
    <w:rsid w:val="0E0E0BA0"/>
    <w:rsid w:val="0E105E2A"/>
    <w:rsid w:val="0E121122"/>
    <w:rsid w:val="0E1F4E4F"/>
    <w:rsid w:val="0E232103"/>
    <w:rsid w:val="0E282E33"/>
    <w:rsid w:val="0E36409E"/>
    <w:rsid w:val="0E382292"/>
    <w:rsid w:val="0E3D7DA2"/>
    <w:rsid w:val="0E3E6154"/>
    <w:rsid w:val="0E3F5D34"/>
    <w:rsid w:val="0E406CB2"/>
    <w:rsid w:val="0E4375A5"/>
    <w:rsid w:val="0E4446FF"/>
    <w:rsid w:val="0E4536AF"/>
    <w:rsid w:val="0E476AB6"/>
    <w:rsid w:val="0E5152F5"/>
    <w:rsid w:val="0E535749"/>
    <w:rsid w:val="0E53628F"/>
    <w:rsid w:val="0E572A69"/>
    <w:rsid w:val="0E5C25C2"/>
    <w:rsid w:val="0E5C4F14"/>
    <w:rsid w:val="0E621102"/>
    <w:rsid w:val="0E636356"/>
    <w:rsid w:val="0E64082E"/>
    <w:rsid w:val="0E6E219A"/>
    <w:rsid w:val="0E7576A5"/>
    <w:rsid w:val="0E7666D8"/>
    <w:rsid w:val="0E7863C7"/>
    <w:rsid w:val="0E8A0CB9"/>
    <w:rsid w:val="0E9144CA"/>
    <w:rsid w:val="0E9C0AEA"/>
    <w:rsid w:val="0E9C7695"/>
    <w:rsid w:val="0EAB6F0C"/>
    <w:rsid w:val="0EAC57CB"/>
    <w:rsid w:val="0EB13857"/>
    <w:rsid w:val="0EB15F2C"/>
    <w:rsid w:val="0EB424DF"/>
    <w:rsid w:val="0EB67D00"/>
    <w:rsid w:val="0EBE37D6"/>
    <w:rsid w:val="0EC071BC"/>
    <w:rsid w:val="0EC54E49"/>
    <w:rsid w:val="0EC72960"/>
    <w:rsid w:val="0ED939EE"/>
    <w:rsid w:val="0EDB5D1E"/>
    <w:rsid w:val="0EDD7ACB"/>
    <w:rsid w:val="0EDE2DB2"/>
    <w:rsid w:val="0EE20AA6"/>
    <w:rsid w:val="0EEA6CBE"/>
    <w:rsid w:val="0EEE3332"/>
    <w:rsid w:val="0EF369FD"/>
    <w:rsid w:val="0EF42D83"/>
    <w:rsid w:val="0EF71195"/>
    <w:rsid w:val="0F016251"/>
    <w:rsid w:val="0F0253A1"/>
    <w:rsid w:val="0F03597B"/>
    <w:rsid w:val="0F13234A"/>
    <w:rsid w:val="0F15724B"/>
    <w:rsid w:val="0F1E65B3"/>
    <w:rsid w:val="0F231C5E"/>
    <w:rsid w:val="0F263465"/>
    <w:rsid w:val="0F331350"/>
    <w:rsid w:val="0F357467"/>
    <w:rsid w:val="0F3B1683"/>
    <w:rsid w:val="0F403CF9"/>
    <w:rsid w:val="0F434CB4"/>
    <w:rsid w:val="0F474BA3"/>
    <w:rsid w:val="0F4B68FC"/>
    <w:rsid w:val="0F521F49"/>
    <w:rsid w:val="0F5340F4"/>
    <w:rsid w:val="0F546D0C"/>
    <w:rsid w:val="0F552EC0"/>
    <w:rsid w:val="0F57305F"/>
    <w:rsid w:val="0F5A0A46"/>
    <w:rsid w:val="0F5C6161"/>
    <w:rsid w:val="0F7146B9"/>
    <w:rsid w:val="0F7D3F87"/>
    <w:rsid w:val="0F8A6A96"/>
    <w:rsid w:val="0F916077"/>
    <w:rsid w:val="0F9B01E2"/>
    <w:rsid w:val="0FA57CB3"/>
    <w:rsid w:val="0FC64AB3"/>
    <w:rsid w:val="0FD30B63"/>
    <w:rsid w:val="0FE60171"/>
    <w:rsid w:val="0FE92447"/>
    <w:rsid w:val="0FE95641"/>
    <w:rsid w:val="0FEA216B"/>
    <w:rsid w:val="0FEE6083"/>
    <w:rsid w:val="0FF3288D"/>
    <w:rsid w:val="0FFA0FD4"/>
    <w:rsid w:val="0FFE1C26"/>
    <w:rsid w:val="0FFF70A6"/>
    <w:rsid w:val="10056BA1"/>
    <w:rsid w:val="10096588"/>
    <w:rsid w:val="10097252"/>
    <w:rsid w:val="101500E9"/>
    <w:rsid w:val="101C3778"/>
    <w:rsid w:val="102146EC"/>
    <w:rsid w:val="10233173"/>
    <w:rsid w:val="102673E3"/>
    <w:rsid w:val="105E79E9"/>
    <w:rsid w:val="10621F58"/>
    <w:rsid w:val="10667503"/>
    <w:rsid w:val="106868F2"/>
    <w:rsid w:val="106E1C16"/>
    <w:rsid w:val="106E55CE"/>
    <w:rsid w:val="10746872"/>
    <w:rsid w:val="1078713F"/>
    <w:rsid w:val="107B0F1C"/>
    <w:rsid w:val="107B2F20"/>
    <w:rsid w:val="10836585"/>
    <w:rsid w:val="10991BB2"/>
    <w:rsid w:val="109926A3"/>
    <w:rsid w:val="109C4DC8"/>
    <w:rsid w:val="10A74488"/>
    <w:rsid w:val="10A74D0F"/>
    <w:rsid w:val="10B15A93"/>
    <w:rsid w:val="10B338F4"/>
    <w:rsid w:val="10B617AD"/>
    <w:rsid w:val="10BE733F"/>
    <w:rsid w:val="10C25527"/>
    <w:rsid w:val="10CB47A3"/>
    <w:rsid w:val="10D22287"/>
    <w:rsid w:val="10DF4EAE"/>
    <w:rsid w:val="10E64D6A"/>
    <w:rsid w:val="10E8616A"/>
    <w:rsid w:val="10EA5D2F"/>
    <w:rsid w:val="10EB7092"/>
    <w:rsid w:val="10F26532"/>
    <w:rsid w:val="10F44B0F"/>
    <w:rsid w:val="10FA64D8"/>
    <w:rsid w:val="1103693B"/>
    <w:rsid w:val="1105306B"/>
    <w:rsid w:val="11061736"/>
    <w:rsid w:val="110D5FD5"/>
    <w:rsid w:val="11113CCE"/>
    <w:rsid w:val="111E02C8"/>
    <w:rsid w:val="1128459B"/>
    <w:rsid w:val="1130567F"/>
    <w:rsid w:val="113A1BE6"/>
    <w:rsid w:val="114C7C6B"/>
    <w:rsid w:val="115636CA"/>
    <w:rsid w:val="11590158"/>
    <w:rsid w:val="115D4462"/>
    <w:rsid w:val="1161321B"/>
    <w:rsid w:val="11782E33"/>
    <w:rsid w:val="117A1FBD"/>
    <w:rsid w:val="117A3266"/>
    <w:rsid w:val="117D48FA"/>
    <w:rsid w:val="1180659D"/>
    <w:rsid w:val="118235C3"/>
    <w:rsid w:val="11874B3D"/>
    <w:rsid w:val="11884222"/>
    <w:rsid w:val="118C4D48"/>
    <w:rsid w:val="1194464A"/>
    <w:rsid w:val="11953833"/>
    <w:rsid w:val="119574D3"/>
    <w:rsid w:val="11962AC9"/>
    <w:rsid w:val="11976143"/>
    <w:rsid w:val="119C5ED9"/>
    <w:rsid w:val="11A2533F"/>
    <w:rsid w:val="11BA18B5"/>
    <w:rsid w:val="11BA1C60"/>
    <w:rsid w:val="11BB73DB"/>
    <w:rsid w:val="11C40985"/>
    <w:rsid w:val="11D1174D"/>
    <w:rsid w:val="11D45654"/>
    <w:rsid w:val="11DF2276"/>
    <w:rsid w:val="11E43BDC"/>
    <w:rsid w:val="11E7240F"/>
    <w:rsid w:val="11ED4A11"/>
    <w:rsid w:val="11EF1A06"/>
    <w:rsid w:val="11FB764E"/>
    <w:rsid w:val="12001821"/>
    <w:rsid w:val="12020419"/>
    <w:rsid w:val="120871A7"/>
    <w:rsid w:val="120A1770"/>
    <w:rsid w:val="1214584C"/>
    <w:rsid w:val="121572F0"/>
    <w:rsid w:val="121B18D6"/>
    <w:rsid w:val="121B639E"/>
    <w:rsid w:val="121D6684"/>
    <w:rsid w:val="122307A5"/>
    <w:rsid w:val="12252D07"/>
    <w:rsid w:val="12285B97"/>
    <w:rsid w:val="122E4BD8"/>
    <w:rsid w:val="123526C4"/>
    <w:rsid w:val="12392C98"/>
    <w:rsid w:val="123E43FF"/>
    <w:rsid w:val="12487A41"/>
    <w:rsid w:val="124B5114"/>
    <w:rsid w:val="124D44D7"/>
    <w:rsid w:val="125051EA"/>
    <w:rsid w:val="12527EEB"/>
    <w:rsid w:val="12542196"/>
    <w:rsid w:val="12567A49"/>
    <w:rsid w:val="12673A0F"/>
    <w:rsid w:val="12694CF6"/>
    <w:rsid w:val="126B7600"/>
    <w:rsid w:val="127633F1"/>
    <w:rsid w:val="12807D5D"/>
    <w:rsid w:val="128123D2"/>
    <w:rsid w:val="128836E6"/>
    <w:rsid w:val="128C5642"/>
    <w:rsid w:val="128F4C29"/>
    <w:rsid w:val="128F5B20"/>
    <w:rsid w:val="12981434"/>
    <w:rsid w:val="12A23FFE"/>
    <w:rsid w:val="12A54710"/>
    <w:rsid w:val="12AC38F3"/>
    <w:rsid w:val="12B2143C"/>
    <w:rsid w:val="12B46304"/>
    <w:rsid w:val="12B70B53"/>
    <w:rsid w:val="12CC280B"/>
    <w:rsid w:val="12D56BC3"/>
    <w:rsid w:val="12E446E0"/>
    <w:rsid w:val="12ED27C6"/>
    <w:rsid w:val="12FF4414"/>
    <w:rsid w:val="1303728B"/>
    <w:rsid w:val="130538E2"/>
    <w:rsid w:val="1305608F"/>
    <w:rsid w:val="130578F4"/>
    <w:rsid w:val="1312127D"/>
    <w:rsid w:val="132F46EA"/>
    <w:rsid w:val="133462B3"/>
    <w:rsid w:val="133643FF"/>
    <w:rsid w:val="133B4C77"/>
    <w:rsid w:val="13534668"/>
    <w:rsid w:val="13541895"/>
    <w:rsid w:val="135A3E74"/>
    <w:rsid w:val="13672C4C"/>
    <w:rsid w:val="13695774"/>
    <w:rsid w:val="136B12F7"/>
    <w:rsid w:val="13726D61"/>
    <w:rsid w:val="137C62A4"/>
    <w:rsid w:val="13836545"/>
    <w:rsid w:val="13857CA0"/>
    <w:rsid w:val="138D2CA8"/>
    <w:rsid w:val="13964441"/>
    <w:rsid w:val="13980163"/>
    <w:rsid w:val="1399374C"/>
    <w:rsid w:val="13A47BFE"/>
    <w:rsid w:val="13A554CC"/>
    <w:rsid w:val="13B4287A"/>
    <w:rsid w:val="13BB3605"/>
    <w:rsid w:val="13C00A21"/>
    <w:rsid w:val="13CB5FFB"/>
    <w:rsid w:val="13D547F8"/>
    <w:rsid w:val="13E939FC"/>
    <w:rsid w:val="13EA68FE"/>
    <w:rsid w:val="13ED41C3"/>
    <w:rsid w:val="13F111F5"/>
    <w:rsid w:val="13F2184D"/>
    <w:rsid w:val="13FA32AE"/>
    <w:rsid w:val="1402002E"/>
    <w:rsid w:val="14062903"/>
    <w:rsid w:val="1407730E"/>
    <w:rsid w:val="140B6C76"/>
    <w:rsid w:val="14125909"/>
    <w:rsid w:val="141860E8"/>
    <w:rsid w:val="141F7AE7"/>
    <w:rsid w:val="14206962"/>
    <w:rsid w:val="14256A97"/>
    <w:rsid w:val="14294AD0"/>
    <w:rsid w:val="1429657E"/>
    <w:rsid w:val="14301CC2"/>
    <w:rsid w:val="144A098B"/>
    <w:rsid w:val="144F7C9C"/>
    <w:rsid w:val="145A3B38"/>
    <w:rsid w:val="145E5A4D"/>
    <w:rsid w:val="145F1F0C"/>
    <w:rsid w:val="145F29C6"/>
    <w:rsid w:val="146975C2"/>
    <w:rsid w:val="146B5159"/>
    <w:rsid w:val="14733082"/>
    <w:rsid w:val="147A6014"/>
    <w:rsid w:val="147D2ED7"/>
    <w:rsid w:val="14823FFD"/>
    <w:rsid w:val="1486741F"/>
    <w:rsid w:val="14881DE7"/>
    <w:rsid w:val="1489051D"/>
    <w:rsid w:val="148B04E2"/>
    <w:rsid w:val="14973E11"/>
    <w:rsid w:val="14A560B1"/>
    <w:rsid w:val="14B00D4D"/>
    <w:rsid w:val="14C67F30"/>
    <w:rsid w:val="14CA6F83"/>
    <w:rsid w:val="14D649B5"/>
    <w:rsid w:val="14D718F8"/>
    <w:rsid w:val="14D7718D"/>
    <w:rsid w:val="14D853DF"/>
    <w:rsid w:val="14E54E9B"/>
    <w:rsid w:val="14E7363E"/>
    <w:rsid w:val="14ED79F6"/>
    <w:rsid w:val="14F402E0"/>
    <w:rsid w:val="14F608CC"/>
    <w:rsid w:val="150B2427"/>
    <w:rsid w:val="1514752E"/>
    <w:rsid w:val="15165347"/>
    <w:rsid w:val="15186782"/>
    <w:rsid w:val="15304B14"/>
    <w:rsid w:val="15312865"/>
    <w:rsid w:val="153E221E"/>
    <w:rsid w:val="15436517"/>
    <w:rsid w:val="154559C2"/>
    <w:rsid w:val="154E433A"/>
    <w:rsid w:val="15511622"/>
    <w:rsid w:val="15593FCD"/>
    <w:rsid w:val="15624B6B"/>
    <w:rsid w:val="15634011"/>
    <w:rsid w:val="156A7A8E"/>
    <w:rsid w:val="156E1A0C"/>
    <w:rsid w:val="156F7B7F"/>
    <w:rsid w:val="15712BD2"/>
    <w:rsid w:val="157224A6"/>
    <w:rsid w:val="157B17C4"/>
    <w:rsid w:val="158879DE"/>
    <w:rsid w:val="158A0D86"/>
    <w:rsid w:val="158A77F0"/>
    <w:rsid w:val="158C7B2F"/>
    <w:rsid w:val="158F26A8"/>
    <w:rsid w:val="158F553B"/>
    <w:rsid w:val="1598015F"/>
    <w:rsid w:val="15982FC4"/>
    <w:rsid w:val="15995C85"/>
    <w:rsid w:val="159C2FB3"/>
    <w:rsid w:val="159C634A"/>
    <w:rsid w:val="159E5465"/>
    <w:rsid w:val="15A3395B"/>
    <w:rsid w:val="15AC4E6E"/>
    <w:rsid w:val="15B70A1A"/>
    <w:rsid w:val="15BE072C"/>
    <w:rsid w:val="15C903E6"/>
    <w:rsid w:val="15CC069D"/>
    <w:rsid w:val="15CC50B6"/>
    <w:rsid w:val="15D46D86"/>
    <w:rsid w:val="15D732F1"/>
    <w:rsid w:val="15D77522"/>
    <w:rsid w:val="15DD5701"/>
    <w:rsid w:val="15DD6C10"/>
    <w:rsid w:val="15EA1751"/>
    <w:rsid w:val="15FB57E5"/>
    <w:rsid w:val="16014A1D"/>
    <w:rsid w:val="160B0182"/>
    <w:rsid w:val="161B65AB"/>
    <w:rsid w:val="163167E6"/>
    <w:rsid w:val="163235BC"/>
    <w:rsid w:val="16502906"/>
    <w:rsid w:val="16542C0D"/>
    <w:rsid w:val="16575272"/>
    <w:rsid w:val="165D3ED5"/>
    <w:rsid w:val="166167A3"/>
    <w:rsid w:val="166711D8"/>
    <w:rsid w:val="166E0705"/>
    <w:rsid w:val="167159F7"/>
    <w:rsid w:val="167250F5"/>
    <w:rsid w:val="167D7494"/>
    <w:rsid w:val="1681473D"/>
    <w:rsid w:val="16824556"/>
    <w:rsid w:val="168406E3"/>
    <w:rsid w:val="168667C5"/>
    <w:rsid w:val="16960F8B"/>
    <w:rsid w:val="16961AB4"/>
    <w:rsid w:val="169B542F"/>
    <w:rsid w:val="16A70842"/>
    <w:rsid w:val="16AA209A"/>
    <w:rsid w:val="16AA6475"/>
    <w:rsid w:val="16AD459B"/>
    <w:rsid w:val="16C1540F"/>
    <w:rsid w:val="16C30625"/>
    <w:rsid w:val="16C32BE3"/>
    <w:rsid w:val="16C5743F"/>
    <w:rsid w:val="16CC3C91"/>
    <w:rsid w:val="16DB068B"/>
    <w:rsid w:val="16DB47A7"/>
    <w:rsid w:val="16DD22CC"/>
    <w:rsid w:val="16E230F5"/>
    <w:rsid w:val="16ED0036"/>
    <w:rsid w:val="16FC471C"/>
    <w:rsid w:val="16FC64CC"/>
    <w:rsid w:val="16FD161D"/>
    <w:rsid w:val="16FE3242"/>
    <w:rsid w:val="16FF2596"/>
    <w:rsid w:val="17017F86"/>
    <w:rsid w:val="1702035C"/>
    <w:rsid w:val="17024568"/>
    <w:rsid w:val="170415EF"/>
    <w:rsid w:val="17047367"/>
    <w:rsid w:val="17155A94"/>
    <w:rsid w:val="171E233A"/>
    <w:rsid w:val="172B1C15"/>
    <w:rsid w:val="172B79DE"/>
    <w:rsid w:val="175224D1"/>
    <w:rsid w:val="17560CB5"/>
    <w:rsid w:val="176E44F7"/>
    <w:rsid w:val="17741670"/>
    <w:rsid w:val="17753859"/>
    <w:rsid w:val="177C1109"/>
    <w:rsid w:val="177D3041"/>
    <w:rsid w:val="178428D7"/>
    <w:rsid w:val="17852E84"/>
    <w:rsid w:val="17895FD3"/>
    <w:rsid w:val="179B23F3"/>
    <w:rsid w:val="179F64A3"/>
    <w:rsid w:val="17A074B3"/>
    <w:rsid w:val="17A162C2"/>
    <w:rsid w:val="17AA341D"/>
    <w:rsid w:val="17AD4B57"/>
    <w:rsid w:val="17B86E13"/>
    <w:rsid w:val="17BD4E25"/>
    <w:rsid w:val="17BF5E77"/>
    <w:rsid w:val="17CD6B93"/>
    <w:rsid w:val="17D539F9"/>
    <w:rsid w:val="17DF5EA9"/>
    <w:rsid w:val="17E660FB"/>
    <w:rsid w:val="17EC219B"/>
    <w:rsid w:val="17EE2089"/>
    <w:rsid w:val="17F15593"/>
    <w:rsid w:val="17F3167D"/>
    <w:rsid w:val="17FF2717"/>
    <w:rsid w:val="17FF580D"/>
    <w:rsid w:val="18004786"/>
    <w:rsid w:val="18017D07"/>
    <w:rsid w:val="180A7EC6"/>
    <w:rsid w:val="181F692E"/>
    <w:rsid w:val="181F6E2C"/>
    <w:rsid w:val="18376568"/>
    <w:rsid w:val="183813D4"/>
    <w:rsid w:val="183909BA"/>
    <w:rsid w:val="183A7DC7"/>
    <w:rsid w:val="18441D12"/>
    <w:rsid w:val="18490FB9"/>
    <w:rsid w:val="184A3267"/>
    <w:rsid w:val="185222E5"/>
    <w:rsid w:val="1858007C"/>
    <w:rsid w:val="1878100D"/>
    <w:rsid w:val="187907B9"/>
    <w:rsid w:val="187A616B"/>
    <w:rsid w:val="187C55E4"/>
    <w:rsid w:val="187D53EA"/>
    <w:rsid w:val="188110FE"/>
    <w:rsid w:val="188A16E2"/>
    <w:rsid w:val="188C1C7A"/>
    <w:rsid w:val="18981B2D"/>
    <w:rsid w:val="18AB01A9"/>
    <w:rsid w:val="18AD47DB"/>
    <w:rsid w:val="18B56BAD"/>
    <w:rsid w:val="18B76B4E"/>
    <w:rsid w:val="18C563D5"/>
    <w:rsid w:val="18C6340A"/>
    <w:rsid w:val="18D30CA8"/>
    <w:rsid w:val="18DD126C"/>
    <w:rsid w:val="18DD40DB"/>
    <w:rsid w:val="18DF6AB7"/>
    <w:rsid w:val="18E73009"/>
    <w:rsid w:val="18E744EF"/>
    <w:rsid w:val="18F356AC"/>
    <w:rsid w:val="18F51424"/>
    <w:rsid w:val="18F6527C"/>
    <w:rsid w:val="18F670EA"/>
    <w:rsid w:val="18FB4F3C"/>
    <w:rsid w:val="18FE7017"/>
    <w:rsid w:val="190657AB"/>
    <w:rsid w:val="1914198D"/>
    <w:rsid w:val="191D3034"/>
    <w:rsid w:val="19202945"/>
    <w:rsid w:val="19273846"/>
    <w:rsid w:val="192F56B2"/>
    <w:rsid w:val="1934019F"/>
    <w:rsid w:val="19377C8F"/>
    <w:rsid w:val="193C7053"/>
    <w:rsid w:val="19403FF5"/>
    <w:rsid w:val="194F017F"/>
    <w:rsid w:val="19624090"/>
    <w:rsid w:val="196242B2"/>
    <w:rsid w:val="19662123"/>
    <w:rsid w:val="196C0F35"/>
    <w:rsid w:val="19715BEF"/>
    <w:rsid w:val="19767191"/>
    <w:rsid w:val="19812FF0"/>
    <w:rsid w:val="198D7614"/>
    <w:rsid w:val="19940321"/>
    <w:rsid w:val="199E2789"/>
    <w:rsid w:val="19A717C0"/>
    <w:rsid w:val="19B629D4"/>
    <w:rsid w:val="19C42AEA"/>
    <w:rsid w:val="19D85140"/>
    <w:rsid w:val="19D95856"/>
    <w:rsid w:val="19E951A2"/>
    <w:rsid w:val="19EF40C6"/>
    <w:rsid w:val="19F17E3E"/>
    <w:rsid w:val="19F427D1"/>
    <w:rsid w:val="19F46FC3"/>
    <w:rsid w:val="19F6166B"/>
    <w:rsid w:val="19FB0FFB"/>
    <w:rsid w:val="1A04032E"/>
    <w:rsid w:val="1A0C7662"/>
    <w:rsid w:val="1A0D279E"/>
    <w:rsid w:val="1A0D5BC6"/>
    <w:rsid w:val="1A0F55D5"/>
    <w:rsid w:val="1A1B410F"/>
    <w:rsid w:val="1A1D307C"/>
    <w:rsid w:val="1A1D5A5F"/>
    <w:rsid w:val="1A2177B6"/>
    <w:rsid w:val="1A265612"/>
    <w:rsid w:val="1A282E7C"/>
    <w:rsid w:val="1A290ADC"/>
    <w:rsid w:val="1A475872"/>
    <w:rsid w:val="1A4C1518"/>
    <w:rsid w:val="1A5605E9"/>
    <w:rsid w:val="1A5E3AD4"/>
    <w:rsid w:val="1A62782B"/>
    <w:rsid w:val="1A666ACA"/>
    <w:rsid w:val="1A696630"/>
    <w:rsid w:val="1A6A6422"/>
    <w:rsid w:val="1A6F2546"/>
    <w:rsid w:val="1A717A17"/>
    <w:rsid w:val="1A731C0D"/>
    <w:rsid w:val="1A7458EF"/>
    <w:rsid w:val="1A82066E"/>
    <w:rsid w:val="1A827E84"/>
    <w:rsid w:val="1A83746A"/>
    <w:rsid w:val="1A8E38DF"/>
    <w:rsid w:val="1A9010EA"/>
    <w:rsid w:val="1A9B004B"/>
    <w:rsid w:val="1AA01BA0"/>
    <w:rsid w:val="1AAA63EA"/>
    <w:rsid w:val="1AB033DA"/>
    <w:rsid w:val="1AB058BC"/>
    <w:rsid w:val="1AB95A0B"/>
    <w:rsid w:val="1AC4141C"/>
    <w:rsid w:val="1AC67BE3"/>
    <w:rsid w:val="1ACD57BB"/>
    <w:rsid w:val="1ACE6FC3"/>
    <w:rsid w:val="1AE10478"/>
    <w:rsid w:val="1AE31E7C"/>
    <w:rsid w:val="1AE64EFC"/>
    <w:rsid w:val="1AE811C6"/>
    <w:rsid w:val="1AE82D79"/>
    <w:rsid w:val="1AE85B06"/>
    <w:rsid w:val="1AF20D68"/>
    <w:rsid w:val="1B157B5C"/>
    <w:rsid w:val="1B1A6B04"/>
    <w:rsid w:val="1B214B8E"/>
    <w:rsid w:val="1B226485"/>
    <w:rsid w:val="1B2447D5"/>
    <w:rsid w:val="1B385BF6"/>
    <w:rsid w:val="1B3D4BBD"/>
    <w:rsid w:val="1B402872"/>
    <w:rsid w:val="1B4A336D"/>
    <w:rsid w:val="1B506CC2"/>
    <w:rsid w:val="1B5217F1"/>
    <w:rsid w:val="1B613A0C"/>
    <w:rsid w:val="1B717F0B"/>
    <w:rsid w:val="1B72079E"/>
    <w:rsid w:val="1B721D0E"/>
    <w:rsid w:val="1B724B7D"/>
    <w:rsid w:val="1B76573E"/>
    <w:rsid w:val="1B7867A9"/>
    <w:rsid w:val="1B86758B"/>
    <w:rsid w:val="1B8740D1"/>
    <w:rsid w:val="1B886806"/>
    <w:rsid w:val="1B8E3F3E"/>
    <w:rsid w:val="1B9752FB"/>
    <w:rsid w:val="1B984737"/>
    <w:rsid w:val="1B9B278F"/>
    <w:rsid w:val="1BA4507C"/>
    <w:rsid w:val="1BB64FF3"/>
    <w:rsid w:val="1BBB6955"/>
    <w:rsid w:val="1BBC01B5"/>
    <w:rsid w:val="1BC8073E"/>
    <w:rsid w:val="1BC80E08"/>
    <w:rsid w:val="1BCC5543"/>
    <w:rsid w:val="1BD12B11"/>
    <w:rsid w:val="1BD143CB"/>
    <w:rsid w:val="1BD73063"/>
    <w:rsid w:val="1BD97783"/>
    <w:rsid w:val="1BE966A9"/>
    <w:rsid w:val="1BEA0238"/>
    <w:rsid w:val="1BED35DA"/>
    <w:rsid w:val="1BF4474B"/>
    <w:rsid w:val="1BF925DF"/>
    <w:rsid w:val="1C0011CE"/>
    <w:rsid w:val="1C045187"/>
    <w:rsid w:val="1C0540A5"/>
    <w:rsid w:val="1C055E22"/>
    <w:rsid w:val="1C093B64"/>
    <w:rsid w:val="1C0B650A"/>
    <w:rsid w:val="1C2B675A"/>
    <w:rsid w:val="1C2C0625"/>
    <w:rsid w:val="1C2F7972"/>
    <w:rsid w:val="1C3104BD"/>
    <w:rsid w:val="1C365FDC"/>
    <w:rsid w:val="1C3D5B2A"/>
    <w:rsid w:val="1C4605A3"/>
    <w:rsid w:val="1C4A1A87"/>
    <w:rsid w:val="1C4A2E1B"/>
    <w:rsid w:val="1C4E0258"/>
    <w:rsid w:val="1C522E71"/>
    <w:rsid w:val="1C5244EF"/>
    <w:rsid w:val="1C552725"/>
    <w:rsid w:val="1C654D10"/>
    <w:rsid w:val="1C6A2D30"/>
    <w:rsid w:val="1C6F550B"/>
    <w:rsid w:val="1C702736"/>
    <w:rsid w:val="1C736C4F"/>
    <w:rsid w:val="1C774414"/>
    <w:rsid w:val="1C7848F2"/>
    <w:rsid w:val="1C7F2D80"/>
    <w:rsid w:val="1C8036FB"/>
    <w:rsid w:val="1C844F99"/>
    <w:rsid w:val="1C861486"/>
    <w:rsid w:val="1C8C0334"/>
    <w:rsid w:val="1C8C6332"/>
    <w:rsid w:val="1C8E7BC6"/>
    <w:rsid w:val="1C976DFE"/>
    <w:rsid w:val="1CA70708"/>
    <w:rsid w:val="1CBE112A"/>
    <w:rsid w:val="1CCE678F"/>
    <w:rsid w:val="1CCE68E4"/>
    <w:rsid w:val="1CD22CF7"/>
    <w:rsid w:val="1CD341C1"/>
    <w:rsid w:val="1CD5599E"/>
    <w:rsid w:val="1CD90836"/>
    <w:rsid w:val="1CEC2B3E"/>
    <w:rsid w:val="1CEF0899"/>
    <w:rsid w:val="1CF80CBE"/>
    <w:rsid w:val="1CFD59A7"/>
    <w:rsid w:val="1D00466E"/>
    <w:rsid w:val="1D0562DC"/>
    <w:rsid w:val="1D194834"/>
    <w:rsid w:val="1D1A1456"/>
    <w:rsid w:val="1D1A76AB"/>
    <w:rsid w:val="1D215DD4"/>
    <w:rsid w:val="1D242645"/>
    <w:rsid w:val="1D2673CE"/>
    <w:rsid w:val="1D342C0F"/>
    <w:rsid w:val="1D37663D"/>
    <w:rsid w:val="1D39679E"/>
    <w:rsid w:val="1D465669"/>
    <w:rsid w:val="1D48124D"/>
    <w:rsid w:val="1D4B7F34"/>
    <w:rsid w:val="1D5471FC"/>
    <w:rsid w:val="1D5813BD"/>
    <w:rsid w:val="1D594678"/>
    <w:rsid w:val="1D5D680C"/>
    <w:rsid w:val="1D615B19"/>
    <w:rsid w:val="1D6A6F94"/>
    <w:rsid w:val="1D7276BB"/>
    <w:rsid w:val="1D731DA5"/>
    <w:rsid w:val="1D752FF1"/>
    <w:rsid w:val="1D793285"/>
    <w:rsid w:val="1D820B8C"/>
    <w:rsid w:val="1D8B04C7"/>
    <w:rsid w:val="1D8C077E"/>
    <w:rsid w:val="1D8D60CF"/>
    <w:rsid w:val="1D9B5FE2"/>
    <w:rsid w:val="1D9C382B"/>
    <w:rsid w:val="1D9E7CEE"/>
    <w:rsid w:val="1DA12B6C"/>
    <w:rsid w:val="1DA50098"/>
    <w:rsid w:val="1DA8115B"/>
    <w:rsid w:val="1DB143E7"/>
    <w:rsid w:val="1DB45BD7"/>
    <w:rsid w:val="1DBF3C93"/>
    <w:rsid w:val="1DC236F2"/>
    <w:rsid w:val="1DC32E76"/>
    <w:rsid w:val="1DC835AB"/>
    <w:rsid w:val="1DDA191D"/>
    <w:rsid w:val="1DDB32DF"/>
    <w:rsid w:val="1DDD0CC6"/>
    <w:rsid w:val="1DE34B3F"/>
    <w:rsid w:val="1DF275D2"/>
    <w:rsid w:val="1DF4677B"/>
    <w:rsid w:val="1DFC29AD"/>
    <w:rsid w:val="1E053135"/>
    <w:rsid w:val="1E0C662A"/>
    <w:rsid w:val="1E0F06D0"/>
    <w:rsid w:val="1E106EFA"/>
    <w:rsid w:val="1E193C69"/>
    <w:rsid w:val="1E193E07"/>
    <w:rsid w:val="1E1B2F60"/>
    <w:rsid w:val="1E200CF1"/>
    <w:rsid w:val="1E281C85"/>
    <w:rsid w:val="1E286E85"/>
    <w:rsid w:val="1E297344"/>
    <w:rsid w:val="1E330F04"/>
    <w:rsid w:val="1E3775DE"/>
    <w:rsid w:val="1E4333D1"/>
    <w:rsid w:val="1E4B78B6"/>
    <w:rsid w:val="1E575E5F"/>
    <w:rsid w:val="1E5872AA"/>
    <w:rsid w:val="1E666F58"/>
    <w:rsid w:val="1E7060BD"/>
    <w:rsid w:val="1E731769"/>
    <w:rsid w:val="1E8A1818"/>
    <w:rsid w:val="1E9F1D35"/>
    <w:rsid w:val="1EA637A1"/>
    <w:rsid w:val="1EA63E41"/>
    <w:rsid w:val="1EB41214"/>
    <w:rsid w:val="1EB42C1F"/>
    <w:rsid w:val="1EBB78DE"/>
    <w:rsid w:val="1EBC4FEE"/>
    <w:rsid w:val="1EC43AD5"/>
    <w:rsid w:val="1EC52CCF"/>
    <w:rsid w:val="1EDC730E"/>
    <w:rsid w:val="1EE7181E"/>
    <w:rsid w:val="1EEA636C"/>
    <w:rsid w:val="1EFA46AE"/>
    <w:rsid w:val="1F0A197B"/>
    <w:rsid w:val="1F1E0793"/>
    <w:rsid w:val="1F224A4E"/>
    <w:rsid w:val="1F313255"/>
    <w:rsid w:val="1F440B1B"/>
    <w:rsid w:val="1F455373"/>
    <w:rsid w:val="1F532CC5"/>
    <w:rsid w:val="1F58565D"/>
    <w:rsid w:val="1F62724B"/>
    <w:rsid w:val="1F6321DF"/>
    <w:rsid w:val="1F6962B3"/>
    <w:rsid w:val="1F6A0A16"/>
    <w:rsid w:val="1F6D61B8"/>
    <w:rsid w:val="1F741442"/>
    <w:rsid w:val="1F752D3A"/>
    <w:rsid w:val="1F753136"/>
    <w:rsid w:val="1F966677"/>
    <w:rsid w:val="1F9D6372"/>
    <w:rsid w:val="1FB832CE"/>
    <w:rsid w:val="1FC96413"/>
    <w:rsid w:val="1FD13C04"/>
    <w:rsid w:val="1FE113E9"/>
    <w:rsid w:val="1FE126E5"/>
    <w:rsid w:val="1FE77D8A"/>
    <w:rsid w:val="1FF269E9"/>
    <w:rsid w:val="1FF527F0"/>
    <w:rsid w:val="1FF57F5C"/>
    <w:rsid w:val="1FF90CDD"/>
    <w:rsid w:val="1FFE3FD4"/>
    <w:rsid w:val="20011FBE"/>
    <w:rsid w:val="20031918"/>
    <w:rsid w:val="20082662"/>
    <w:rsid w:val="20105349"/>
    <w:rsid w:val="20144886"/>
    <w:rsid w:val="20197D0B"/>
    <w:rsid w:val="20220131"/>
    <w:rsid w:val="202922DD"/>
    <w:rsid w:val="20325EC0"/>
    <w:rsid w:val="20411935"/>
    <w:rsid w:val="204928A7"/>
    <w:rsid w:val="204D1C98"/>
    <w:rsid w:val="205D7BE5"/>
    <w:rsid w:val="205E69DF"/>
    <w:rsid w:val="20603B46"/>
    <w:rsid w:val="207152B3"/>
    <w:rsid w:val="207844E8"/>
    <w:rsid w:val="2084511B"/>
    <w:rsid w:val="20877150"/>
    <w:rsid w:val="20894852"/>
    <w:rsid w:val="2093751C"/>
    <w:rsid w:val="209700C4"/>
    <w:rsid w:val="20A0611A"/>
    <w:rsid w:val="20A74632"/>
    <w:rsid w:val="20A9677F"/>
    <w:rsid w:val="20AA2163"/>
    <w:rsid w:val="20B17344"/>
    <w:rsid w:val="20B41BC5"/>
    <w:rsid w:val="20BA6397"/>
    <w:rsid w:val="20C02C9D"/>
    <w:rsid w:val="20C11651"/>
    <w:rsid w:val="20CC5FFE"/>
    <w:rsid w:val="20E00C0C"/>
    <w:rsid w:val="20E8623B"/>
    <w:rsid w:val="20EA3DDB"/>
    <w:rsid w:val="20F23D82"/>
    <w:rsid w:val="20F85D4F"/>
    <w:rsid w:val="20FB4684"/>
    <w:rsid w:val="20FC069A"/>
    <w:rsid w:val="21004A6D"/>
    <w:rsid w:val="21017DB1"/>
    <w:rsid w:val="210607FC"/>
    <w:rsid w:val="210956D6"/>
    <w:rsid w:val="210D7E98"/>
    <w:rsid w:val="210F4EDF"/>
    <w:rsid w:val="211974CC"/>
    <w:rsid w:val="211C31E4"/>
    <w:rsid w:val="21205A1F"/>
    <w:rsid w:val="212206D3"/>
    <w:rsid w:val="21222FD3"/>
    <w:rsid w:val="21257FEF"/>
    <w:rsid w:val="212E6D0A"/>
    <w:rsid w:val="21305539"/>
    <w:rsid w:val="213B6F1F"/>
    <w:rsid w:val="213C0A00"/>
    <w:rsid w:val="21426D49"/>
    <w:rsid w:val="214E2DD4"/>
    <w:rsid w:val="214E697E"/>
    <w:rsid w:val="21522E87"/>
    <w:rsid w:val="21560DB1"/>
    <w:rsid w:val="215E4FF5"/>
    <w:rsid w:val="216117B7"/>
    <w:rsid w:val="216655B5"/>
    <w:rsid w:val="216740BA"/>
    <w:rsid w:val="216958E2"/>
    <w:rsid w:val="2176797F"/>
    <w:rsid w:val="21816C7F"/>
    <w:rsid w:val="21823B8C"/>
    <w:rsid w:val="218C4AF0"/>
    <w:rsid w:val="21927C4B"/>
    <w:rsid w:val="21942730"/>
    <w:rsid w:val="21950F8C"/>
    <w:rsid w:val="21A23A4A"/>
    <w:rsid w:val="21A66E04"/>
    <w:rsid w:val="21A954A2"/>
    <w:rsid w:val="21B36344"/>
    <w:rsid w:val="21B960D2"/>
    <w:rsid w:val="21BA6329"/>
    <w:rsid w:val="21BD64BB"/>
    <w:rsid w:val="21C7027B"/>
    <w:rsid w:val="21CC3157"/>
    <w:rsid w:val="21D320E9"/>
    <w:rsid w:val="21D520B1"/>
    <w:rsid w:val="21DB7219"/>
    <w:rsid w:val="21DD65EA"/>
    <w:rsid w:val="21E0092E"/>
    <w:rsid w:val="21E71F53"/>
    <w:rsid w:val="21E81BF4"/>
    <w:rsid w:val="21F50980"/>
    <w:rsid w:val="21FB25CA"/>
    <w:rsid w:val="21FF56A4"/>
    <w:rsid w:val="22053DCE"/>
    <w:rsid w:val="22093606"/>
    <w:rsid w:val="220A035A"/>
    <w:rsid w:val="220A7DB7"/>
    <w:rsid w:val="22120030"/>
    <w:rsid w:val="221378CC"/>
    <w:rsid w:val="22145011"/>
    <w:rsid w:val="22187E72"/>
    <w:rsid w:val="2220592D"/>
    <w:rsid w:val="2221772E"/>
    <w:rsid w:val="22226775"/>
    <w:rsid w:val="22240BAA"/>
    <w:rsid w:val="22365B7C"/>
    <w:rsid w:val="2237219C"/>
    <w:rsid w:val="223D7F62"/>
    <w:rsid w:val="224C785F"/>
    <w:rsid w:val="22525D60"/>
    <w:rsid w:val="226808BD"/>
    <w:rsid w:val="226B5444"/>
    <w:rsid w:val="2271434C"/>
    <w:rsid w:val="22770526"/>
    <w:rsid w:val="227826C3"/>
    <w:rsid w:val="227834BA"/>
    <w:rsid w:val="227B3174"/>
    <w:rsid w:val="227F3E56"/>
    <w:rsid w:val="228E3CB4"/>
    <w:rsid w:val="228F49D4"/>
    <w:rsid w:val="22995516"/>
    <w:rsid w:val="22A15DB7"/>
    <w:rsid w:val="22A25613"/>
    <w:rsid w:val="22A5482B"/>
    <w:rsid w:val="22A65777"/>
    <w:rsid w:val="22B11543"/>
    <w:rsid w:val="22B20854"/>
    <w:rsid w:val="22B4543C"/>
    <w:rsid w:val="22B852CC"/>
    <w:rsid w:val="22BC3C39"/>
    <w:rsid w:val="22CC1274"/>
    <w:rsid w:val="22CD6F6E"/>
    <w:rsid w:val="22D06E07"/>
    <w:rsid w:val="22D46402"/>
    <w:rsid w:val="22D841B6"/>
    <w:rsid w:val="22E03145"/>
    <w:rsid w:val="22ED6DD3"/>
    <w:rsid w:val="22EF5A05"/>
    <w:rsid w:val="22F12E43"/>
    <w:rsid w:val="22F56664"/>
    <w:rsid w:val="22FB4B37"/>
    <w:rsid w:val="22FD37BD"/>
    <w:rsid w:val="22FD7929"/>
    <w:rsid w:val="23164DB9"/>
    <w:rsid w:val="231D58D9"/>
    <w:rsid w:val="23213BF1"/>
    <w:rsid w:val="233006E0"/>
    <w:rsid w:val="23356FED"/>
    <w:rsid w:val="23390004"/>
    <w:rsid w:val="233A4603"/>
    <w:rsid w:val="234E02C1"/>
    <w:rsid w:val="235D741E"/>
    <w:rsid w:val="235F5C28"/>
    <w:rsid w:val="236103D5"/>
    <w:rsid w:val="23791ABF"/>
    <w:rsid w:val="23872B1A"/>
    <w:rsid w:val="238D507B"/>
    <w:rsid w:val="23937ABA"/>
    <w:rsid w:val="23986566"/>
    <w:rsid w:val="23A22137"/>
    <w:rsid w:val="23A32562"/>
    <w:rsid w:val="23AB1014"/>
    <w:rsid w:val="23B5012E"/>
    <w:rsid w:val="23B75C54"/>
    <w:rsid w:val="23BC14BC"/>
    <w:rsid w:val="23D25A9E"/>
    <w:rsid w:val="23D33E83"/>
    <w:rsid w:val="23D43B32"/>
    <w:rsid w:val="23D70954"/>
    <w:rsid w:val="23E000FF"/>
    <w:rsid w:val="23E11FC1"/>
    <w:rsid w:val="23E34171"/>
    <w:rsid w:val="23EA20E0"/>
    <w:rsid w:val="23F60277"/>
    <w:rsid w:val="23F635D0"/>
    <w:rsid w:val="23FF34DF"/>
    <w:rsid w:val="24002495"/>
    <w:rsid w:val="24084702"/>
    <w:rsid w:val="240A2F9E"/>
    <w:rsid w:val="240A3547"/>
    <w:rsid w:val="240F13E6"/>
    <w:rsid w:val="24161087"/>
    <w:rsid w:val="24250489"/>
    <w:rsid w:val="242A2579"/>
    <w:rsid w:val="242A5D91"/>
    <w:rsid w:val="24390D5F"/>
    <w:rsid w:val="243B08EE"/>
    <w:rsid w:val="24522407"/>
    <w:rsid w:val="245367E7"/>
    <w:rsid w:val="24552767"/>
    <w:rsid w:val="245931AF"/>
    <w:rsid w:val="245A672F"/>
    <w:rsid w:val="24604904"/>
    <w:rsid w:val="24650BDC"/>
    <w:rsid w:val="24701A48"/>
    <w:rsid w:val="247B4ED4"/>
    <w:rsid w:val="247D4E2F"/>
    <w:rsid w:val="248635DA"/>
    <w:rsid w:val="24867396"/>
    <w:rsid w:val="248676BE"/>
    <w:rsid w:val="248C0379"/>
    <w:rsid w:val="248F6BD1"/>
    <w:rsid w:val="249F1F22"/>
    <w:rsid w:val="24A73221"/>
    <w:rsid w:val="24BA4C2E"/>
    <w:rsid w:val="24C01779"/>
    <w:rsid w:val="24C024E1"/>
    <w:rsid w:val="24C04FDC"/>
    <w:rsid w:val="24C4775D"/>
    <w:rsid w:val="24CB3570"/>
    <w:rsid w:val="24D70AA7"/>
    <w:rsid w:val="24DC7241"/>
    <w:rsid w:val="24DE3A77"/>
    <w:rsid w:val="24DF2A9C"/>
    <w:rsid w:val="24E70EDE"/>
    <w:rsid w:val="24F12B97"/>
    <w:rsid w:val="24FC618E"/>
    <w:rsid w:val="24FF2FC1"/>
    <w:rsid w:val="25005286"/>
    <w:rsid w:val="25053B3C"/>
    <w:rsid w:val="2511110C"/>
    <w:rsid w:val="251A7B71"/>
    <w:rsid w:val="25217F20"/>
    <w:rsid w:val="252D6CC4"/>
    <w:rsid w:val="252E6752"/>
    <w:rsid w:val="253253EA"/>
    <w:rsid w:val="253672E6"/>
    <w:rsid w:val="253A7874"/>
    <w:rsid w:val="253D702B"/>
    <w:rsid w:val="254709C4"/>
    <w:rsid w:val="254A6735"/>
    <w:rsid w:val="25563097"/>
    <w:rsid w:val="255B1F36"/>
    <w:rsid w:val="255B3A1A"/>
    <w:rsid w:val="25677F13"/>
    <w:rsid w:val="256A1476"/>
    <w:rsid w:val="257065FA"/>
    <w:rsid w:val="25774402"/>
    <w:rsid w:val="25784B68"/>
    <w:rsid w:val="257A0A18"/>
    <w:rsid w:val="25803DD1"/>
    <w:rsid w:val="25850E40"/>
    <w:rsid w:val="25A052DE"/>
    <w:rsid w:val="25A73A13"/>
    <w:rsid w:val="25AA0FCB"/>
    <w:rsid w:val="25BA1A2C"/>
    <w:rsid w:val="25C265E0"/>
    <w:rsid w:val="25C61069"/>
    <w:rsid w:val="25CE20B1"/>
    <w:rsid w:val="25CF3C3C"/>
    <w:rsid w:val="25D059B0"/>
    <w:rsid w:val="25D15564"/>
    <w:rsid w:val="25D6467E"/>
    <w:rsid w:val="25D64D8D"/>
    <w:rsid w:val="25DD6855"/>
    <w:rsid w:val="25DF1492"/>
    <w:rsid w:val="25E44CFA"/>
    <w:rsid w:val="25E70642"/>
    <w:rsid w:val="25EA53FB"/>
    <w:rsid w:val="25EC1EF1"/>
    <w:rsid w:val="25F26E82"/>
    <w:rsid w:val="25F61F3E"/>
    <w:rsid w:val="25F91780"/>
    <w:rsid w:val="25FE0AC3"/>
    <w:rsid w:val="26097152"/>
    <w:rsid w:val="260C70D0"/>
    <w:rsid w:val="260E3B25"/>
    <w:rsid w:val="26110353"/>
    <w:rsid w:val="261350B9"/>
    <w:rsid w:val="26140C89"/>
    <w:rsid w:val="261460CA"/>
    <w:rsid w:val="26227056"/>
    <w:rsid w:val="26295C9D"/>
    <w:rsid w:val="262D48F3"/>
    <w:rsid w:val="262F6C4E"/>
    <w:rsid w:val="26307F40"/>
    <w:rsid w:val="263656ED"/>
    <w:rsid w:val="26371458"/>
    <w:rsid w:val="26393298"/>
    <w:rsid w:val="26415AF1"/>
    <w:rsid w:val="26430EDC"/>
    <w:rsid w:val="2643757F"/>
    <w:rsid w:val="26445CCF"/>
    <w:rsid w:val="26483178"/>
    <w:rsid w:val="26485289"/>
    <w:rsid w:val="26513701"/>
    <w:rsid w:val="265613C6"/>
    <w:rsid w:val="26621BBB"/>
    <w:rsid w:val="266D44F3"/>
    <w:rsid w:val="26730090"/>
    <w:rsid w:val="26746A0A"/>
    <w:rsid w:val="2677791D"/>
    <w:rsid w:val="267C1E59"/>
    <w:rsid w:val="267D467A"/>
    <w:rsid w:val="268C5834"/>
    <w:rsid w:val="268D40B3"/>
    <w:rsid w:val="268E0E20"/>
    <w:rsid w:val="26951EB3"/>
    <w:rsid w:val="269640B2"/>
    <w:rsid w:val="269C55ED"/>
    <w:rsid w:val="269D165B"/>
    <w:rsid w:val="26A050C5"/>
    <w:rsid w:val="26A2287E"/>
    <w:rsid w:val="26B20955"/>
    <w:rsid w:val="26B26BA7"/>
    <w:rsid w:val="26C16DEA"/>
    <w:rsid w:val="26CD4BFC"/>
    <w:rsid w:val="26CF765A"/>
    <w:rsid w:val="26D76895"/>
    <w:rsid w:val="26DB0F52"/>
    <w:rsid w:val="26DD5E22"/>
    <w:rsid w:val="26DF5445"/>
    <w:rsid w:val="26EC1C35"/>
    <w:rsid w:val="26EF612D"/>
    <w:rsid w:val="27003DB6"/>
    <w:rsid w:val="27076FB7"/>
    <w:rsid w:val="2709648F"/>
    <w:rsid w:val="271176D1"/>
    <w:rsid w:val="27163736"/>
    <w:rsid w:val="271900F5"/>
    <w:rsid w:val="271B474C"/>
    <w:rsid w:val="271D6318"/>
    <w:rsid w:val="273B26C8"/>
    <w:rsid w:val="273E2C99"/>
    <w:rsid w:val="27475541"/>
    <w:rsid w:val="274D2199"/>
    <w:rsid w:val="275C2809"/>
    <w:rsid w:val="27612464"/>
    <w:rsid w:val="27646A2F"/>
    <w:rsid w:val="276C1DAA"/>
    <w:rsid w:val="27793093"/>
    <w:rsid w:val="2783055B"/>
    <w:rsid w:val="27846626"/>
    <w:rsid w:val="27914A0E"/>
    <w:rsid w:val="27A10014"/>
    <w:rsid w:val="27A15CF1"/>
    <w:rsid w:val="27A22094"/>
    <w:rsid w:val="27A536D9"/>
    <w:rsid w:val="27B22131"/>
    <w:rsid w:val="27D56D26"/>
    <w:rsid w:val="27D64386"/>
    <w:rsid w:val="27DC2552"/>
    <w:rsid w:val="27DF3A94"/>
    <w:rsid w:val="27E2266D"/>
    <w:rsid w:val="27E26FCD"/>
    <w:rsid w:val="27F76F67"/>
    <w:rsid w:val="28065FF6"/>
    <w:rsid w:val="280A50D6"/>
    <w:rsid w:val="28105B6E"/>
    <w:rsid w:val="2810763A"/>
    <w:rsid w:val="281957CB"/>
    <w:rsid w:val="28280F39"/>
    <w:rsid w:val="28335F9C"/>
    <w:rsid w:val="28363DF0"/>
    <w:rsid w:val="283658DC"/>
    <w:rsid w:val="28373012"/>
    <w:rsid w:val="28373807"/>
    <w:rsid w:val="28387DB6"/>
    <w:rsid w:val="283967BF"/>
    <w:rsid w:val="28402EBD"/>
    <w:rsid w:val="28422D01"/>
    <w:rsid w:val="284D6CF0"/>
    <w:rsid w:val="28546167"/>
    <w:rsid w:val="28585F4D"/>
    <w:rsid w:val="28590B62"/>
    <w:rsid w:val="28652610"/>
    <w:rsid w:val="286A15EC"/>
    <w:rsid w:val="28767625"/>
    <w:rsid w:val="28777BF4"/>
    <w:rsid w:val="288C06FE"/>
    <w:rsid w:val="289514AA"/>
    <w:rsid w:val="28982586"/>
    <w:rsid w:val="289A6AEF"/>
    <w:rsid w:val="289C7EC2"/>
    <w:rsid w:val="289F104D"/>
    <w:rsid w:val="289F621A"/>
    <w:rsid w:val="28A23518"/>
    <w:rsid w:val="28AB1CCD"/>
    <w:rsid w:val="28AC2239"/>
    <w:rsid w:val="28B01D60"/>
    <w:rsid w:val="28B27007"/>
    <w:rsid w:val="28B46475"/>
    <w:rsid w:val="28BC2BFB"/>
    <w:rsid w:val="28C5310B"/>
    <w:rsid w:val="28CF4308"/>
    <w:rsid w:val="28D02583"/>
    <w:rsid w:val="28D76D98"/>
    <w:rsid w:val="28D916DD"/>
    <w:rsid w:val="28DD22C7"/>
    <w:rsid w:val="28E47277"/>
    <w:rsid w:val="28E913D3"/>
    <w:rsid w:val="28ED604E"/>
    <w:rsid w:val="28EF5990"/>
    <w:rsid w:val="28F26166"/>
    <w:rsid w:val="28F80CCA"/>
    <w:rsid w:val="2906342F"/>
    <w:rsid w:val="290670A6"/>
    <w:rsid w:val="29073E05"/>
    <w:rsid w:val="29073EF2"/>
    <w:rsid w:val="291701E3"/>
    <w:rsid w:val="29183639"/>
    <w:rsid w:val="291A2596"/>
    <w:rsid w:val="29223CAC"/>
    <w:rsid w:val="29246F4F"/>
    <w:rsid w:val="29261D07"/>
    <w:rsid w:val="29286F56"/>
    <w:rsid w:val="292D7542"/>
    <w:rsid w:val="292E5A21"/>
    <w:rsid w:val="293200E2"/>
    <w:rsid w:val="29323AC6"/>
    <w:rsid w:val="29385BE6"/>
    <w:rsid w:val="293E2926"/>
    <w:rsid w:val="2941560E"/>
    <w:rsid w:val="29451511"/>
    <w:rsid w:val="29485CC9"/>
    <w:rsid w:val="29494693"/>
    <w:rsid w:val="29570CE6"/>
    <w:rsid w:val="295E2539"/>
    <w:rsid w:val="29652600"/>
    <w:rsid w:val="296739AC"/>
    <w:rsid w:val="296A5A08"/>
    <w:rsid w:val="296F5669"/>
    <w:rsid w:val="296F7A90"/>
    <w:rsid w:val="29714BDE"/>
    <w:rsid w:val="29755D95"/>
    <w:rsid w:val="29766AE2"/>
    <w:rsid w:val="2978652E"/>
    <w:rsid w:val="298318CB"/>
    <w:rsid w:val="298366F3"/>
    <w:rsid w:val="29871A32"/>
    <w:rsid w:val="29915E31"/>
    <w:rsid w:val="29AA5526"/>
    <w:rsid w:val="29AF34CC"/>
    <w:rsid w:val="29AF73CD"/>
    <w:rsid w:val="29B23F98"/>
    <w:rsid w:val="29BA46F0"/>
    <w:rsid w:val="29BB1E01"/>
    <w:rsid w:val="29BE19CC"/>
    <w:rsid w:val="29C068CB"/>
    <w:rsid w:val="29C16051"/>
    <w:rsid w:val="29C25353"/>
    <w:rsid w:val="29C36855"/>
    <w:rsid w:val="29C6285B"/>
    <w:rsid w:val="29CA5CB0"/>
    <w:rsid w:val="29CC1562"/>
    <w:rsid w:val="29CD32F7"/>
    <w:rsid w:val="29D463D2"/>
    <w:rsid w:val="29DD1FD4"/>
    <w:rsid w:val="29E93615"/>
    <w:rsid w:val="29F360CF"/>
    <w:rsid w:val="29F70FB5"/>
    <w:rsid w:val="29F73F55"/>
    <w:rsid w:val="29FB6259"/>
    <w:rsid w:val="2A0140CD"/>
    <w:rsid w:val="2A0373D6"/>
    <w:rsid w:val="2A0A3669"/>
    <w:rsid w:val="2A1A0892"/>
    <w:rsid w:val="2A1B2C01"/>
    <w:rsid w:val="2A1E08B6"/>
    <w:rsid w:val="2A2073E2"/>
    <w:rsid w:val="2A2976E1"/>
    <w:rsid w:val="2A2B0312"/>
    <w:rsid w:val="2A2E5285"/>
    <w:rsid w:val="2A2F296D"/>
    <w:rsid w:val="2A3E1B49"/>
    <w:rsid w:val="2A470C4A"/>
    <w:rsid w:val="2A4B5348"/>
    <w:rsid w:val="2A581C8A"/>
    <w:rsid w:val="2A5A07C1"/>
    <w:rsid w:val="2A5B4410"/>
    <w:rsid w:val="2A5F01D5"/>
    <w:rsid w:val="2A6000FE"/>
    <w:rsid w:val="2A6759EA"/>
    <w:rsid w:val="2A6831CF"/>
    <w:rsid w:val="2A732D68"/>
    <w:rsid w:val="2A757ADF"/>
    <w:rsid w:val="2A7626FB"/>
    <w:rsid w:val="2A7725E1"/>
    <w:rsid w:val="2A793553"/>
    <w:rsid w:val="2A794DC8"/>
    <w:rsid w:val="2A7A79DB"/>
    <w:rsid w:val="2A7E23E4"/>
    <w:rsid w:val="2A843F46"/>
    <w:rsid w:val="2A871E74"/>
    <w:rsid w:val="2A8E5C21"/>
    <w:rsid w:val="2A902B27"/>
    <w:rsid w:val="2A925E9A"/>
    <w:rsid w:val="2A97742F"/>
    <w:rsid w:val="2A9D5BF5"/>
    <w:rsid w:val="2AA8734A"/>
    <w:rsid w:val="2AA9206F"/>
    <w:rsid w:val="2AAA185B"/>
    <w:rsid w:val="2AAC1F07"/>
    <w:rsid w:val="2AAE3D6A"/>
    <w:rsid w:val="2AB13415"/>
    <w:rsid w:val="2AB60FBE"/>
    <w:rsid w:val="2AB70C30"/>
    <w:rsid w:val="2AB7478C"/>
    <w:rsid w:val="2ABD0E4B"/>
    <w:rsid w:val="2AC566CE"/>
    <w:rsid w:val="2AC944BF"/>
    <w:rsid w:val="2ACF5F79"/>
    <w:rsid w:val="2AD24290"/>
    <w:rsid w:val="2AE07176"/>
    <w:rsid w:val="2AE9148E"/>
    <w:rsid w:val="2AEB4635"/>
    <w:rsid w:val="2AF07C9E"/>
    <w:rsid w:val="2AFC7CAA"/>
    <w:rsid w:val="2AFF0390"/>
    <w:rsid w:val="2B010C97"/>
    <w:rsid w:val="2B047103"/>
    <w:rsid w:val="2B097CC7"/>
    <w:rsid w:val="2B0C600A"/>
    <w:rsid w:val="2B21696F"/>
    <w:rsid w:val="2B2D313F"/>
    <w:rsid w:val="2B2E4DE6"/>
    <w:rsid w:val="2B400D3F"/>
    <w:rsid w:val="2B41745B"/>
    <w:rsid w:val="2B46786F"/>
    <w:rsid w:val="2B5244B4"/>
    <w:rsid w:val="2B525049"/>
    <w:rsid w:val="2B560448"/>
    <w:rsid w:val="2B563FA5"/>
    <w:rsid w:val="2B597D59"/>
    <w:rsid w:val="2B5A78FB"/>
    <w:rsid w:val="2B5B534A"/>
    <w:rsid w:val="2B607418"/>
    <w:rsid w:val="2B607CC3"/>
    <w:rsid w:val="2B6144ED"/>
    <w:rsid w:val="2B656214"/>
    <w:rsid w:val="2B682E48"/>
    <w:rsid w:val="2B6B6881"/>
    <w:rsid w:val="2B6C7916"/>
    <w:rsid w:val="2B6F284F"/>
    <w:rsid w:val="2B7733E2"/>
    <w:rsid w:val="2B7E1912"/>
    <w:rsid w:val="2B7E7051"/>
    <w:rsid w:val="2B807273"/>
    <w:rsid w:val="2B820C06"/>
    <w:rsid w:val="2B854340"/>
    <w:rsid w:val="2B8849A1"/>
    <w:rsid w:val="2B8E2DAA"/>
    <w:rsid w:val="2BA20180"/>
    <w:rsid w:val="2BAA7CAC"/>
    <w:rsid w:val="2BAB2DF9"/>
    <w:rsid w:val="2BB63146"/>
    <w:rsid w:val="2BB86149"/>
    <w:rsid w:val="2BC14D6B"/>
    <w:rsid w:val="2BC3413E"/>
    <w:rsid w:val="2BC45ECD"/>
    <w:rsid w:val="2BCD5F9F"/>
    <w:rsid w:val="2BEA210E"/>
    <w:rsid w:val="2BED4EA2"/>
    <w:rsid w:val="2BEE2422"/>
    <w:rsid w:val="2BF45D2B"/>
    <w:rsid w:val="2C007E37"/>
    <w:rsid w:val="2C010B8C"/>
    <w:rsid w:val="2C0B436B"/>
    <w:rsid w:val="2C0C7CC6"/>
    <w:rsid w:val="2C1500A8"/>
    <w:rsid w:val="2C153E60"/>
    <w:rsid w:val="2C1A2243"/>
    <w:rsid w:val="2C1C075C"/>
    <w:rsid w:val="2C240E10"/>
    <w:rsid w:val="2C2D54A5"/>
    <w:rsid w:val="2C2D7D66"/>
    <w:rsid w:val="2C2E69F4"/>
    <w:rsid w:val="2C3405E2"/>
    <w:rsid w:val="2C36570E"/>
    <w:rsid w:val="2C463CBB"/>
    <w:rsid w:val="2C5030EA"/>
    <w:rsid w:val="2C5E23E5"/>
    <w:rsid w:val="2C664FDB"/>
    <w:rsid w:val="2C695F59"/>
    <w:rsid w:val="2C6E19DA"/>
    <w:rsid w:val="2C7074CD"/>
    <w:rsid w:val="2C767EC6"/>
    <w:rsid w:val="2C7A2061"/>
    <w:rsid w:val="2C7A4108"/>
    <w:rsid w:val="2C7A67CC"/>
    <w:rsid w:val="2C7D32FB"/>
    <w:rsid w:val="2C842832"/>
    <w:rsid w:val="2C89327E"/>
    <w:rsid w:val="2C8B1F36"/>
    <w:rsid w:val="2C8E469D"/>
    <w:rsid w:val="2C8F3568"/>
    <w:rsid w:val="2C945C56"/>
    <w:rsid w:val="2C972AC7"/>
    <w:rsid w:val="2C9B40E4"/>
    <w:rsid w:val="2C9C79D3"/>
    <w:rsid w:val="2CA967C3"/>
    <w:rsid w:val="2CBF6E23"/>
    <w:rsid w:val="2CC42C38"/>
    <w:rsid w:val="2CC530DC"/>
    <w:rsid w:val="2CCA08A4"/>
    <w:rsid w:val="2CCE489E"/>
    <w:rsid w:val="2CD94510"/>
    <w:rsid w:val="2CD95CAE"/>
    <w:rsid w:val="2CE00FAE"/>
    <w:rsid w:val="2CEC386C"/>
    <w:rsid w:val="2CED7B60"/>
    <w:rsid w:val="2CF70E34"/>
    <w:rsid w:val="2D0133CC"/>
    <w:rsid w:val="2D065E50"/>
    <w:rsid w:val="2D0B0CB3"/>
    <w:rsid w:val="2D0D2C7A"/>
    <w:rsid w:val="2D1F71EF"/>
    <w:rsid w:val="2D200D0E"/>
    <w:rsid w:val="2D276BBB"/>
    <w:rsid w:val="2D2E2812"/>
    <w:rsid w:val="2D317A78"/>
    <w:rsid w:val="2D3213B7"/>
    <w:rsid w:val="2D332F0A"/>
    <w:rsid w:val="2D335D99"/>
    <w:rsid w:val="2D365336"/>
    <w:rsid w:val="2D3820A0"/>
    <w:rsid w:val="2D396604"/>
    <w:rsid w:val="2D3B5B48"/>
    <w:rsid w:val="2D3E18A3"/>
    <w:rsid w:val="2D4927FA"/>
    <w:rsid w:val="2D4B25CE"/>
    <w:rsid w:val="2D4C717F"/>
    <w:rsid w:val="2D507E4F"/>
    <w:rsid w:val="2D510FD2"/>
    <w:rsid w:val="2D572D15"/>
    <w:rsid w:val="2D5A7845"/>
    <w:rsid w:val="2D5F5748"/>
    <w:rsid w:val="2D620ACC"/>
    <w:rsid w:val="2D6F3221"/>
    <w:rsid w:val="2D7169D1"/>
    <w:rsid w:val="2D773C3F"/>
    <w:rsid w:val="2D810644"/>
    <w:rsid w:val="2D83304B"/>
    <w:rsid w:val="2D865C8A"/>
    <w:rsid w:val="2D8C32C0"/>
    <w:rsid w:val="2D90496C"/>
    <w:rsid w:val="2D946698"/>
    <w:rsid w:val="2D947489"/>
    <w:rsid w:val="2D957A25"/>
    <w:rsid w:val="2D9648AA"/>
    <w:rsid w:val="2D984D48"/>
    <w:rsid w:val="2D993488"/>
    <w:rsid w:val="2D9D1A5A"/>
    <w:rsid w:val="2DAA34A4"/>
    <w:rsid w:val="2DAF0ECA"/>
    <w:rsid w:val="2DC321A1"/>
    <w:rsid w:val="2DC84876"/>
    <w:rsid w:val="2DCE076A"/>
    <w:rsid w:val="2DCF214E"/>
    <w:rsid w:val="2DD13DB6"/>
    <w:rsid w:val="2DD54E04"/>
    <w:rsid w:val="2DDD484D"/>
    <w:rsid w:val="2DDF51AD"/>
    <w:rsid w:val="2DE2105F"/>
    <w:rsid w:val="2DE271CC"/>
    <w:rsid w:val="2DE43E9F"/>
    <w:rsid w:val="2DF03419"/>
    <w:rsid w:val="2DFE5CB6"/>
    <w:rsid w:val="2DFE7253"/>
    <w:rsid w:val="2E097F66"/>
    <w:rsid w:val="2E0B4CF8"/>
    <w:rsid w:val="2E116FF1"/>
    <w:rsid w:val="2E1C1571"/>
    <w:rsid w:val="2E22586C"/>
    <w:rsid w:val="2E2959A0"/>
    <w:rsid w:val="2E2D6347"/>
    <w:rsid w:val="2E2E745B"/>
    <w:rsid w:val="2E312AA7"/>
    <w:rsid w:val="2E40772D"/>
    <w:rsid w:val="2E4771C9"/>
    <w:rsid w:val="2E4E00D9"/>
    <w:rsid w:val="2E4E3659"/>
    <w:rsid w:val="2E5254D6"/>
    <w:rsid w:val="2E615CCD"/>
    <w:rsid w:val="2E656970"/>
    <w:rsid w:val="2E6B4B58"/>
    <w:rsid w:val="2E6D7D7C"/>
    <w:rsid w:val="2E725EA0"/>
    <w:rsid w:val="2E781F1E"/>
    <w:rsid w:val="2E7F7D43"/>
    <w:rsid w:val="2E857DAE"/>
    <w:rsid w:val="2E9057D8"/>
    <w:rsid w:val="2E935E2F"/>
    <w:rsid w:val="2E9921C5"/>
    <w:rsid w:val="2EA81E7D"/>
    <w:rsid w:val="2EBA4859"/>
    <w:rsid w:val="2EBB1125"/>
    <w:rsid w:val="2ECC172C"/>
    <w:rsid w:val="2ECC7067"/>
    <w:rsid w:val="2ECE6548"/>
    <w:rsid w:val="2ED02FF1"/>
    <w:rsid w:val="2EDB2DFC"/>
    <w:rsid w:val="2EE1627B"/>
    <w:rsid w:val="2EE813DF"/>
    <w:rsid w:val="2EEF0EE8"/>
    <w:rsid w:val="2EF26C46"/>
    <w:rsid w:val="2EF62393"/>
    <w:rsid w:val="2F062106"/>
    <w:rsid w:val="2F0A5572"/>
    <w:rsid w:val="2F161568"/>
    <w:rsid w:val="2F165F88"/>
    <w:rsid w:val="2F1710EE"/>
    <w:rsid w:val="2F1914C2"/>
    <w:rsid w:val="2F1A4ECE"/>
    <w:rsid w:val="2F2476D5"/>
    <w:rsid w:val="2F266384"/>
    <w:rsid w:val="2F2A42BE"/>
    <w:rsid w:val="2F2F2FD5"/>
    <w:rsid w:val="2F31220F"/>
    <w:rsid w:val="2F3C5318"/>
    <w:rsid w:val="2F455B6B"/>
    <w:rsid w:val="2F4871AE"/>
    <w:rsid w:val="2F491482"/>
    <w:rsid w:val="2F6740E5"/>
    <w:rsid w:val="2F6B1E11"/>
    <w:rsid w:val="2F6E6FAE"/>
    <w:rsid w:val="2F6F5D61"/>
    <w:rsid w:val="2F766100"/>
    <w:rsid w:val="2F8A5AAE"/>
    <w:rsid w:val="2F8B2ACD"/>
    <w:rsid w:val="2F8F06BB"/>
    <w:rsid w:val="2F9154D6"/>
    <w:rsid w:val="2F9C7AB6"/>
    <w:rsid w:val="2FA04161"/>
    <w:rsid w:val="2FA10225"/>
    <w:rsid w:val="2FA633A8"/>
    <w:rsid w:val="2FAE4363"/>
    <w:rsid w:val="2FB002E4"/>
    <w:rsid w:val="2FB0396D"/>
    <w:rsid w:val="2FB62DF7"/>
    <w:rsid w:val="2FC1707D"/>
    <w:rsid w:val="2FC31E25"/>
    <w:rsid w:val="2FC33477"/>
    <w:rsid w:val="2FC54288"/>
    <w:rsid w:val="2FC91160"/>
    <w:rsid w:val="2FCC5DC9"/>
    <w:rsid w:val="2FCF61FA"/>
    <w:rsid w:val="2FD45DE0"/>
    <w:rsid w:val="2FDA19F3"/>
    <w:rsid w:val="2FDC5172"/>
    <w:rsid w:val="2FDD261F"/>
    <w:rsid w:val="2FDD5A67"/>
    <w:rsid w:val="2FE27C15"/>
    <w:rsid w:val="2FE80560"/>
    <w:rsid w:val="2FFB2FFC"/>
    <w:rsid w:val="30047C0B"/>
    <w:rsid w:val="300646B0"/>
    <w:rsid w:val="30074AA5"/>
    <w:rsid w:val="300A5234"/>
    <w:rsid w:val="30175CF0"/>
    <w:rsid w:val="30195AC8"/>
    <w:rsid w:val="301A0F1F"/>
    <w:rsid w:val="301B4278"/>
    <w:rsid w:val="301B71D6"/>
    <w:rsid w:val="301C02EE"/>
    <w:rsid w:val="30215367"/>
    <w:rsid w:val="30226E56"/>
    <w:rsid w:val="303E4DEF"/>
    <w:rsid w:val="304B72B2"/>
    <w:rsid w:val="305A7EC1"/>
    <w:rsid w:val="305C7303"/>
    <w:rsid w:val="305E5016"/>
    <w:rsid w:val="305F55A7"/>
    <w:rsid w:val="30630CC6"/>
    <w:rsid w:val="307062CD"/>
    <w:rsid w:val="30720DBE"/>
    <w:rsid w:val="30852F8E"/>
    <w:rsid w:val="3095013F"/>
    <w:rsid w:val="309735A2"/>
    <w:rsid w:val="309E7FF8"/>
    <w:rsid w:val="30A15A78"/>
    <w:rsid w:val="30AA2C0B"/>
    <w:rsid w:val="30B55C11"/>
    <w:rsid w:val="30C13DA9"/>
    <w:rsid w:val="30C27E4C"/>
    <w:rsid w:val="30C81594"/>
    <w:rsid w:val="30D761BD"/>
    <w:rsid w:val="30E11F39"/>
    <w:rsid w:val="30E32D32"/>
    <w:rsid w:val="30EB35CF"/>
    <w:rsid w:val="30F12B50"/>
    <w:rsid w:val="30F1535C"/>
    <w:rsid w:val="30F3317E"/>
    <w:rsid w:val="30F80CB9"/>
    <w:rsid w:val="30FC7157"/>
    <w:rsid w:val="30FF1476"/>
    <w:rsid w:val="310654A6"/>
    <w:rsid w:val="31073B6F"/>
    <w:rsid w:val="310C6652"/>
    <w:rsid w:val="311255A5"/>
    <w:rsid w:val="31137924"/>
    <w:rsid w:val="31150025"/>
    <w:rsid w:val="311C089B"/>
    <w:rsid w:val="3129115E"/>
    <w:rsid w:val="3138574A"/>
    <w:rsid w:val="314A5EBC"/>
    <w:rsid w:val="314E361D"/>
    <w:rsid w:val="31552E55"/>
    <w:rsid w:val="315A562B"/>
    <w:rsid w:val="315F4D44"/>
    <w:rsid w:val="3180134A"/>
    <w:rsid w:val="318A7261"/>
    <w:rsid w:val="31955811"/>
    <w:rsid w:val="31983260"/>
    <w:rsid w:val="319A5065"/>
    <w:rsid w:val="31A66EF8"/>
    <w:rsid w:val="31AF3D3F"/>
    <w:rsid w:val="31AF4AA2"/>
    <w:rsid w:val="31B20BF9"/>
    <w:rsid w:val="31C32238"/>
    <w:rsid w:val="31CA6863"/>
    <w:rsid w:val="31CD5667"/>
    <w:rsid w:val="31D61064"/>
    <w:rsid w:val="31D70D15"/>
    <w:rsid w:val="31D7259B"/>
    <w:rsid w:val="31D9592F"/>
    <w:rsid w:val="31E340B8"/>
    <w:rsid w:val="31EB5AC4"/>
    <w:rsid w:val="31FB5F86"/>
    <w:rsid w:val="31FC0156"/>
    <w:rsid w:val="320329AC"/>
    <w:rsid w:val="3209164B"/>
    <w:rsid w:val="322008DB"/>
    <w:rsid w:val="3221486C"/>
    <w:rsid w:val="3228311B"/>
    <w:rsid w:val="323B6B5B"/>
    <w:rsid w:val="323C17D0"/>
    <w:rsid w:val="323F345E"/>
    <w:rsid w:val="3240570C"/>
    <w:rsid w:val="32470E6D"/>
    <w:rsid w:val="324F174E"/>
    <w:rsid w:val="32566F80"/>
    <w:rsid w:val="325806BF"/>
    <w:rsid w:val="325E690C"/>
    <w:rsid w:val="32655415"/>
    <w:rsid w:val="32696C96"/>
    <w:rsid w:val="326C755F"/>
    <w:rsid w:val="327836E0"/>
    <w:rsid w:val="327B210D"/>
    <w:rsid w:val="327B69E7"/>
    <w:rsid w:val="328302FF"/>
    <w:rsid w:val="329A100E"/>
    <w:rsid w:val="32A06948"/>
    <w:rsid w:val="32A93260"/>
    <w:rsid w:val="32AD3CE5"/>
    <w:rsid w:val="32B0488D"/>
    <w:rsid w:val="32B14DF9"/>
    <w:rsid w:val="32BF2BE6"/>
    <w:rsid w:val="32C73227"/>
    <w:rsid w:val="32D07442"/>
    <w:rsid w:val="32D2354E"/>
    <w:rsid w:val="32D92A94"/>
    <w:rsid w:val="32E427DE"/>
    <w:rsid w:val="32FB7C63"/>
    <w:rsid w:val="32FC132C"/>
    <w:rsid w:val="32FD73FC"/>
    <w:rsid w:val="330341C7"/>
    <w:rsid w:val="33066BB2"/>
    <w:rsid w:val="330F7ECD"/>
    <w:rsid w:val="33101BB9"/>
    <w:rsid w:val="33151F10"/>
    <w:rsid w:val="3318053B"/>
    <w:rsid w:val="33182F1C"/>
    <w:rsid w:val="331F4CEC"/>
    <w:rsid w:val="331F55C4"/>
    <w:rsid w:val="332B6C1D"/>
    <w:rsid w:val="33372C4D"/>
    <w:rsid w:val="333E690D"/>
    <w:rsid w:val="33423A15"/>
    <w:rsid w:val="33550153"/>
    <w:rsid w:val="33550FE6"/>
    <w:rsid w:val="3355126D"/>
    <w:rsid w:val="335F28BC"/>
    <w:rsid w:val="336B3E67"/>
    <w:rsid w:val="33753436"/>
    <w:rsid w:val="337E661C"/>
    <w:rsid w:val="3384413B"/>
    <w:rsid w:val="338467E7"/>
    <w:rsid w:val="33862AE4"/>
    <w:rsid w:val="339029DD"/>
    <w:rsid w:val="3394242D"/>
    <w:rsid w:val="33957634"/>
    <w:rsid w:val="339D7E55"/>
    <w:rsid w:val="33A1247D"/>
    <w:rsid w:val="33A35686"/>
    <w:rsid w:val="33A361F5"/>
    <w:rsid w:val="33A6689E"/>
    <w:rsid w:val="33B2073F"/>
    <w:rsid w:val="33B3264C"/>
    <w:rsid w:val="33BE6ACA"/>
    <w:rsid w:val="33C353A8"/>
    <w:rsid w:val="33C361FD"/>
    <w:rsid w:val="33C70F03"/>
    <w:rsid w:val="33CC13C4"/>
    <w:rsid w:val="33D47D4F"/>
    <w:rsid w:val="33D75A31"/>
    <w:rsid w:val="33DF68F8"/>
    <w:rsid w:val="33E23A52"/>
    <w:rsid w:val="33E33EF3"/>
    <w:rsid w:val="33FA5E01"/>
    <w:rsid w:val="340519B8"/>
    <w:rsid w:val="34086670"/>
    <w:rsid w:val="34097853"/>
    <w:rsid w:val="340A66A5"/>
    <w:rsid w:val="34264730"/>
    <w:rsid w:val="342A2472"/>
    <w:rsid w:val="342F357C"/>
    <w:rsid w:val="34333E5B"/>
    <w:rsid w:val="34354DEE"/>
    <w:rsid w:val="343926B5"/>
    <w:rsid w:val="344277BC"/>
    <w:rsid w:val="34454533"/>
    <w:rsid w:val="344A1DF7"/>
    <w:rsid w:val="344A69C0"/>
    <w:rsid w:val="344B2247"/>
    <w:rsid w:val="344D6161"/>
    <w:rsid w:val="34503B3C"/>
    <w:rsid w:val="3453371A"/>
    <w:rsid w:val="345532F9"/>
    <w:rsid w:val="3458780C"/>
    <w:rsid w:val="345E0617"/>
    <w:rsid w:val="3460633F"/>
    <w:rsid w:val="34614EE1"/>
    <w:rsid w:val="346E58C7"/>
    <w:rsid w:val="34713BFD"/>
    <w:rsid w:val="34741A8A"/>
    <w:rsid w:val="34743EBC"/>
    <w:rsid w:val="34770D98"/>
    <w:rsid w:val="347B383D"/>
    <w:rsid w:val="347F02C3"/>
    <w:rsid w:val="34842C21"/>
    <w:rsid w:val="349224E0"/>
    <w:rsid w:val="3494571E"/>
    <w:rsid w:val="34963CCB"/>
    <w:rsid w:val="34A97170"/>
    <w:rsid w:val="34AD2D58"/>
    <w:rsid w:val="34AF6227"/>
    <w:rsid w:val="34B14C0B"/>
    <w:rsid w:val="34C04109"/>
    <w:rsid w:val="34C71A27"/>
    <w:rsid w:val="34D55D7F"/>
    <w:rsid w:val="34D8363B"/>
    <w:rsid w:val="34DE050C"/>
    <w:rsid w:val="34E44283"/>
    <w:rsid w:val="34F566BC"/>
    <w:rsid w:val="34F605A6"/>
    <w:rsid w:val="34F63217"/>
    <w:rsid w:val="34F87471"/>
    <w:rsid w:val="34FC1F63"/>
    <w:rsid w:val="35001266"/>
    <w:rsid w:val="35011D3B"/>
    <w:rsid w:val="35077E41"/>
    <w:rsid w:val="351F18AB"/>
    <w:rsid w:val="352275ED"/>
    <w:rsid w:val="35234F30"/>
    <w:rsid w:val="352A3C05"/>
    <w:rsid w:val="352B41AB"/>
    <w:rsid w:val="352C55D2"/>
    <w:rsid w:val="3533041E"/>
    <w:rsid w:val="35342EF6"/>
    <w:rsid w:val="35353A58"/>
    <w:rsid w:val="35401559"/>
    <w:rsid w:val="35590827"/>
    <w:rsid w:val="355A28E3"/>
    <w:rsid w:val="355D2FCB"/>
    <w:rsid w:val="357240D1"/>
    <w:rsid w:val="35754964"/>
    <w:rsid w:val="35795F29"/>
    <w:rsid w:val="357A43C8"/>
    <w:rsid w:val="357C4866"/>
    <w:rsid w:val="357D1F9E"/>
    <w:rsid w:val="35966E67"/>
    <w:rsid w:val="359B365F"/>
    <w:rsid w:val="35AB4D0F"/>
    <w:rsid w:val="35B53FBD"/>
    <w:rsid w:val="35CF1523"/>
    <w:rsid w:val="35DB3C61"/>
    <w:rsid w:val="35DD786F"/>
    <w:rsid w:val="35E148A1"/>
    <w:rsid w:val="35E41E86"/>
    <w:rsid w:val="35E53F9C"/>
    <w:rsid w:val="35E977B4"/>
    <w:rsid w:val="35FA5938"/>
    <w:rsid w:val="36167037"/>
    <w:rsid w:val="36173F21"/>
    <w:rsid w:val="36212C5A"/>
    <w:rsid w:val="362829E1"/>
    <w:rsid w:val="363964A4"/>
    <w:rsid w:val="364006D2"/>
    <w:rsid w:val="36452BA8"/>
    <w:rsid w:val="364E5E5D"/>
    <w:rsid w:val="3656757D"/>
    <w:rsid w:val="365E3E97"/>
    <w:rsid w:val="365E4DC9"/>
    <w:rsid w:val="366A39A2"/>
    <w:rsid w:val="3673470F"/>
    <w:rsid w:val="367C631F"/>
    <w:rsid w:val="368162EC"/>
    <w:rsid w:val="368813E7"/>
    <w:rsid w:val="368C4D1E"/>
    <w:rsid w:val="368C7358"/>
    <w:rsid w:val="368F1B0D"/>
    <w:rsid w:val="369413C1"/>
    <w:rsid w:val="369618CE"/>
    <w:rsid w:val="36962148"/>
    <w:rsid w:val="369D2F51"/>
    <w:rsid w:val="36AF3103"/>
    <w:rsid w:val="36B424C7"/>
    <w:rsid w:val="36B5011A"/>
    <w:rsid w:val="36C15476"/>
    <w:rsid w:val="36C31FB0"/>
    <w:rsid w:val="36C50E2A"/>
    <w:rsid w:val="36C554D3"/>
    <w:rsid w:val="36C55603"/>
    <w:rsid w:val="36DA1FB5"/>
    <w:rsid w:val="36E0282F"/>
    <w:rsid w:val="36E400DD"/>
    <w:rsid w:val="36E608F4"/>
    <w:rsid w:val="36F11E61"/>
    <w:rsid w:val="36F62B70"/>
    <w:rsid w:val="36F73613"/>
    <w:rsid w:val="36FE5A73"/>
    <w:rsid w:val="37021484"/>
    <w:rsid w:val="37050131"/>
    <w:rsid w:val="37082841"/>
    <w:rsid w:val="370F16D6"/>
    <w:rsid w:val="371513AC"/>
    <w:rsid w:val="3715740A"/>
    <w:rsid w:val="371729BE"/>
    <w:rsid w:val="371A04B9"/>
    <w:rsid w:val="371A3ACC"/>
    <w:rsid w:val="371C0798"/>
    <w:rsid w:val="37290126"/>
    <w:rsid w:val="372A196F"/>
    <w:rsid w:val="373123D7"/>
    <w:rsid w:val="37405B09"/>
    <w:rsid w:val="374101FF"/>
    <w:rsid w:val="37490E61"/>
    <w:rsid w:val="374C4F01"/>
    <w:rsid w:val="374E0226"/>
    <w:rsid w:val="375325B8"/>
    <w:rsid w:val="37625465"/>
    <w:rsid w:val="376A1E87"/>
    <w:rsid w:val="376A37A0"/>
    <w:rsid w:val="376B0DD8"/>
    <w:rsid w:val="376E0C53"/>
    <w:rsid w:val="376E146E"/>
    <w:rsid w:val="37755D43"/>
    <w:rsid w:val="37774450"/>
    <w:rsid w:val="377834F5"/>
    <w:rsid w:val="377E2331"/>
    <w:rsid w:val="379E1A5E"/>
    <w:rsid w:val="379F5997"/>
    <w:rsid w:val="37A460BD"/>
    <w:rsid w:val="37A60DAE"/>
    <w:rsid w:val="37B84160"/>
    <w:rsid w:val="37C52E6E"/>
    <w:rsid w:val="37C7033C"/>
    <w:rsid w:val="37C70758"/>
    <w:rsid w:val="37CB7AC8"/>
    <w:rsid w:val="37CE41C7"/>
    <w:rsid w:val="37D56B99"/>
    <w:rsid w:val="37DC16EC"/>
    <w:rsid w:val="37DE3C9F"/>
    <w:rsid w:val="37DF4BA9"/>
    <w:rsid w:val="37E01C32"/>
    <w:rsid w:val="37E02C9E"/>
    <w:rsid w:val="37E06BE4"/>
    <w:rsid w:val="37E361C3"/>
    <w:rsid w:val="37E608D0"/>
    <w:rsid w:val="37E67497"/>
    <w:rsid w:val="37FB55DC"/>
    <w:rsid w:val="37FC1D34"/>
    <w:rsid w:val="37FD7F7E"/>
    <w:rsid w:val="37FF0B7D"/>
    <w:rsid w:val="38012092"/>
    <w:rsid w:val="38056AD5"/>
    <w:rsid w:val="38073D44"/>
    <w:rsid w:val="381F22CA"/>
    <w:rsid w:val="382317F0"/>
    <w:rsid w:val="38304BA3"/>
    <w:rsid w:val="3832304E"/>
    <w:rsid w:val="38351E69"/>
    <w:rsid w:val="383C74EA"/>
    <w:rsid w:val="383F2CB9"/>
    <w:rsid w:val="384358B1"/>
    <w:rsid w:val="3847148E"/>
    <w:rsid w:val="38471845"/>
    <w:rsid w:val="384C1AF4"/>
    <w:rsid w:val="384D6F14"/>
    <w:rsid w:val="3850089A"/>
    <w:rsid w:val="385079F0"/>
    <w:rsid w:val="385A65E7"/>
    <w:rsid w:val="38691D37"/>
    <w:rsid w:val="386924B7"/>
    <w:rsid w:val="388F78CB"/>
    <w:rsid w:val="389B1F7E"/>
    <w:rsid w:val="389D482B"/>
    <w:rsid w:val="38A03DC7"/>
    <w:rsid w:val="38A26A7B"/>
    <w:rsid w:val="38A502DD"/>
    <w:rsid w:val="38A67C84"/>
    <w:rsid w:val="38C406D5"/>
    <w:rsid w:val="38C47CC3"/>
    <w:rsid w:val="38CA4F68"/>
    <w:rsid w:val="38D356E1"/>
    <w:rsid w:val="38DE382B"/>
    <w:rsid w:val="38E26BF0"/>
    <w:rsid w:val="38E37471"/>
    <w:rsid w:val="38E81FDF"/>
    <w:rsid w:val="38ED15B2"/>
    <w:rsid w:val="39146285"/>
    <w:rsid w:val="39173425"/>
    <w:rsid w:val="39184F8F"/>
    <w:rsid w:val="39257468"/>
    <w:rsid w:val="39261A80"/>
    <w:rsid w:val="39262D1F"/>
    <w:rsid w:val="3939385C"/>
    <w:rsid w:val="393C0411"/>
    <w:rsid w:val="39480D7E"/>
    <w:rsid w:val="394F0B23"/>
    <w:rsid w:val="395538DE"/>
    <w:rsid w:val="395B0318"/>
    <w:rsid w:val="39674244"/>
    <w:rsid w:val="396E2A44"/>
    <w:rsid w:val="396F66DA"/>
    <w:rsid w:val="39750026"/>
    <w:rsid w:val="397F3D71"/>
    <w:rsid w:val="39833215"/>
    <w:rsid w:val="39945415"/>
    <w:rsid w:val="39A55306"/>
    <w:rsid w:val="39AD7CF1"/>
    <w:rsid w:val="39B30C21"/>
    <w:rsid w:val="39B5256A"/>
    <w:rsid w:val="39B7532B"/>
    <w:rsid w:val="39B9172D"/>
    <w:rsid w:val="39C541D4"/>
    <w:rsid w:val="39C57793"/>
    <w:rsid w:val="39C624E2"/>
    <w:rsid w:val="39D23390"/>
    <w:rsid w:val="39D52E80"/>
    <w:rsid w:val="39DE46C9"/>
    <w:rsid w:val="39DF0815"/>
    <w:rsid w:val="39F5348A"/>
    <w:rsid w:val="39FF1EC0"/>
    <w:rsid w:val="3A09223C"/>
    <w:rsid w:val="3A15267E"/>
    <w:rsid w:val="3A1963F8"/>
    <w:rsid w:val="3A1B6A4E"/>
    <w:rsid w:val="3A1E7736"/>
    <w:rsid w:val="3A1F5421"/>
    <w:rsid w:val="3A2115F6"/>
    <w:rsid w:val="3A2270D9"/>
    <w:rsid w:val="3A266A81"/>
    <w:rsid w:val="3A2D6D46"/>
    <w:rsid w:val="3A2E0018"/>
    <w:rsid w:val="3A2E4485"/>
    <w:rsid w:val="3A37305D"/>
    <w:rsid w:val="3A3B3F4C"/>
    <w:rsid w:val="3A3C7080"/>
    <w:rsid w:val="3A3E4D8D"/>
    <w:rsid w:val="3A49579F"/>
    <w:rsid w:val="3A496192"/>
    <w:rsid w:val="3A4D43C7"/>
    <w:rsid w:val="3A4E75BD"/>
    <w:rsid w:val="3A6417CF"/>
    <w:rsid w:val="3A6C7BD1"/>
    <w:rsid w:val="3A7119FB"/>
    <w:rsid w:val="3A746EDF"/>
    <w:rsid w:val="3A766411"/>
    <w:rsid w:val="3A7B3A28"/>
    <w:rsid w:val="3A8723CC"/>
    <w:rsid w:val="3A87397B"/>
    <w:rsid w:val="3A9107D6"/>
    <w:rsid w:val="3A9670C7"/>
    <w:rsid w:val="3A976388"/>
    <w:rsid w:val="3AA0378C"/>
    <w:rsid w:val="3AA20FB4"/>
    <w:rsid w:val="3AA74337"/>
    <w:rsid w:val="3AAC65EF"/>
    <w:rsid w:val="3AB64A60"/>
    <w:rsid w:val="3AB72D92"/>
    <w:rsid w:val="3AC10C03"/>
    <w:rsid w:val="3AC248BA"/>
    <w:rsid w:val="3AC91C5E"/>
    <w:rsid w:val="3ADB7718"/>
    <w:rsid w:val="3ADD620D"/>
    <w:rsid w:val="3AED1079"/>
    <w:rsid w:val="3B045A56"/>
    <w:rsid w:val="3B0F23C2"/>
    <w:rsid w:val="3B133C60"/>
    <w:rsid w:val="3B136049"/>
    <w:rsid w:val="3B1806CB"/>
    <w:rsid w:val="3B196D9D"/>
    <w:rsid w:val="3B25635F"/>
    <w:rsid w:val="3B26093F"/>
    <w:rsid w:val="3B2B336C"/>
    <w:rsid w:val="3B34789A"/>
    <w:rsid w:val="3B40682D"/>
    <w:rsid w:val="3B427FC2"/>
    <w:rsid w:val="3B443FF0"/>
    <w:rsid w:val="3B485815"/>
    <w:rsid w:val="3B52279D"/>
    <w:rsid w:val="3B5C75E5"/>
    <w:rsid w:val="3B6951FA"/>
    <w:rsid w:val="3B697D24"/>
    <w:rsid w:val="3B6F68DF"/>
    <w:rsid w:val="3B701FE7"/>
    <w:rsid w:val="3B722BC0"/>
    <w:rsid w:val="3B732948"/>
    <w:rsid w:val="3B732951"/>
    <w:rsid w:val="3B75306E"/>
    <w:rsid w:val="3B764641"/>
    <w:rsid w:val="3B765F9D"/>
    <w:rsid w:val="3B7B1805"/>
    <w:rsid w:val="3B7B7D45"/>
    <w:rsid w:val="3B7D7B21"/>
    <w:rsid w:val="3B866111"/>
    <w:rsid w:val="3B8B65C9"/>
    <w:rsid w:val="3B8E11B4"/>
    <w:rsid w:val="3B9A553D"/>
    <w:rsid w:val="3B9F3054"/>
    <w:rsid w:val="3BA050B4"/>
    <w:rsid w:val="3BA65587"/>
    <w:rsid w:val="3BB327D4"/>
    <w:rsid w:val="3BB32D4D"/>
    <w:rsid w:val="3BB82E33"/>
    <w:rsid w:val="3BBC42F8"/>
    <w:rsid w:val="3BC20408"/>
    <w:rsid w:val="3BC603B1"/>
    <w:rsid w:val="3BC82C9D"/>
    <w:rsid w:val="3BD24BD6"/>
    <w:rsid w:val="3BD37B4E"/>
    <w:rsid w:val="3BD41F3D"/>
    <w:rsid w:val="3BD50F16"/>
    <w:rsid w:val="3BD76C89"/>
    <w:rsid w:val="3BDA0F8D"/>
    <w:rsid w:val="3BDD6417"/>
    <w:rsid w:val="3BE96C1E"/>
    <w:rsid w:val="3BF012DC"/>
    <w:rsid w:val="3BF143FE"/>
    <w:rsid w:val="3BFD7A2B"/>
    <w:rsid w:val="3C037B19"/>
    <w:rsid w:val="3C0734EB"/>
    <w:rsid w:val="3C0C0DA4"/>
    <w:rsid w:val="3C1B1ECF"/>
    <w:rsid w:val="3C1C7DE4"/>
    <w:rsid w:val="3C2A37D7"/>
    <w:rsid w:val="3C2F5848"/>
    <w:rsid w:val="3C352367"/>
    <w:rsid w:val="3C352BD9"/>
    <w:rsid w:val="3C3D2F2A"/>
    <w:rsid w:val="3C3F4C2F"/>
    <w:rsid w:val="3C425978"/>
    <w:rsid w:val="3C4D3360"/>
    <w:rsid w:val="3C5D05CF"/>
    <w:rsid w:val="3C5D23B3"/>
    <w:rsid w:val="3C6C5E40"/>
    <w:rsid w:val="3C6D1CD5"/>
    <w:rsid w:val="3C7813F1"/>
    <w:rsid w:val="3C877803"/>
    <w:rsid w:val="3C8E67EB"/>
    <w:rsid w:val="3C966336"/>
    <w:rsid w:val="3C971923"/>
    <w:rsid w:val="3C9C6C94"/>
    <w:rsid w:val="3C9D355F"/>
    <w:rsid w:val="3C9E31EC"/>
    <w:rsid w:val="3CA24D04"/>
    <w:rsid w:val="3CA56FA2"/>
    <w:rsid w:val="3CA72347"/>
    <w:rsid w:val="3CA76388"/>
    <w:rsid w:val="3CA77FB1"/>
    <w:rsid w:val="3CB96DE0"/>
    <w:rsid w:val="3CBA639B"/>
    <w:rsid w:val="3CC04102"/>
    <w:rsid w:val="3CC52D38"/>
    <w:rsid w:val="3CC93785"/>
    <w:rsid w:val="3CCA034E"/>
    <w:rsid w:val="3CCE6F00"/>
    <w:rsid w:val="3CDA72CF"/>
    <w:rsid w:val="3CDB168B"/>
    <w:rsid w:val="3CE0546A"/>
    <w:rsid w:val="3CE62BFB"/>
    <w:rsid w:val="3CE6311D"/>
    <w:rsid w:val="3CFA4252"/>
    <w:rsid w:val="3CFF7C30"/>
    <w:rsid w:val="3D045D6D"/>
    <w:rsid w:val="3D080047"/>
    <w:rsid w:val="3D08253D"/>
    <w:rsid w:val="3D0A1093"/>
    <w:rsid w:val="3D0A6D79"/>
    <w:rsid w:val="3D121DB7"/>
    <w:rsid w:val="3D1D2618"/>
    <w:rsid w:val="3D2C63DF"/>
    <w:rsid w:val="3D330220"/>
    <w:rsid w:val="3D342BF2"/>
    <w:rsid w:val="3D3D0B8A"/>
    <w:rsid w:val="3D3E247D"/>
    <w:rsid w:val="3D3F1334"/>
    <w:rsid w:val="3D414DF7"/>
    <w:rsid w:val="3D415DE1"/>
    <w:rsid w:val="3D417CFC"/>
    <w:rsid w:val="3D43789D"/>
    <w:rsid w:val="3D4A0CA0"/>
    <w:rsid w:val="3D51281E"/>
    <w:rsid w:val="3D5E4F3B"/>
    <w:rsid w:val="3D5F541A"/>
    <w:rsid w:val="3D6628D0"/>
    <w:rsid w:val="3D801C90"/>
    <w:rsid w:val="3D805ADE"/>
    <w:rsid w:val="3D864BBD"/>
    <w:rsid w:val="3D877383"/>
    <w:rsid w:val="3D893568"/>
    <w:rsid w:val="3D9E7BD3"/>
    <w:rsid w:val="3DA032BA"/>
    <w:rsid w:val="3DA72764"/>
    <w:rsid w:val="3DBC7729"/>
    <w:rsid w:val="3DBD2F71"/>
    <w:rsid w:val="3DC06EFA"/>
    <w:rsid w:val="3DC245E9"/>
    <w:rsid w:val="3DCC7747"/>
    <w:rsid w:val="3DE01609"/>
    <w:rsid w:val="3DE14DA7"/>
    <w:rsid w:val="3DE16638"/>
    <w:rsid w:val="3DE365E4"/>
    <w:rsid w:val="3DF71617"/>
    <w:rsid w:val="3DF87B80"/>
    <w:rsid w:val="3E070395"/>
    <w:rsid w:val="3E0D33EB"/>
    <w:rsid w:val="3E126745"/>
    <w:rsid w:val="3E157CEF"/>
    <w:rsid w:val="3E2919ED"/>
    <w:rsid w:val="3E2C408C"/>
    <w:rsid w:val="3E380D6B"/>
    <w:rsid w:val="3E3857EB"/>
    <w:rsid w:val="3E411E34"/>
    <w:rsid w:val="3E422396"/>
    <w:rsid w:val="3E465C51"/>
    <w:rsid w:val="3E492D2E"/>
    <w:rsid w:val="3E494851"/>
    <w:rsid w:val="3E4D11B7"/>
    <w:rsid w:val="3E50315B"/>
    <w:rsid w:val="3E526105"/>
    <w:rsid w:val="3E5347DA"/>
    <w:rsid w:val="3E5C147A"/>
    <w:rsid w:val="3E5C7F55"/>
    <w:rsid w:val="3E5D71E0"/>
    <w:rsid w:val="3E6F08A4"/>
    <w:rsid w:val="3E7147C4"/>
    <w:rsid w:val="3E731B5C"/>
    <w:rsid w:val="3E746C48"/>
    <w:rsid w:val="3E767A58"/>
    <w:rsid w:val="3E813130"/>
    <w:rsid w:val="3E8352C6"/>
    <w:rsid w:val="3E87201A"/>
    <w:rsid w:val="3E8B47E4"/>
    <w:rsid w:val="3E8E30A5"/>
    <w:rsid w:val="3E8F48C0"/>
    <w:rsid w:val="3E901EA9"/>
    <w:rsid w:val="3E946029"/>
    <w:rsid w:val="3E946D96"/>
    <w:rsid w:val="3E964C97"/>
    <w:rsid w:val="3E9B1CF6"/>
    <w:rsid w:val="3EA7155E"/>
    <w:rsid w:val="3EA949A3"/>
    <w:rsid w:val="3EAF5609"/>
    <w:rsid w:val="3EC154FC"/>
    <w:rsid w:val="3EC94CC5"/>
    <w:rsid w:val="3ECF2C54"/>
    <w:rsid w:val="3ED461C5"/>
    <w:rsid w:val="3EDA27A0"/>
    <w:rsid w:val="3EDA7082"/>
    <w:rsid w:val="3EDC7B3A"/>
    <w:rsid w:val="3EDE2064"/>
    <w:rsid w:val="3EE322DE"/>
    <w:rsid w:val="3EE36E53"/>
    <w:rsid w:val="3EE5278B"/>
    <w:rsid w:val="3EF21DDE"/>
    <w:rsid w:val="3EF64E87"/>
    <w:rsid w:val="3F000984"/>
    <w:rsid w:val="3F012022"/>
    <w:rsid w:val="3F014C26"/>
    <w:rsid w:val="3F0B2EA0"/>
    <w:rsid w:val="3F103E26"/>
    <w:rsid w:val="3F131A8B"/>
    <w:rsid w:val="3F19691C"/>
    <w:rsid w:val="3F1B1FE4"/>
    <w:rsid w:val="3F1C7F37"/>
    <w:rsid w:val="3F212B74"/>
    <w:rsid w:val="3F2806EF"/>
    <w:rsid w:val="3F2C67C1"/>
    <w:rsid w:val="3F2D72BA"/>
    <w:rsid w:val="3F2F1C77"/>
    <w:rsid w:val="3F3D3FCA"/>
    <w:rsid w:val="3F46487E"/>
    <w:rsid w:val="3F4B638E"/>
    <w:rsid w:val="3F5043B9"/>
    <w:rsid w:val="3F541C06"/>
    <w:rsid w:val="3F577716"/>
    <w:rsid w:val="3F5A5365"/>
    <w:rsid w:val="3F5C54AA"/>
    <w:rsid w:val="3F5D7F3A"/>
    <w:rsid w:val="3F6048AB"/>
    <w:rsid w:val="3F623D43"/>
    <w:rsid w:val="3F751D9F"/>
    <w:rsid w:val="3F7A66FA"/>
    <w:rsid w:val="3F800F5F"/>
    <w:rsid w:val="3F833462"/>
    <w:rsid w:val="3F8526D6"/>
    <w:rsid w:val="3F8E1594"/>
    <w:rsid w:val="3F8E4970"/>
    <w:rsid w:val="3F8E641A"/>
    <w:rsid w:val="3F950E6A"/>
    <w:rsid w:val="3F993C70"/>
    <w:rsid w:val="3F9E5895"/>
    <w:rsid w:val="3FC300A6"/>
    <w:rsid w:val="3FCD3E37"/>
    <w:rsid w:val="3FD56BEB"/>
    <w:rsid w:val="3FDD0D5B"/>
    <w:rsid w:val="3FDE153F"/>
    <w:rsid w:val="3FE200A5"/>
    <w:rsid w:val="3FF52C80"/>
    <w:rsid w:val="40063D93"/>
    <w:rsid w:val="40104029"/>
    <w:rsid w:val="40131A90"/>
    <w:rsid w:val="401A31D4"/>
    <w:rsid w:val="402442C4"/>
    <w:rsid w:val="40244A7E"/>
    <w:rsid w:val="402558A1"/>
    <w:rsid w:val="40274FA2"/>
    <w:rsid w:val="403C14DA"/>
    <w:rsid w:val="403C2C6A"/>
    <w:rsid w:val="40412A5E"/>
    <w:rsid w:val="405207BE"/>
    <w:rsid w:val="405C7A08"/>
    <w:rsid w:val="40642868"/>
    <w:rsid w:val="406672C3"/>
    <w:rsid w:val="40672047"/>
    <w:rsid w:val="406A3FA8"/>
    <w:rsid w:val="406A694A"/>
    <w:rsid w:val="406D5BC1"/>
    <w:rsid w:val="406F052A"/>
    <w:rsid w:val="40703903"/>
    <w:rsid w:val="40707F59"/>
    <w:rsid w:val="40713188"/>
    <w:rsid w:val="4076644E"/>
    <w:rsid w:val="40850A58"/>
    <w:rsid w:val="409408D6"/>
    <w:rsid w:val="40972FB7"/>
    <w:rsid w:val="409F5C34"/>
    <w:rsid w:val="40A048D5"/>
    <w:rsid w:val="40A12FFB"/>
    <w:rsid w:val="40A314A3"/>
    <w:rsid w:val="40B12465"/>
    <w:rsid w:val="40B336AF"/>
    <w:rsid w:val="40B72A22"/>
    <w:rsid w:val="40BA7DDF"/>
    <w:rsid w:val="40C15537"/>
    <w:rsid w:val="40C94638"/>
    <w:rsid w:val="40EB75E5"/>
    <w:rsid w:val="40EC0F4B"/>
    <w:rsid w:val="40EC723E"/>
    <w:rsid w:val="40F13322"/>
    <w:rsid w:val="40FE7CC0"/>
    <w:rsid w:val="410359A4"/>
    <w:rsid w:val="4107607D"/>
    <w:rsid w:val="41093383"/>
    <w:rsid w:val="410A482B"/>
    <w:rsid w:val="410B7187"/>
    <w:rsid w:val="411823CE"/>
    <w:rsid w:val="411A742B"/>
    <w:rsid w:val="411B0B2A"/>
    <w:rsid w:val="411F178B"/>
    <w:rsid w:val="41273C30"/>
    <w:rsid w:val="412E4EB5"/>
    <w:rsid w:val="4130551B"/>
    <w:rsid w:val="41391CC9"/>
    <w:rsid w:val="41425EC5"/>
    <w:rsid w:val="41531638"/>
    <w:rsid w:val="41670699"/>
    <w:rsid w:val="416A019F"/>
    <w:rsid w:val="416D399E"/>
    <w:rsid w:val="41744D2D"/>
    <w:rsid w:val="41772595"/>
    <w:rsid w:val="41782146"/>
    <w:rsid w:val="417C3826"/>
    <w:rsid w:val="418A7D43"/>
    <w:rsid w:val="418C3202"/>
    <w:rsid w:val="418F5A19"/>
    <w:rsid w:val="4190066E"/>
    <w:rsid w:val="4192346F"/>
    <w:rsid w:val="41A13931"/>
    <w:rsid w:val="41A605BD"/>
    <w:rsid w:val="41A76EB0"/>
    <w:rsid w:val="41AC6393"/>
    <w:rsid w:val="41B34918"/>
    <w:rsid w:val="41B9619F"/>
    <w:rsid w:val="41C02191"/>
    <w:rsid w:val="41CA4549"/>
    <w:rsid w:val="41D0190C"/>
    <w:rsid w:val="41D26375"/>
    <w:rsid w:val="41D30776"/>
    <w:rsid w:val="41D67795"/>
    <w:rsid w:val="41D76705"/>
    <w:rsid w:val="41E61F57"/>
    <w:rsid w:val="41EA32EE"/>
    <w:rsid w:val="41FA55A8"/>
    <w:rsid w:val="41FB356E"/>
    <w:rsid w:val="41FD474F"/>
    <w:rsid w:val="41FD4D44"/>
    <w:rsid w:val="420E061D"/>
    <w:rsid w:val="42152CE6"/>
    <w:rsid w:val="42193323"/>
    <w:rsid w:val="421B0117"/>
    <w:rsid w:val="421D2187"/>
    <w:rsid w:val="42217752"/>
    <w:rsid w:val="4222734C"/>
    <w:rsid w:val="42230F81"/>
    <w:rsid w:val="422A4671"/>
    <w:rsid w:val="422F3AEF"/>
    <w:rsid w:val="42375726"/>
    <w:rsid w:val="4242344A"/>
    <w:rsid w:val="42490A6A"/>
    <w:rsid w:val="42510207"/>
    <w:rsid w:val="42573923"/>
    <w:rsid w:val="426A681E"/>
    <w:rsid w:val="426D00FA"/>
    <w:rsid w:val="427174BE"/>
    <w:rsid w:val="427E3722"/>
    <w:rsid w:val="42822D3B"/>
    <w:rsid w:val="42887812"/>
    <w:rsid w:val="428C2009"/>
    <w:rsid w:val="42A24E54"/>
    <w:rsid w:val="42A41642"/>
    <w:rsid w:val="42AB6E74"/>
    <w:rsid w:val="42AC72BF"/>
    <w:rsid w:val="42B40683"/>
    <w:rsid w:val="42C309D7"/>
    <w:rsid w:val="42C752B9"/>
    <w:rsid w:val="42DB1AE6"/>
    <w:rsid w:val="42DE0D58"/>
    <w:rsid w:val="42DE2DA6"/>
    <w:rsid w:val="42DF2EC2"/>
    <w:rsid w:val="42E21CE1"/>
    <w:rsid w:val="42E27ABB"/>
    <w:rsid w:val="42EA3430"/>
    <w:rsid w:val="42EE3B46"/>
    <w:rsid w:val="42F05079"/>
    <w:rsid w:val="42F0532F"/>
    <w:rsid w:val="42F500EF"/>
    <w:rsid w:val="42F50A0F"/>
    <w:rsid w:val="42FB4453"/>
    <w:rsid w:val="43060283"/>
    <w:rsid w:val="430C4BD2"/>
    <w:rsid w:val="43135F68"/>
    <w:rsid w:val="43195B8C"/>
    <w:rsid w:val="432419A3"/>
    <w:rsid w:val="43252390"/>
    <w:rsid w:val="432A71A8"/>
    <w:rsid w:val="43337E46"/>
    <w:rsid w:val="43395D2C"/>
    <w:rsid w:val="433C187A"/>
    <w:rsid w:val="434A23F1"/>
    <w:rsid w:val="43503F9E"/>
    <w:rsid w:val="4352237E"/>
    <w:rsid w:val="435B1BF9"/>
    <w:rsid w:val="43645533"/>
    <w:rsid w:val="43694F23"/>
    <w:rsid w:val="436A6B99"/>
    <w:rsid w:val="437C3EAC"/>
    <w:rsid w:val="43811BEA"/>
    <w:rsid w:val="43827160"/>
    <w:rsid w:val="438A0837"/>
    <w:rsid w:val="438F23D5"/>
    <w:rsid w:val="438F40A0"/>
    <w:rsid w:val="43903063"/>
    <w:rsid w:val="43957638"/>
    <w:rsid w:val="439648D8"/>
    <w:rsid w:val="439D6E49"/>
    <w:rsid w:val="43A17A26"/>
    <w:rsid w:val="43A46189"/>
    <w:rsid w:val="43A54B37"/>
    <w:rsid w:val="43A95172"/>
    <w:rsid w:val="43AF6E6A"/>
    <w:rsid w:val="43B00525"/>
    <w:rsid w:val="43B31B56"/>
    <w:rsid w:val="43B55475"/>
    <w:rsid w:val="43B82BE2"/>
    <w:rsid w:val="43B9788A"/>
    <w:rsid w:val="43BF6CDE"/>
    <w:rsid w:val="43C60D75"/>
    <w:rsid w:val="43CF3419"/>
    <w:rsid w:val="43D51EFC"/>
    <w:rsid w:val="43D561DF"/>
    <w:rsid w:val="43D67F21"/>
    <w:rsid w:val="43D756B0"/>
    <w:rsid w:val="43DA2B8E"/>
    <w:rsid w:val="43E7168F"/>
    <w:rsid w:val="43EF0A52"/>
    <w:rsid w:val="43F33CF0"/>
    <w:rsid w:val="43F7001B"/>
    <w:rsid w:val="441104D5"/>
    <w:rsid w:val="44130BE8"/>
    <w:rsid w:val="44160FDF"/>
    <w:rsid w:val="441E55B8"/>
    <w:rsid w:val="442E5667"/>
    <w:rsid w:val="44484076"/>
    <w:rsid w:val="445A338C"/>
    <w:rsid w:val="446826B9"/>
    <w:rsid w:val="446A2417"/>
    <w:rsid w:val="447339C1"/>
    <w:rsid w:val="44772482"/>
    <w:rsid w:val="44772DBC"/>
    <w:rsid w:val="448C2975"/>
    <w:rsid w:val="449109E7"/>
    <w:rsid w:val="44971BCA"/>
    <w:rsid w:val="44A249CF"/>
    <w:rsid w:val="44AA5933"/>
    <w:rsid w:val="44AE00AD"/>
    <w:rsid w:val="44B05DE3"/>
    <w:rsid w:val="44B05DFC"/>
    <w:rsid w:val="44B34242"/>
    <w:rsid w:val="44B9646B"/>
    <w:rsid w:val="44BE4160"/>
    <w:rsid w:val="44C831A3"/>
    <w:rsid w:val="44C96792"/>
    <w:rsid w:val="44CD5E14"/>
    <w:rsid w:val="44DA0B9E"/>
    <w:rsid w:val="44DF4BB3"/>
    <w:rsid w:val="44E619C4"/>
    <w:rsid w:val="44E728C6"/>
    <w:rsid w:val="44FA05BD"/>
    <w:rsid w:val="44FC39B7"/>
    <w:rsid w:val="45010C68"/>
    <w:rsid w:val="450D1519"/>
    <w:rsid w:val="45155026"/>
    <w:rsid w:val="452169C4"/>
    <w:rsid w:val="452356A6"/>
    <w:rsid w:val="45266B2B"/>
    <w:rsid w:val="452A43F3"/>
    <w:rsid w:val="45303661"/>
    <w:rsid w:val="453215A8"/>
    <w:rsid w:val="45324DBD"/>
    <w:rsid w:val="45334180"/>
    <w:rsid w:val="45367AC8"/>
    <w:rsid w:val="453755AF"/>
    <w:rsid w:val="45375AF0"/>
    <w:rsid w:val="453868C5"/>
    <w:rsid w:val="453E2A35"/>
    <w:rsid w:val="453F600E"/>
    <w:rsid w:val="45442C68"/>
    <w:rsid w:val="45454917"/>
    <w:rsid w:val="45482139"/>
    <w:rsid w:val="4553643E"/>
    <w:rsid w:val="45640F89"/>
    <w:rsid w:val="456F64A6"/>
    <w:rsid w:val="45723C10"/>
    <w:rsid w:val="45750A20"/>
    <w:rsid w:val="45786DBF"/>
    <w:rsid w:val="457D1EA4"/>
    <w:rsid w:val="457F76AE"/>
    <w:rsid w:val="458505A5"/>
    <w:rsid w:val="45876B54"/>
    <w:rsid w:val="459357E2"/>
    <w:rsid w:val="459357E8"/>
    <w:rsid w:val="459C719B"/>
    <w:rsid w:val="45A2210C"/>
    <w:rsid w:val="45A53DFD"/>
    <w:rsid w:val="45A656D1"/>
    <w:rsid w:val="45A72E98"/>
    <w:rsid w:val="45A96D70"/>
    <w:rsid w:val="45B312B1"/>
    <w:rsid w:val="45BB73CE"/>
    <w:rsid w:val="45BC44F2"/>
    <w:rsid w:val="45C41755"/>
    <w:rsid w:val="45C74AA9"/>
    <w:rsid w:val="45CE6609"/>
    <w:rsid w:val="45D65246"/>
    <w:rsid w:val="45DC7EC8"/>
    <w:rsid w:val="45E20266"/>
    <w:rsid w:val="45E86877"/>
    <w:rsid w:val="45EA7CB3"/>
    <w:rsid w:val="45F70EF3"/>
    <w:rsid w:val="46013300"/>
    <w:rsid w:val="4613705A"/>
    <w:rsid w:val="4615110A"/>
    <w:rsid w:val="4617491A"/>
    <w:rsid w:val="461A2AB3"/>
    <w:rsid w:val="461B526E"/>
    <w:rsid w:val="461C687A"/>
    <w:rsid w:val="46250CEB"/>
    <w:rsid w:val="46252A99"/>
    <w:rsid w:val="462C5A1B"/>
    <w:rsid w:val="46407DF1"/>
    <w:rsid w:val="46535CB5"/>
    <w:rsid w:val="465C40C6"/>
    <w:rsid w:val="4666133A"/>
    <w:rsid w:val="466753B0"/>
    <w:rsid w:val="467A350D"/>
    <w:rsid w:val="46807557"/>
    <w:rsid w:val="468421D9"/>
    <w:rsid w:val="46843C64"/>
    <w:rsid w:val="4686729C"/>
    <w:rsid w:val="468A56C4"/>
    <w:rsid w:val="468F0B46"/>
    <w:rsid w:val="4693584F"/>
    <w:rsid w:val="469C01D4"/>
    <w:rsid w:val="469C163A"/>
    <w:rsid w:val="469F64F8"/>
    <w:rsid w:val="46B07049"/>
    <w:rsid w:val="46B24D85"/>
    <w:rsid w:val="46B25042"/>
    <w:rsid w:val="46BC1D95"/>
    <w:rsid w:val="46C54CDA"/>
    <w:rsid w:val="46C77EC9"/>
    <w:rsid w:val="46CC47B2"/>
    <w:rsid w:val="46CD258A"/>
    <w:rsid w:val="46D70238"/>
    <w:rsid w:val="46DD1482"/>
    <w:rsid w:val="46E31CDA"/>
    <w:rsid w:val="46EC4B66"/>
    <w:rsid w:val="46F3296F"/>
    <w:rsid w:val="46FE6D59"/>
    <w:rsid w:val="470D537D"/>
    <w:rsid w:val="471843AC"/>
    <w:rsid w:val="471F2BF8"/>
    <w:rsid w:val="4720500C"/>
    <w:rsid w:val="472471F5"/>
    <w:rsid w:val="472F67D3"/>
    <w:rsid w:val="473935A4"/>
    <w:rsid w:val="473C62ED"/>
    <w:rsid w:val="473E2BD4"/>
    <w:rsid w:val="47412091"/>
    <w:rsid w:val="47423F9D"/>
    <w:rsid w:val="475117F4"/>
    <w:rsid w:val="47555D65"/>
    <w:rsid w:val="475630E3"/>
    <w:rsid w:val="47580659"/>
    <w:rsid w:val="47590C4D"/>
    <w:rsid w:val="475C1E28"/>
    <w:rsid w:val="475C48D4"/>
    <w:rsid w:val="47737835"/>
    <w:rsid w:val="47780706"/>
    <w:rsid w:val="47833FF1"/>
    <w:rsid w:val="4789060E"/>
    <w:rsid w:val="478E0EC1"/>
    <w:rsid w:val="47944CED"/>
    <w:rsid w:val="47973544"/>
    <w:rsid w:val="479B4462"/>
    <w:rsid w:val="47AC64A6"/>
    <w:rsid w:val="47AD7073"/>
    <w:rsid w:val="47B03E86"/>
    <w:rsid w:val="47B25F99"/>
    <w:rsid w:val="47B35642"/>
    <w:rsid w:val="47BA5373"/>
    <w:rsid w:val="47BC5E84"/>
    <w:rsid w:val="47D32185"/>
    <w:rsid w:val="47D76015"/>
    <w:rsid w:val="47E27D0A"/>
    <w:rsid w:val="47E54B1C"/>
    <w:rsid w:val="47EA47B5"/>
    <w:rsid w:val="47F229D5"/>
    <w:rsid w:val="48037A2A"/>
    <w:rsid w:val="48085CFC"/>
    <w:rsid w:val="48135D72"/>
    <w:rsid w:val="4814633F"/>
    <w:rsid w:val="481608EC"/>
    <w:rsid w:val="481C62E7"/>
    <w:rsid w:val="4820007B"/>
    <w:rsid w:val="48272AF9"/>
    <w:rsid w:val="483A576A"/>
    <w:rsid w:val="48445D72"/>
    <w:rsid w:val="484C3D30"/>
    <w:rsid w:val="486C49B0"/>
    <w:rsid w:val="486E4402"/>
    <w:rsid w:val="48704418"/>
    <w:rsid w:val="48756935"/>
    <w:rsid w:val="488315CD"/>
    <w:rsid w:val="488325D6"/>
    <w:rsid w:val="489D672C"/>
    <w:rsid w:val="48A61258"/>
    <w:rsid w:val="48AD0F70"/>
    <w:rsid w:val="48B06D8F"/>
    <w:rsid w:val="48B9450D"/>
    <w:rsid w:val="48C44CB1"/>
    <w:rsid w:val="48C90BD5"/>
    <w:rsid w:val="48D30CA7"/>
    <w:rsid w:val="48D72771"/>
    <w:rsid w:val="48D81F2F"/>
    <w:rsid w:val="48D86C9E"/>
    <w:rsid w:val="48DF33D4"/>
    <w:rsid w:val="48E155A5"/>
    <w:rsid w:val="48E94A70"/>
    <w:rsid w:val="48E94BB5"/>
    <w:rsid w:val="48F129B8"/>
    <w:rsid w:val="48F2798B"/>
    <w:rsid w:val="48FB358F"/>
    <w:rsid w:val="490E5A67"/>
    <w:rsid w:val="4913307D"/>
    <w:rsid w:val="49282066"/>
    <w:rsid w:val="49282660"/>
    <w:rsid w:val="492B13E0"/>
    <w:rsid w:val="492E06BC"/>
    <w:rsid w:val="493203A6"/>
    <w:rsid w:val="49322ABA"/>
    <w:rsid w:val="493354CD"/>
    <w:rsid w:val="493A02D3"/>
    <w:rsid w:val="494237CE"/>
    <w:rsid w:val="49566A29"/>
    <w:rsid w:val="497937BB"/>
    <w:rsid w:val="497F53A8"/>
    <w:rsid w:val="49804824"/>
    <w:rsid w:val="49836455"/>
    <w:rsid w:val="498A559E"/>
    <w:rsid w:val="498B536D"/>
    <w:rsid w:val="49914216"/>
    <w:rsid w:val="49980073"/>
    <w:rsid w:val="49A1405C"/>
    <w:rsid w:val="49A95D6B"/>
    <w:rsid w:val="49B676D9"/>
    <w:rsid w:val="49B77EAC"/>
    <w:rsid w:val="49BA174B"/>
    <w:rsid w:val="49C27B38"/>
    <w:rsid w:val="49C43E9C"/>
    <w:rsid w:val="49D04A37"/>
    <w:rsid w:val="49D31253"/>
    <w:rsid w:val="49E616E9"/>
    <w:rsid w:val="49F028E0"/>
    <w:rsid w:val="49F61D5C"/>
    <w:rsid w:val="49FB242F"/>
    <w:rsid w:val="4A0770CC"/>
    <w:rsid w:val="4A077AAA"/>
    <w:rsid w:val="4A0848BF"/>
    <w:rsid w:val="4A087140"/>
    <w:rsid w:val="4A135178"/>
    <w:rsid w:val="4A147C15"/>
    <w:rsid w:val="4A164460"/>
    <w:rsid w:val="4A1F031E"/>
    <w:rsid w:val="4A201EF6"/>
    <w:rsid w:val="4A232553"/>
    <w:rsid w:val="4A2714D2"/>
    <w:rsid w:val="4A2970BB"/>
    <w:rsid w:val="4A2A5BAA"/>
    <w:rsid w:val="4A2C55C7"/>
    <w:rsid w:val="4A2D016F"/>
    <w:rsid w:val="4A2D7FBA"/>
    <w:rsid w:val="4A364818"/>
    <w:rsid w:val="4A372EFA"/>
    <w:rsid w:val="4A3A2A70"/>
    <w:rsid w:val="4A407E68"/>
    <w:rsid w:val="4A456BD5"/>
    <w:rsid w:val="4A483413"/>
    <w:rsid w:val="4A520AB3"/>
    <w:rsid w:val="4A631DE2"/>
    <w:rsid w:val="4A650AB4"/>
    <w:rsid w:val="4A6B4ABE"/>
    <w:rsid w:val="4A760E10"/>
    <w:rsid w:val="4A7F230B"/>
    <w:rsid w:val="4A804378"/>
    <w:rsid w:val="4A85193C"/>
    <w:rsid w:val="4A9A68DA"/>
    <w:rsid w:val="4AA03036"/>
    <w:rsid w:val="4AA36D32"/>
    <w:rsid w:val="4AA4318C"/>
    <w:rsid w:val="4AA973DD"/>
    <w:rsid w:val="4AB1008D"/>
    <w:rsid w:val="4ABD4AEA"/>
    <w:rsid w:val="4AC275B5"/>
    <w:rsid w:val="4AC44011"/>
    <w:rsid w:val="4AC46D49"/>
    <w:rsid w:val="4AC83B80"/>
    <w:rsid w:val="4AC9628C"/>
    <w:rsid w:val="4ACF40A3"/>
    <w:rsid w:val="4AD22D7A"/>
    <w:rsid w:val="4AD26296"/>
    <w:rsid w:val="4ADC6B68"/>
    <w:rsid w:val="4ADE0EEB"/>
    <w:rsid w:val="4ADE196A"/>
    <w:rsid w:val="4ADE4F6C"/>
    <w:rsid w:val="4AE066E8"/>
    <w:rsid w:val="4AF048F9"/>
    <w:rsid w:val="4AF27656"/>
    <w:rsid w:val="4AF941C0"/>
    <w:rsid w:val="4AFC0B69"/>
    <w:rsid w:val="4AFD4C19"/>
    <w:rsid w:val="4AFD5D93"/>
    <w:rsid w:val="4B044C48"/>
    <w:rsid w:val="4B0F4B96"/>
    <w:rsid w:val="4B131796"/>
    <w:rsid w:val="4B144DCA"/>
    <w:rsid w:val="4B1A06F3"/>
    <w:rsid w:val="4B264E2E"/>
    <w:rsid w:val="4B285232"/>
    <w:rsid w:val="4B2D6A25"/>
    <w:rsid w:val="4B2F44FB"/>
    <w:rsid w:val="4B462221"/>
    <w:rsid w:val="4B5A2588"/>
    <w:rsid w:val="4B69167A"/>
    <w:rsid w:val="4B6D24CC"/>
    <w:rsid w:val="4B771E3A"/>
    <w:rsid w:val="4B775E78"/>
    <w:rsid w:val="4B7F2C8A"/>
    <w:rsid w:val="4B83098E"/>
    <w:rsid w:val="4B8654B2"/>
    <w:rsid w:val="4B897627"/>
    <w:rsid w:val="4B9100E3"/>
    <w:rsid w:val="4BA57CDC"/>
    <w:rsid w:val="4BA9220F"/>
    <w:rsid w:val="4BB429FD"/>
    <w:rsid w:val="4BB42EDC"/>
    <w:rsid w:val="4BB74194"/>
    <w:rsid w:val="4BBC4C78"/>
    <w:rsid w:val="4BC171B8"/>
    <w:rsid w:val="4BCD1C09"/>
    <w:rsid w:val="4BCE0491"/>
    <w:rsid w:val="4BCE39E6"/>
    <w:rsid w:val="4BD05255"/>
    <w:rsid w:val="4BDB1C69"/>
    <w:rsid w:val="4BDF4C63"/>
    <w:rsid w:val="4BE95299"/>
    <w:rsid w:val="4BEA60A3"/>
    <w:rsid w:val="4BFA4735"/>
    <w:rsid w:val="4C041BD5"/>
    <w:rsid w:val="4C05792B"/>
    <w:rsid w:val="4C082BCA"/>
    <w:rsid w:val="4C085DBA"/>
    <w:rsid w:val="4C092759"/>
    <w:rsid w:val="4C0E53B2"/>
    <w:rsid w:val="4C0F07FD"/>
    <w:rsid w:val="4C15478D"/>
    <w:rsid w:val="4C175F6D"/>
    <w:rsid w:val="4C177328"/>
    <w:rsid w:val="4C1F2CFD"/>
    <w:rsid w:val="4C2C64CE"/>
    <w:rsid w:val="4C2E1201"/>
    <w:rsid w:val="4C2E7CD3"/>
    <w:rsid w:val="4C343A36"/>
    <w:rsid w:val="4C3B47FB"/>
    <w:rsid w:val="4C3D4030"/>
    <w:rsid w:val="4C3E27B6"/>
    <w:rsid w:val="4C41070E"/>
    <w:rsid w:val="4C467CF6"/>
    <w:rsid w:val="4C4C7E1F"/>
    <w:rsid w:val="4C4E5ED0"/>
    <w:rsid w:val="4C5925BD"/>
    <w:rsid w:val="4C5C4750"/>
    <w:rsid w:val="4C5D7BD7"/>
    <w:rsid w:val="4C675F73"/>
    <w:rsid w:val="4C6A56DB"/>
    <w:rsid w:val="4C6C06F3"/>
    <w:rsid w:val="4C770C39"/>
    <w:rsid w:val="4C7B78B7"/>
    <w:rsid w:val="4C7D53DD"/>
    <w:rsid w:val="4C7E346E"/>
    <w:rsid w:val="4C856395"/>
    <w:rsid w:val="4C8B79A4"/>
    <w:rsid w:val="4C995F8F"/>
    <w:rsid w:val="4C9A688F"/>
    <w:rsid w:val="4CA410E7"/>
    <w:rsid w:val="4CA74208"/>
    <w:rsid w:val="4CB11412"/>
    <w:rsid w:val="4CBC38EC"/>
    <w:rsid w:val="4CCD2E25"/>
    <w:rsid w:val="4CD034F0"/>
    <w:rsid w:val="4CD55219"/>
    <w:rsid w:val="4CDB19B8"/>
    <w:rsid w:val="4CDD362C"/>
    <w:rsid w:val="4CDD7F79"/>
    <w:rsid w:val="4CE73541"/>
    <w:rsid w:val="4CE83769"/>
    <w:rsid w:val="4CE9644B"/>
    <w:rsid w:val="4CED767B"/>
    <w:rsid w:val="4CF04630"/>
    <w:rsid w:val="4CFA4832"/>
    <w:rsid w:val="4CFA6A2E"/>
    <w:rsid w:val="4D0114AC"/>
    <w:rsid w:val="4D02171B"/>
    <w:rsid w:val="4D022BD1"/>
    <w:rsid w:val="4D0C6838"/>
    <w:rsid w:val="4D191715"/>
    <w:rsid w:val="4D38206C"/>
    <w:rsid w:val="4D3B2BA3"/>
    <w:rsid w:val="4D3E525B"/>
    <w:rsid w:val="4D423592"/>
    <w:rsid w:val="4D49551D"/>
    <w:rsid w:val="4D4C3002"/>
    <w:rsid w:val="4D653A2E"/>
    <w:rsid w:val="4D7D45B1"/>
    <w:rsid w:val="4D8474A9"/>
    <w:rsid w:val="4D970721"/>
    <w:rsid w:val="4D97427D"/>
    <w:rsid w:val="4D9B0906"/>
    <w:rsid w:val="4DA428E2"/>
    <w:rsid w:val="4DAE37A8"/>
    <w:rsid w:val="4DAF3AF6"/>
    <w:rsid w:val="4DB03590"/>
    <w:rsid w:val="4DB8597B"/>
    <w:rsid w:val="4DC01AC9"/>
    <w:rsid w:val="4DCB38C6"/>
    <w:rsid w:val="4DD800F9"/>
    <w:rsid w:val="4DDA4A35"/>
    <w:rsid w:val="4DE338A7"/>
    <w:rsid w:val="4DE37600"/>
    <w:rsid w:val="4DE67660"/>
    <w:rsid w:val="4DEA5B15"/>
    <w:rsid w:val="4DF44135"/>
    <w:rsid w:val="4DFA369A"/>
    <w:rsid w:val="4E05493B"/>
    <w:rsid w:val="4E077CDA"/>
    <w:rsid w:val="4E0A4649"/>
    <w:rsid w:val="4E111BED"/>
    <w:rsid w:val="4E1229CC"/>
    <w:rsid w:val="4E1D3BA0"/>
    <w:rsid w:val="4E263499"/>
    <w:rsid w:val="4E2A3474"/>
    <w:rsid w:val="4E3025B8"/>
    <w:rsid w:val="4E3B654B"/>
    <w:rsid w:val="4E3D517C"/>
    <w:rsid w:val="4E42068B"/>
    <w:rsid w:val="4E486A11"/>
    <w:rsid w:val="4E4D2A0C"/>
    <w:rsid w:val="4E507B74"/>
    <w:rsid w:val="4E5B738E"/>
    <w:rsid w:val="4E5C3A99"/>
    <w:rsid w:val="4E61122C"/>
    <w:rsid w:val="4E6179E6"/>
    <w:rsid w:val="4E6521A0"/>
    <w:rsid w:val="4E654B69"/>
    <w:rsid w:val="4E657168"/>
    <w:rsid w:val="4E6E51A5"/>
    <w:rsid w:val="4E7833C9"/>
    <w:rsid w:val="4E7D3A5A"/>
    <w:rsid w:val="4E84771C"/>
    <w:rsid w:val="4E8E65C1"/>
    <w:rsid w:val="4E964534"/>
    <w:rsid w:val="4E9C4970"/>
    <w:rsid w:val="4E9D63BC"/>
    <w:rsid w:val="4EA07B59"/>
    <w:rsid w:val="4EA222A5"/>
    <w:rsid w:val="4EA56E6D"/>
    <w:rsid w:val="4EB40B63"/>
    <w:rsid w:val="4EB52C2D"/>
    <w:rsid w:val="4EB63958"/>
    <w:rsid w:val="4ECB1D22"/>
    <w:rsid w:val="4ECE0172"/>
    <w:rsid w:val="4ECE6120"/>
    <w:rsid w:val="4ED13302"/>
    <w:rsid w:val="4ED52EC8"/>
    <w:rsid w:val="4EDE2145"/>
    <w:rsid w:val="4EEA0D24"/>
    <w:rsid w:val="4EF26DB1"/>
    <w:rsid w:val="4EFD43C8"/>
    <w:rsid w:val="4EFE738A"/>
    <w:rsid w:val="4F024CB1"/>
    <w:rsid w:val="4F0C5136"/>
    <w:rsid w:val="4F237C8E"/>
    <w:rsid w:val="4F365D17"/>
    <w:rsid w:val="4F4915A7"/>
    <w:rsid w:val="4F4D07DB"/>
    <w:rsid w:val="4F5F47A6"/>
    <w:rsid w:val="4F620ECE"/>
    <w:rsid w:val="4F623BE7"/>
    <w:rsid w:val="4F6700C7"/>
    <w:rsid w:val="4F6D1906"/>
    <w:rsid w:val="4F6D4509"/>
    <w:rsid w:val="4F7015F6"/>
    <w:rsid w:val="4F7264C1"/>
    <w:rsid w:val="4F734876"/>
    <w:rsid w:val="4F7B7444"/>
    <w:rsid w:val="4F7D4A2D"/>
    <w:rsid w:val="4F8256E3"/>
    <w:rsid w:val="4F8D2810"/>
    <w:rsid w:val="4F933145"/>
    <w:rsid w:val="4F980780"/>
    <w:rsid w:val="4F9843D4"/>
    <w:rsid w:val="4FA4714D"/>
    <w:rsid w:val="4FA61A88"/>
    <w:rsid w:val="4FA62E9D"/>
    <w:rsid w:val="4FAC2F25"/>
    <w:rsid w:val="4FB17B47"/>
    <w:rsid w:val="4FB94587"/>
    <w:rsid w:val="4FBB4DDB"/>
    <w:rsid w:val="4FC03925"/>
    <w:rsid w:val="4FC05B1D"/>
    <w:rsid w:val="4FC71044"/>
    <w:rsid w:val="4FCC4955"/>
    <w:rsid w:val="4FDA49D5"/>
    <w:rsid w:val="4FDF21E5"/>
    <w:rsid w:val="4FDF31C8"/>
    <w:rsid w:val="4FEA1B3F"/>
    <w:rsid w:val="4FEA3527"/>
    <w:rsid w:val="4FF51F5A"/>
    <w:rsid w:val="4FF63749"/>
    <w:rsid w:val="4FF82FCD"/>
    <w:rsid w:val="4FFE2F3A"/>
    <w:rsid w:val="501A1999"/>
    <w:rsid w:val="501C6F25"/>
    <w:rsid w:val="502271D1"/>
    <w:rsid w:val="50235828"/>
    <w:rsid w:val="50243DC2"/>
    <w:rsid w:val="50261688"/>
    <w:rsid w:val="502B532A"/>
    <w:rsid w:val="504528D6"/>
    <w:rsid w:val="50516697"/>
    <w:rsid w:val="505661AA"/>
    <w:rsid w:val="505668B3"/>
    <w:rsid w:val="505757B0"/>
    <w:rsid w:val="50674E4A"/>
    <w:rsid w:val="506976FB"/>
    <w:rsid w:val="506C341C"/>
    <w:rsid w:val="507300D1"/>
    <w:rsid w:val="507A1C34"/>
    <w:rsid w:val="507F4E02"/>
    <w:rsid w:val="50886844"/>
    <w:rsid w:val="508C4B1B"/>
    <w:rsid w:val="508D70DC"/>
    <w:rsid w:val="50A0425B"/>
    <w:rsid w:val="50A07EF8"/>
    <w:rsid w:val="50A272A1"/>
    <w:rsid w:val="50AB003F"/>
    <w:rsid w:val="50B2610E"/>
    <w:rsid w:val="50BC3FFA"/>
    <w:rsid w:val="50BC5916"/>
    <w:rsid w:val="50C84DFB"/>
    <w:rsid w:val="50D22552"/>
    <w:rsid w:val="50D50B39"/>
    <w:rsid w:val="50D723C8"/>
    <w:rsid w:val="50E40166"/>
    <w:rsid w:val="50F1639A"/>
    <w:rsid w:val="50F64729"/>
    <w:rsid w:val="50FA3025"/>
    <w:rsid w:val="50FE71D2"/>
    <w:rsid w:val="5105536B"/>
    <w:rsid w:val="51136E34"/>
    <w:rsid w:val="511648F9"/>
    <w:rsid w:val="5116559E"/>
    <w:rsid w:val="511D2807"/>
    <w:rsid w:val="51223D82"/>
    <w:rsid w:val="512A2C35"/>
    <w:rsid w:val="512A7413"/>
    <w:rsid w:val="512E128B"/>
    <w:rsid w:val="51316DDF"/>
    <w:rsid w:val="513279F1"/>
    <w:rsid w:val="51336874"/>
    <w:rsid w:val="51340035"/>
    <w:rsid w:val="513E0491"/>
    <w:rsid w:val="514F40CF"/>
    <w:rsid w:val="51525237"/>
    <w:rsid w:val="515C5951"/>
    <w:rsid w:val="516602B2"/>
    <w:rsid w:val="516A7B6E"/>
    <w:rsid w:val="516D5B72"/>
    <w:rsid w:val="51726B7C"/>
    <w:rsid w:val="51730D81"/>
    <w:rsid w:val="51785FE6"/>
    <w:rsid w:val="51796FF9"/>
    <w:rsid w:val="519227E4"/>
    <w:rsid w:val="519B622D"/>
    <w:rsid w:val="519F16E4"/>
    <w:rsid w:val="51A6623B"/>
    <w:rsid w:val="51AA0DD0"/>
    <w:rsid w:val="51B65D53"/>
    <w:rsid w:val="51B66FE5"/>
    <w:rsid w:val="51C123B0"/>
    <w:rsid w:val="51C25AE6"/>
    <w:rsid w:val="51C3340B"/>
    <w:rsid w:val="51D414AC"/>
    <w:rsid w:val="51D64B35"/>
    <w:rsid w:val="51E15FE3"/>
    <w:rsid w:val="51E23BAA"/>
    <w:rsid w:val="52020EAB"/>
    <w:rsid w:val="52021EE1"/>
    <w:rsid w:val="52082CDF"/>
    <w:rsid w:val="52091FB3"/>
    <w:rsid w:val="520D4F27"/>
    <w:rsid w:val="5210244C"/>
    <w:rsid w:val="52151C14"/>
    <w:rsid w:val="5220155A"/>
    <w:rsid w:val="52262C98"/>
    <w:rsid w:val="5232378C"/>
    <w:rsid w:val="52364CA8"/>
    <w:rsid w:val="52370D38"/>
    <w:rsid w:val="523E1A58"/>
    <w:rsid w:val="524268F0"/>
    <w:rsid w:val="5248310B"/>
    <w:rsid w:val="525C7843"/>
    <w:rsid w:val="525D6C57"/>
    <w:rsid w:val="525E371D"/>
    <w:rsid w:val="526037D7"/>
    <w:rsid w:val="52641C79"/>
    <w:rsid w:val="526A611C"/>
    <w:rsid w:val="52752DF9"/>
    <w:rsid w:val="527C4E59"/>
    <w:rsid w:val="5281374D"/>
    <w:rsid w:val="528369C9"/>
    <w:rsid w:val="528D20F2"/>
    <w:rsid w:val="52906034"/>
    <w:rsid w:val="52964DA6"/>
    <w:rsid w:val="52966AAF"/>
    <w:rsid w:val="52A92884"/>
    <w:rsid w:val="52BB406D"/>
    <w:rsid w:val="52BC7203"/>
    <w:rsid w:val="52BD2D29"/>
    <w:rsid w:val="52C87CBE"/>
    <w:rsid w:val="52C9407E"/>
    <w:rsid w:val="52CA3E4C"/>
    <w:rsid w:val="52CE6E9B"/>
    <w:rsid w:val="52DB41EE"/>
    <w:rsid w:val="52DE2DBE"/>
    <w:rsid w:val="52E85BDC"/>
    <w:rsid w:val="52EC1142"/>
    <w:rsid w:val="52EC6BE6"/>
    <w:rsid w:val="52ED0DE3"/>
    <w:rsid w:val="52EF191C"/>
    <w:rsid w:val="52F76B0B"/>
    <w:rsid w:val="52FB6A65"/>
    <w:rsid w:val="53051C89"/>
    <w:rsid w:val="53076F03"/>
    <w:rsid w:val="531B5950"/>
    <w:rsid w:val="53206AC2"/>
    <w:rsid w:val="53225357"/>
    <w:rsid w:val="53231A63"/>
    <w:rsid w:val="532831F8"/>
    <w:rsid w:val="53283BC9"/>
    <w:rsid w:val="532B17CF"/>
    <w:rsid w:val="532B55BC"/>
    <w:rsid w:val="53330A93"/>
    <w:rsid w:val="5333114B"/>
    <w:rsid w:val="53355F6E"/>
    <w:rsid w:val="533C6A84"/>
    <w:rsid w:val="533E194C"/>
    <w:rsid w:val="534C7D3B"/>
    <w:rsid w:val="53517C30"/>
    <w:rsid w:val="53525315"/>
    <w:rsid w:val="5357529C"/>
    <w:rsid w:val="535D7EED"/>
    <w:rsid w:val="536A3A27"/>
    <w:rsid w:val="537841F4"/>
    <w:rsid w:val="537A2A14"/>
    <w:rsid w:val="537C06E6"/>
    <w:rsid w:val="537C2ACC"/>
    <w:rsid w:val="537C3CE7"/>
    <w:rsid w:val="53810550"/>
    <w:rsid w:val="53821178"/>
    <w:rsid w:val="538441AA"/>
    <w:rsid w:val="538916F6"/>
    <w:rsid w:val="538A08FA"/>
    <w:rsid w:val="538D0EFF"/>
    <w:rsid w:val="53A02FB4"/>
    <w:rsid w:val="53A332AF"/>
    <w:rsid w:val="53A7435A"/>
    <w:rsid w:val="53AA369A"/>
    <w:rsid w:val="53AD4445"/>
    <w:rsid w:val="53B37524"/>
    <w:rsid w:val="53BD32C0"/>
    <w:rsid w:val="53CC496B"/>
    <w:rsid w:val="53CD4033"/>
    <w:rsid w:val="53CD67EC"/>
    <w:rsid w:val="53CF1DAA"/>
    <w:rsid w:val="53D37FD9"/>
    <w:rsid w:val="53D46922"/>
    <w:rsid w:val="53E06A65"/>
    <w:rsid w:val="53E337AD"/>
    <w:rsid w:val="53ED479D"/>
    <w:rsid w:val="53F00338"/>
    <w:rsid w:val="53F1045F"/>
    <w:rsid w:val="53F35F85"/>
    <w:rsid w:val="53F677A6"/>
    <w:rsid w:val="53F72166"/>
    <w:rsid w:val="53FB300A"/>
    <w:rsid w:val="54100167"/>
    <w:rsid w:val="54137363"/>
    <w:rsid w:val="54183C3E"/>
    <w:rsid w:val="54204BE9"/>
    <w:rsid w:val="5423149B"/>
    <w:rsid w:val="54281C72"/>
    <w:rsid w:val="542A3709"/>
    <w:rsid w:val="542B1765"/>
    <w:rsid w:val="543547EF"/>
    <w:rsid w:val="544463AA"/>
    <w:rsid w:val="544C31B5"/>
    <w:rsid w:val="545E4862"/>
    <w:rsid w:val="546028D8"/>
    <w:rsid w:val="54647FF8"/>
    <w:rsid w:val="546724CF"/>
    <w:rsid w:val="54676FEE"/>
    <w:rsid w:val="5468108F"/>
    <w:rsid w:val="546B0211"/>
    <w:rsid w:val="546D2CD9"/>
    <w:rsid w:val="546D5BAF"/>
    <w:rsid w:val="547370C6"/>
    <w:rsid w:val="54A60E2C"/>
    <w:rsid w:val="54B41BB8"/>
    <w:rsid w:val="54B9768F"/>
    <w:rsid w:val="54C25AD8"/>
    <w:rsid w:val="54C6148C"/>
    <w:rsid w:val="54C7492B"/>
    <w:rsid w:val="54C95E27"/>
    <w:rsid w:val="54CE46AE"/>
    <w:rsid w:val="54D602CC"/>
    <w:rsid w:val="54D77CBF"/>
    <w:rsid w:val="54E3013F"/>
    <w:rsid w:val="54E572D9"/>
    <w:rsid w:val="54E83EBC"/>
    <w:rsid w:val="54F326AE"/>
    <w:rsid w:val="54F330D6"/>
    <w:rsid w:val="54F74633"/>
    <w:rsid w:val="54F977B4"/>
    <w:rsid w:val="54FD7D87"/>
    <w:rsid w:val="550735B3"/>
    <w:rsid w:val="550A56DA"/>
    <w:rsid w:val="550C5D25"/>
    <w:rsid w:val="5528509F"/>
    <w:rsid w:val="552B32DD"/>
    <w:rsid w:val="552D39A5"/>
    <w:rsid w:val="552D4350"/>
    <w:rsid w:val="553053B2"/>
    <w:rsid w:val="553453FD"/>
    <w:rsid w:val="55385606"/>
    <w:rsid w:val="554A65CF"/>
    <w:rsid w:val="554A6632"/>
    <w:rsid w:val="555312B4"/>
    <w:rsid w:val="555734DE"/>
    <w:rsid w:val="556C1A28"/>
    <w:rsid w:val="55702F32"/>
    <w:rsid w:val="55720FF7"/>
    <w:rsid w:val="557579E8"/>
    <w:rsid w:val="557C1FAA"/>
    <w:rsid w:val="55832858"/>
    <w:rsid w:val="558570B1"/>
    <w:rsid w:val="558772CD"/>
    <w:rsid w:val="558812B5"/>
    <w:rsid w:val="558E4EBE"/>
    <w:rsid w:val="55900730"/>
    <w:rsid w:val="559357DD"/>
    <w:rsid w:val="559A5B94"/>
    <w:rsid w:val="559D264C"/>
    <w:rsid w:val="55A52EBA"/>
    <w:rsid w:val="55A65257"/>
    <w:rsid w:val="55B3234A"/>
    <w:rsid w:val="55BC1334"/>
    <w:rsid w:val="55C35A9F"/>
    <w:rsid w:val="55C94850"/>
    <w:rsid w:val="55D204A6"/>
    <w:rsid w:val="55D241F4"/>
    <w:rsid w:val="55D2615F"/>
    <w:rsid w:val="55DD3DDB"/>
    <w:rsid w:val="55DD7BAA"/>
    <w:rsid w:val="55EA4E82"/>
    <w:rsid w:val="55EB3885"/>
    <w:rsid w:val="55ED6FF3"/>
    <w:rsid w:val="55F06457"/>
    <w:rsid w:val="55F3226C"/>
    <w:rsid w:val="55F8179B"/>
    <w:rsid w:val="55F81F79"/>
    <w:rsid w:val="55FD2D5A"/>
    <w:rsid w:val="560A4A33"/>
    <w:rsid w:val="560B0AE4"/>
    <w:rsid w:val="560F04C9"/>
    <w:rsid w:val="561F7FDD"/>
    <w:rsid w:val="5621241C"/>
    <w:rsid w:val="5626455D"/>
    <w:rsid w:val="562E718F"/>
    <w:rsid w:val="56317529"/>
    <w:rsid w:val="56336DE0"/>
    <w:rsid w:val="563D2D25"/>
    <w:rsid w:val="56464871"/>
    <w:rsid w:val="56482F19"/>
    <w:rsid w:val="564943FB"/>
    <w:rsid w:val="564C2785"/>
    <w:rsid w:val="564E717C"/>
    <w:rsid w:val="564F0931"/>
    <w:rsid w:val="565A6CC6"/>
    <w:rsid w:val="5670227D"/>
    <w:rsid w:val="5671669C"/>
    <w:rsid w:val="567359DA"/>
    <w:rsid w:val="5674764A"/>
    <w:rsid w:val="5677585A"/>
    <w:rsid w:val="567B1032"/>
    <w:rsid w:val="567B4347"/>
    <w:rsid w:val="5681670B"/>
    <w:rsid w:val="56832B7F"/>
    <w:rsid w:val="568512B6"/>
    <w:rsid w:val="5686712D"/>
    <w:rsid w:val="56874E26"/>
    <w:rsid w:val="5691255C"/>
    <w:rsid w:val="569A7E4E"/>
    <w:rsid w:val="569D09CA"/>
    <w:rsid w:val="569D22F7"/>
    <w:rsid w:val="569E2AF2"/>
    <w:rsid w:val="569E3655"/>
    <w:rsid w:val="56A1616C"/>
    <w:rsid w:val="56A406D2"/>
    <w:rsid w:val="56A828A7"/>
    <w:rsid w:val="56AF0889"/>
    <w:rsid w:val="56B64732"/>
    <w:rsid w:val="56BD5AF2"/>
    <w:rsid w:val="56BF4B95"/>
    <w:rsid w:val="56C51EEF"/>
    <w:rsid w:val="56C728B9"/>
    <w:rsid w:val="56CC458E"/>
    <w:rsid w:val="56CE68A0"/>
    <w:rsid w:val="56D232FF"/>
    <w:rsid w:val="56D30E38"/>
    <w:rsid w:val="56D833B7"/>
    <w:rsid w:val="56DD3F1A"/>
    <w:rsid w:val="56DF6C95"/>
    <w:rsid w:val="56E147BB"/>
    <w:rsid w:val="56F049FE"/>
    <w:rsid w:val="56F075FE"/>
    <w:rsid w:val="56F82CCA"/>
    <w:rsid w:val="570047F0"/>
    <w:rsid w:val="57006093"/>
    <w:rsid w:val="57015D8A"/>
    <w:rsid w:val="57016C0B"/>
    <w:rsid w:val="570606C5"/>
    <w:rsid w:val="570973EC"/>
    <w:rsid w:val="571B00C0"/>
    <w:rsid w:val="571F11FC"/>
    <w:rsid w:val="572571EB"/>
    <w:rsid w:val="572915BD"/>
    <w:rsid w:val="57295971"/>
    <w:rsid w:val="572F0FBE"/>
    <w:rsid w:val="57323989"/>
    <w:rsid w:val="57407733"/>
    <w:rsid w:val="5745606E"/>
    <w:rsid w:val="574C2B81"/>
    <w:rsid w:val="574D56E1"/>
    <w:rsid w:val="5752197F"/>
    <w:rsid w:val="57575E30"/>
    <w:rsid w:val="57594912"/>
    <w:rsid w:val="57597A6C"/>
    <w:rsid w:val="575B4DFF"/>
    <w:rsid w:val="576437A9"/>
    <w:rsid w:val="576840AB"/>
    <w:rsid w:val="576C238B"/>
    <w:rsid w:val="5771767E"/>
    <w:rsid w:val="5773022F"/>
    <w:rsid w:val="57745F85"/>
    <w:rsid w:val="577A3D84"/>
    <w:rsid w:val="577E5BA7"/>
    <w:rsid w:val="57805D82"/>
    <w:rsid w:val="57831D16"/>
    <w:rsid w:val="57B04547"/>
    <w:rsid w:val="57B60D2F"/>
    <w:rsid w:val="57C20AC5"/>
    <w:rsid w:val="57C33EC0"/>
    <w:rsid w:val="57D00325"/>
    <w:rsid w:val="57D52571"/>
    <w:rsid w:val="57D71997"/>
    <w:rsid w:val="57E45007"/>
    <w:rsid w:val="57E73000"/>
    <w:rsid w:val="57E74EA7"/>
    <w:rsid w:val="57E814CD"/>
    <w:rsid w:val="57EB284D"/>
    <w:rsid w:val="57EC6661"/>
    <w:rsid w:val="57F9004D"/>
    <w:rsid w:val="57F958F1"/>
    <w:rsid w:val="57FF6208"/>
    <w:rsid w:val="580028A5"/>
    <w:rsid w:val="5801522C"/>
    <w:rsid w:val="58066997"/>
    <w:rsid w:val="580E29BD"/>
    <w:rsid w:val="58151142"/>
    <w:rsid w:val="58174B92"/>
    <w:rsid w:val="582963D1"/>
    <w:rsid w:val="58316364"/>
    <w:rsid w:val="58327CF6"/>
    <w:rsid w:val="58384A33"/>
    <w:rsid w:val="5839633B"/>
    <w:rsid w:val="58445001"/>
    <w:rsid w:val="58484FC3"/>
    <w:rsid w:val="584A3C0A"/>
    <w:rsid w:val="585120A1"/>
    <w:rsid w:val="58543D40"/>
    <w:rsid w:val="58615A5D"/>
    <w:rsid w:val="58711BA1"/>
    <w:rsid w:val="587248AD"/>
    <w:rsid w:val="587F226A"/>
    <w:rsid w:val="58845215"/>
    <w:rsid w:val="58854B70"/>
    <w:rsid w:val="588D35B2"/>
    <w:rsid w:val="58910256"/>
    <w:rsid w:val="589232CE"/>
    <w:rsid w:val="58926ED8"/>
    <w:rsid w:val="58957251"/>
    <w:rsid w:val="589579DA"/>
    <w:rsid w:val="58990801"/>
    <w:rsid w:val="589A07E2"/>
    <w:rsid w:val="58A8260C"/>
    <w:rsid w:val="58A8452D"/>
    <w:rsid w:val="58B633A9"/>
    <w:rsid w:val="58BB0610"/>
    <w:rsid w:val="58C5480F"/>
    <w:rsid w:val="58D878DC"/>
    <w:rsid w:val="58D9162E"/>
    <w:rsid w:val="58D9781A"/>
    <w:rsid w:val="58DB360D"/>
    <w:rsid w:val="58DE0B66"/>
    <w:rsid w:val="58E36DEC"/>
    <w:rsid w:val="58E4040A"/>
    <w:rsid w:val="58EE38BE"/>
    <w:rsid w:val="58EF78B7"/>
    <w:rsid w:val="58F22CAF"/>
    <w:rsid w:val="58F46A27"/>
    <w:rsid w:val="58F509F1"/>
    <w:rsid w:val="58F73F49"/>
    <w:rsid w:val="590168AA"/>
    <w:rsid w:val="590648D1"/>
    <w:rsid w:val="590738CF"/>
    <w:rsid w:val="590F7322"/>
    <w:rsid w:val="591A4B8C"/>
    <w:rsid w:val="59233AC6"/>
    <w:rsid w:val="59247E2E"/>
    <w:rsid w:val="592C35CD"/>
    <w:rsid w:val="5932754F"/>
    <w:rsid w:val="59376130"/>
    <w:rsid w:val="593917EF"/>
    <w:rsid w:val="593A430D"/>
    <w:rsid w:val="593D768E"/>
    <w:rsid w:val="594658C4"/>
    <w:rsid w:val="594F10D7"/>
    <w:rsid w:val="59524366"/>
    <w:rsid w:val="59630640"/>
    <w:rsid w:val="596C21DC"/>
    <w:rsid w:val="597013FA"/>
    <w:rsid w:val="59733F2F"/>
    <w:rsid w:val="597614C6"/>
    <w:rsid w:val="5983310F"/>
    <w:rsid w:val="5984349A"/>
    <w:rsid w:val="59856687"/>
    <w:rsid w:val="598A1144"/>
    <w:rsid w:val="598A2EE8"/>
    <w:rsid w:val="59A20D82"/>
    <w:rsid w:val="59A541C5"/>
    <w:rsid w:val="59A54630"/>
    <w:rsid w:val="59B06CFD"/>
    <w:rsid w:val="59B11098"/>
    <w:rsid w:val="59B368E2"/>
    <w:rsid w:val="59B934E1"/>
    <w:rsid w:val="59BB08B1"/>
    <w:rsid w:val="59BD3AAF"/>
    <w:rsid w:val="59C56899"/>
    <w:rsid w:val="59DC1FBA"/>
    <w:rsid w:val="59E56F7F"/>
    <w:rsid w:val="59E9338B"/>
    <w:rsid w:val="59EC6441"/>
    <w:rsid w:val="59EE39D3"/>
    <w:rsid w:val="59F967C1"/>
    <w:rsid w:val="59FA62BF"/>
    <w:rsid w:val="5A092549"/>
    <w:rsid w:val="5A097A4A"/>
    <w:rsid w:val="5A0C1B4F"/>
    <w:rsid w:val="5A1629D5"/>
    <w:rsid w:val="5A1B6C64"/>
    <w:rsid w:val="5A1D5EE9"/>
    <w:rsid w:val="5A1E24C1"/>
    <w:rsid w:val="5A2B6771"/>
    <w:rsid w:val="5A2C53B5"/>
    <w:rsid w:val="5A3176F1"/>
    <w:rsid w:val="5A340320"/>
    <w:rsid w:val="5A3579DD"/>
    <w:rsid w:val="5A363758"/>
    <w:rsid w:val="5A3D1A35"/>
    <w:rsid w:val="5A3F1F24"/>
    <w:rsid w:val="5A572219"/>
    <w:rsid w:val="5A5B5229"/>
    <w:rsid w:val="5A5C197E"/>
    <w:rsid w:val="5A603A2B"/>
    <w:rsid w:val="5A64198B"/>
    <w:rsid w:val="5A651B37"/>
    <w:rsid w:val="5A653C0A"/>
    <w:rsid w:val="5A6B1D64"/>
    <w:rsid w:val="5A6C6C98"/>
    <w:rsid w:val="5A7122F9"/>
    <w:rsid w:val="5A741BD3"/>
    <w:rsid w:val="5A74772E"/>
    <w:rsid w:val="5A7D4003"/>
    <w:rsid w:val="5A883164"/>
    <w:rsid w:val="5A89377C"/>
    <w:rsid w:val="5A8E6CE9"/>
    <w:rsid w:val="5A9009D2"/>
    <w:rsid w:val="5A934F9E"/>
    <w:rsid w:val="5A99726A"/>
    <w:rsid w:val="5A9F6A24"/>
    <w:rsid w:val="5AA56E6D"/>
    <w:rsid w:val="5AAC2B72"/>
    <w:rsid w:val="5AAD08A9"/>
    <w:rsid w:val="5AB220CF"/>
    <w:rsid w:val="5AB3035C"/>
    <w:rsid w:val="5ABF608E"/>
    <w:rsid w:val="5ACB3B4F"/>
    <w:rsid w:val="5ACD741F"/>
    <w:rsid w:val="5ACF5AD6"/>
    <w:rsid w:val="5AD20FEA"/>
    <w:rsid w:val="5ADD41BC"/>
    <w:rsid w:val="5AE17DC6"/>
    <w:rsid w:val="5AE5086A"/>
    <w:rsid w:val="5AEC40D6"/>
    <w:rsid w:val="5AEF445F"/>
    <w:rsid w:val="5AF50835"/>
    <w:rsid w:val="5AF95AD3"/>
    <w:rsid w:val="5AFA27DE"/>
    <w:rsid w:val="5B046076"/>
    <w:rsid w:val="5B062107"/>
    <w:rsid w:val="5B077DAE"/>
    <w:rsid w:val="5B09712D"/>
    <w:rsid w:val="5B0E1609"/>
    <w:rsid w:val="5B164BEC"/>
    <w:rsid w:val="5B232458"/>
    <w:rsid w:val="5B2A470A"/>
    <w:rsid w:val="5B2B1FCC"/>
    <w:rsid w:val="5B2B2979"/>
    <w:rsid w:val="5B301448"/>
    <w:rsid w:val="5B324BCF"/>
    <w:rsid w:val="5B357D71"/>
    <w:rsid w:val="5B411CCC"/>
    <w:rsid w:val="5B425168"/>
    <w:rsid w:val="5B434A6C"/>
    <w:rsid w:val="5B461767"/>
    <w:rsid w:val="5B564349"/>
    <w:rsid w:val="5B5D7E1A"/>
    <w:rsid w:val="5B5F5C14"/>
    <w:rsid w:val="5B670CE7"/>
    <w:rsid w:val="5B671E64"/>
    <w:rsid w:val="5B6D6AB9"/>
    <w:rsid w:val="5B70266C"/>
    <w:rsid w:val="5B7060B0"/>
    <w:rsid w:val="5B7D6380"/>
    <w:rsid w:val="5B7E4CCE"/>
    <w:rsid w:val="5B7F2785"/>
    <w:rsid w:val="5B7F2DC3"/>
    <w:rsid w:val="5B8461E0"/>
    <w:rsid w:val="5B8754CC"/>
    <w:rsid w:val="5B8E36FB"/>
    <w:rsid w:val="5B921C20"/>
    <w:rsid w:val="5B9C7605"/>
    <w:rsid w:val="5BA74225"/>
    <w:rsid w:val="5BAB4733"/>
    <w:rsid w:val="5BAF7E29"/>
    <w:rsid w:val="5BB71F8E"/>
    <w:rsid w:val="5BBB172F"/>
    <w:rsid w:val="5BC330C1"/>
    <w:rsid w:val="5BC56459"/>
    <w:rsid w:val="5BCA3A6F"/>
    <w:rsid w:val="5BD17FD3"/>
    <w:rsid w:val="5BDC4DC0"/>
    <w:rsid w:val="5BDD3FF0"/>
    <w:rsid w:val="5BE2700B"/>
    <w:rsid w:val="5BE51C20"/>
    <w:rsid w:val="5BE54BE1"/>
    <w:rsid w:val="5BEA340D"/>
    <w:rsid w:val="5BF074C6"/>
    <w:rsid w:val="5BF63C0C"/>
    <w:rsid w:val="5BF85E2E"/>
    <w:rsid w:val="5BFD2097"/>
    <w:rsid w:val="5C001B87"/>
    <w:rsid w:val="5C036ED2"/>
    <w:rsid w:val="5C0F706D"/>
    <w:rsid w:val="5C1178E8"/>
    <w:rsid w:val="5C262FE6"/>
    <w:rsid w:val="5C3203B5"/>
    <w:rsid w:val="5C346A8C"/>
    <w:rsid w:val="5C3E4717"/>
    <w:rsid w:val="5C4456BD"/>
    <w:rsid w:val="5C4A1EF8"/>
    <w:rsid w:val="5C4A4BB0"/>
    <w:rsid w:val="5C4B6402"/>
    <w:rsid w:val="5C4D447E"/>
    <w:rsid w:val="5C5B163A"/>
    <w:rsid w:val="5C5E4B87"/>
    <w:rsid w:val="5C66752B"/>
    <w:rsid w:val="5C6A3DF7"/>
    <w:rsid w:val="5C6C5A31"/>
    <w:rsid w:val="5C6D212C"/>
    <w:rsid w:val="5C7324C2"/>
    <w:rsid w:val="5C7325DE"/>
    <w:rsid w:val="5C75446B"/>
    <w:rsid w:val="5C7A5495"/>
    <w:rsid w:val="5C82268E"/>
    <w:rsid w:val="5C87233C"/>
    <w:rsid w:val="5C8B5049"/>
    <w:rsid w:val="5C925DBE"/>
    <w:rsid w:val="5C9329D1"/>
    <w:rsid w:val="5C9F71C3"/>
    <w:rsid w:val="5CA029F3"/>
    <w:rsid w:val="5CA1439A"/>
    <w:rsid w:val="5CAE4A82"/>
    <w:rsid w:val="5CBE5A5A"/>
    <w:rsid w:val="5CC166DE"/>
    <w:rsid w:val="5CCC44A7"/>
    <w:rsid w:val="5CDB081F"/>
    <w:rsid w:val="5CDD3FAC"/>
    <w:rsid w:val="5CE7739C"/>
    <w:rsid w:val="5CF278D3"/>
    <w:rsid w:val="5CF9717B"/>
    <w:rsid w:val="5CFD19D0"/>
    <w:rsid w:val="5D081F0E"/>
    <w:rsid w:val="5D0B0E17"/>
    <w:rsid w:val="5D0D0996"/>
    <w:rsid w:val="5D0D6309"/>
    <w:rsid w:val="5D0F1D1E"/>
    <w:rsid w:val="5D0F662E"/>
    <w:rsid w:val="5D176C02"/>
    <w:rsid w:val="5D1A470E"/>
    <w:rsid w:val="5D2660BA"/>
    <w:rsid w:val="5D2A4E8B"/>
    <w:rsid w:val="5D2B294C"/>
    <w:rsid w:val="5D304C0F"/>
    <w:rsid w:val="5D375BBE"/>
    <w:rsid w:val="5D3E08B4"/>
    <w:rsid w:val="5D4A7F95"/>
    <w:rsid w:val="5D5057D4"/>
    <w:rsid w:val="5D537A94"/>
    <w:rsid w:val="5D5B1761"/>
    <w:rsid w:val="5D600B2F"/>
    <w:rsid w:val="5D6056A4"/>
    <w:rsid w:val="5D67469C"/>
    <w:rsid w:val="5D6C5E7E"/>
    <w:rsid w:val="5D70160B"/>
    <w:rsid w:val="5D740F20"/>
    <w:rsid w:val="5D7E7207"/>
    <w:rsid w:val="5D813EEB"/>
    <w:rsid w:val="5D832DA1"/>
    <w:rsid w:val="5D8A5C53"/>
    <w:rsid w:val="5D975303"/>
    <w:rsid w:val="5D9A3915"/>
    <w:rsid w:val="5D9C7014"/>
    <w:rsid w:val="5D9E06CE"/>
    <w:rsid w:val="5DA45F90"/>
    <w:rsid w:val="5DA80DBB"/>
    <w:rsid w:val="5DB11FA5"/>
    <w:rsid w:val="5DB16EDF"/>
    <w:rsid w:val="5DB22A0D"/>
    <w:rsid w:val="5DB8620A"/>
    <w:rsid w:val="5DB93DFD"/>
    <w:rsid w:val="5DBD35A4"/>
    <w:rsid w:val="5DC620D4"/>
    <w:rsid w:val="5DCF1811"/>
    <w:rsid w:val="5DD23510"/>
    <w:rsid w:val="5DD32ECA"/>
    <w:rsid w:val="5DD33F89"/>
    <w:rsid w:val="5DDC4FB4"/>
    <w:rsid w:val="5DDC5A0A"/>
    <w:rsid w:val="5DDD2A60"/>
    <w:rsid w:val="5DDE4849"/>
    <w:rsid w:val="5DE31240"/>
    <w:rsid w:val="5DEA7130"/>
    <w:rsid w:val="5DEB6F54"/>
    <w:rsid w:val="5DED52CA"/>
    <w:rsid w:val="5DF33BB8"/>
    <w:rsid w:val="5DFE6C53"/>
    <w:rsid w:val="5DFF0350"/>
    <w:rsid w:val="5E0678E3"/>
    <w:rsid w:val="5E073FA4"/>
    <w:rsid w:val="5E087E27"/>
    <w:rsid w:val="5E1510CF"/>
    <w:rsid w:val="5E1B63D2"/>
    <w:rsid w:val="5E1C702F"/>
    <w:rsid w:val="5E301C5D"/>
    <w:rsid w:val="5E310223"/>
    <w:rsid w:val="5E39312E"/>
    <w:rsid w:val="5E3A7D0D"/>
    <w:rsid w:val="5E3C25E4"/>
    <w:rsid w:val="5E3E79C9"/>
    <w:rsid w:val="5E474C90"/>
    <w:rsid w:val="5E512226"/>
    <w:rsid w:val="5E583506"/>
    <w:rsid w:val="5E665155"/>
    <w:rsid w:val="5E6658E6"/>
    <w:rsid w:val="5E6A09FF"/>
    <w:rsid w:val="5E6B4CCD"/>
    <w:rsid w:val="5E6C58D3"/>
    <w:rsid w:val="5E6E102A"/>
    <w:rsid w:val="5E7C26BB"/>
    <w:rsid w:val="5E823299"/>
    <w:rsid w:val="5E8C325E"/>
    <w:rsid w:val="5E8F42CB"/>
    <w:rsid w:val="5E950C0F"/>
    <w:rsid w:val="5E9644C7"/>
    <w:rsid w:val="5EA227E4"/>
    <w:rsid w:val="5EA33621"/>
    <w:rsid w:val="5EA40FB3"/>
    <w:rsid w:val="5EAA3CAE"/>
    <w:rsid w:val="5EB07FD7"/>
    <w:rsid w:val="5EB421B6"/>
    <w:rsid w:val="5EB51207"/>
    <w:rsid w:val="5EBA442E"/>
    <w:rsid w:val="5EBA4511"/>
    <w:rsid w:val="5EBD39DC"/>
    <w:rsid w:val="5EC17861"/>
    <w:rsid w:val="5EC41BF5"/>
    <w:rsid w:val="5ECA3D4E"/>
    <w:rsid w:val="5ECA6852"/>
    <w:rsid w:val="5ECF45D6"/>
    <w:rsid w:val="5ED56A95"/>
    <w:rsid w:val="5EDD7F5D"/>
    <w:rsid w:val="5EEB690A"/>
    <w:rsid w:val="5EED03BB"/>
    <w:rsid w:val="5EF469A7"/>
    <w:rsid w:val="5F042888"/>
    <w:rsid w:val="5F0618CE"/>
    <w:rsid w:val="5F0E1D24"/>
    <w:rsid w:val="5F1A2F60"/>
    <w:rsid w:val="5F1F40D2"/>
    <w:rsid w:val="5F1F418F"/>
    <w:rsid w:val="5F253013"/>
    <w:rsid w:val="5F2931A3"/>
    <w:rsid w:val="5F2F3B18"/>
    <w:rsid w:val="5F32465D"/>
    <w:rsid w:val="5F4212E2"/>
    <w:rsid w:val="5F4228A1"/>
    <w:rsid w:val="5F510063"/>
    <w:rsid w:val="5F527A53"/>
    <w:rsid w:val="5F5369DD"/>
    <w:rsid w:val="5F547637"/>
    <w:rsid w:val="5F5F72EF"/>
    <w:rsid w:val="5F68356D"/>
    <w:rsid w:val="5F727D4E"/>
    <w:rsid w:val="5F73568D"/>
    <w:rsid w:val="5F85487D"/>
    <w:rsid w:val="5F8671B3"/>
    <w:rsid w:val="5F887EC9"/>
    <w:rsid w:val="5F9D6943"/>
    <w:rsid w:val="5FA06859"/>
    <w:rsid w:val="5FA20591"/>
    <w:rsid w:val="5FA744C2"/>
    <w:rsid w:val="5FB23DB8"/>
    <w:rsid w:val="5FB34DD5"/>
    <w:rsid w:val="5FB83819"/>
    <w:rsid w:val="5FBE060C"/>
    <w:rsid w:val="5FC058B5"/>
    <w:rsid w:val="5FC52ECB"/>
    <w:rsid w:val="5FC770A6"/>
    <w:rsid w:val="5FC93D7A"/>
    <w:rsid w:val="5FC965E4"/>
    <w:rsid w:val="5FCC15E9"/>
    <w:rsid w:val="5FCD393C"/>
    <w:rsid w:val="5FD109BF"/>
    <w:rsid w:val="5FD55752"/>
    <w:rsid w:val="5FD605B8"/>
    <w:rsid w:val="5FDA201F"/>
    <w:rsid w:val="5FDA4FA7"/>
    <w:rsid w:val="5FDD41B2"/>
    <w:rsid w:val="5FE03774"/>
    <w:rsid w:val="5FE072E7"/>
    <w:rsid w:val="5FE1243E"/>
    <w:rsid w:val="5FE63B3F"/>
    <w:rsid w:val="5FE84CD7"/>
    <w:rsid w:val="5FE84E0C"/>
    <w:rsid w:val="5FE92637"/>
    <w:rsid w:val="5FEA5F3A"/>
    <w:rsid w:val="5FEF695D"/>
    <w:rsid w:val="5FF04E24"/>
    <w:rsid w:val="5FF27C68"/>
    <w:rsid w:val="5FF4555F"/>
    <w:rsid w:val="5FF76AD1"/>
    <w:rsid w:val="5FFE7BDB"/>
    <w:rsid w:val="600734E4"/>
    <w:rsid w:val="60076F06"/>
    <w:rsid w:val="600826F4"/>
    <w:rsid w:val="600E34E0"/>
    <w:rsid w:val="60116D31"/>
    <w:rsid w:val="601652F2"/>
    <w:rsid w:val="601D4B7D"/>
    <w:rsid w:val="6022151C"/>
    <w:rsid w:val="602504C8"/>
    <w:rsid w:val="602810C4"/>
    <w:rsid w:val="60323946"/>
    <w:rsid w:val="603A0266"/>
    <w:rsid w:val="603A3260"/>
    <w:rsid w:val="603E0D75"/>
    <w:rsid w:val="6046337A"/>
    <w:rsid w:val="604A2C1D"/>
    <w:rsid w:val="604E1185"/>
    <w:rsid w:val="60535598"/>
    <w:rsid w:val="6056051B"/>
    <w:rsid w:val="60607A25"/>
    <w:rsid w:val="606101E7"/>
    <w:rsid w:val="6062696C"/>
    <w:rsid w:val="60687CFB"/>
    <w:rsid w:val="60752548"/>
    <w:rsid w:val="607B62EF"/>
    <w:rsid w:val="608B5918"/>
    <w:rsid w:val="609E371C"/>
    <w:rsid w:val="60AB250F"/>
    <w:rsid w:val="60AF1486"/>
    <w:rsid w:val="60B42476"/>
    <w:rsid w:val="60BA0C74"/>
    <w:rsid w:val="60C44F74"/>
    <w:rsid w:val="60C5752F"/>
    <w:rsid w:val="60C64D83"/>
    <w:rsid w:val="60C851F0"/>
    <w:rsid w:val="60C90E8E"/>
    <w:rsid w:val="60DF3882"/>
    <w:rsid w:val="60E24D2E"/>
    <w:rsid w:val="60E75B2D"/>
    <w:rsid w:val="60F27BD6"/>
    <w:rsid w:val="60F34B93"/>
    <w:rsid w:val="61055719"/>
    <w:rsid w:val="61057461"/>
    <w:rsid w:val="610E33FC"/>
    <w:rsid w:val="61235779"/>
    <w:rsid w:val="612673CC"/>
    <w:rsid w:val="61316E97"/>
    <w:rsid w:val="61345590"/>
    <w:rsid w:val="61392BFF"/>
    <w:rsid w:val="613936DB"/>
    <w:rsid w:val="613C50F4"/>
    <w:rsid w:val="613D2665"/>
    <w:rsid w:val="613F347C"/>
    <w:rsid w:val="614918DA"/>
    <w:rsid w:val="61504B69"/>
    <w:rsid w:val="615100FF"/>
    <w:rsid w:val="615122FB"/>
    <w:rsid w:val="61564545"/>
    <w:rsid w:val="61577355"/>
    <w:rsid w:val="615D1576"/>
    <w:rsid w:val="61645B7B"/>
    <w:rsid w:val="61675E3A"/>
    <w:rsid w:val="6168114B"/>
    <w:rsid w:val="616852E2"/>
    <w:rsid w:val="616D55C9"/>
    <w:rsid w:val="616F4C71"/>
    <w:rsid w:val="61711881"/>
    <w:rsid w:val="61720E31"/>
    <w:rsid w:val="617C71C8"/>
    <w:rsid w:val="6182069F"/>
    <w:rsid w:val="61836A88"/>
    <w:rsid w:val="6186597E"/>
    <w:rsid w:val="6189617B"/>
    <w:rsid w:val="618A3FA2"/>
    <w:rsid w:val="61950269"/>
    <w:rsid w:val="619B5967"/>
    <w:rsid w:val="619E3573"/>
    <w:rsid w:val="61A456B2"/>
    <w:rsid w:val="61A532BE"/>
    <w:rsid w:val="61A64CB0"/>
    <w:rsid w:val="61A8383D"/>
    <w:rsid w:val="61AB4C9B"/>
    <w:rsid w:val="61BB3566"/>
    <w:rsid w:val="61C10342"/>
    <w:rsid w:val="61C5709A"/>
    <w:rsid w:val="61CF29BF"/>
    <w:rsid w:val="61D30A56"/>
    <w:rsid w:val="61DA58B9"/>
    <w:rsid w:val="61E3588B"/>
    <w:rsid w:val="61EB3836"/>
    <w:rsid w:val="61F950AE"/>
    <w:rsid w:val="61FB0E26"/>
    <w:rsid w:val="62086668"/>
    <w:rsid w:val="620D6DAC"/>
    <w:rsid w:val="621556AB"/>
    <w:rsid w:val="621671D8"/>
    <w:rsid w:val="621B1CB7"/>
    <w:rsid w:val="623124DF"/>
    <w:rsid w:val="62322FFD"/>
    <w:rsid w:val="62363F15"/>
    <w:rsid w:val="623763FB"/>
    <w:rsid w:val="623E130B"/>
    <w:rsid w:val="624057C2"/>
    <w:rsid w:val="624448F1"/>
    <w:rsid w:val="624D1FE6"/>
    <w:rsid w:val="62540537"/>
    <w:rsid w:val="625846F8"/>
    <w:rsid w:val="625B6452"/>
    <w:rsid w:val="62612C54"/>
    <w:rsid w:val="6261703F"/>
    <w:rsid w:val="626229BF"/>
    <w:rsid w:val="626A661A"/>
    <w:rsid w:val="626C391A"/>
    <w:rsid w:val="626E504A"/>
    <w:rsid w:val="6280132C"/>
    <w:rsid w:val="628217A4"/>
    <w:rsid w:val="62942A7A"/>
    <w:rsid w:val="62966324"/>
    <w:rsid w:val="62980AF7"/>
    <w:rsid w:val="629C26EE"/>
    <w:rsid w:val="629E1546"/>
    <w:rsid w:val="62A63ABD"/>
    <w:rsid w:val="62A87005"/>
    <w:rsid w:val="62A9027E"/>
    <w:rsid w:val="62AC01CA"/>
    <w:rsid w:val="62B965EC"/>
    <w:rsid w:val="62BF7A0C"/>
    <w:rsid w:val="62C71448"/>
    <w:rsid w:val="62CF6CF1"/>
    <w:rsid w:val="62EF53A1"/>
    <w:rsid w:val="62F52834"/>
    <w:rsid w:val="62FC3F5B"/>
    <w:rsid w:val="62FF66F4"/>
    <w:rsid w:val="63014BBE"/>
    <w:rsid w:val="631955A9"/>
    <w:rsid w:val="63197523"/>
    <w:rsid w:val="6320666B"/>
    <w:rsid w:val="632334FE"/>
    <w:rsid w:val="632A1991"/>
    <w:rsid w:val="63343023"/>
    <w:rsid w:val="633B33D7"/>
    <w:rsid w:val="633B3445"/>
    <w:rsid w:val="633D0FCB"/>
    <w:rsid w:val="6341070D"/>
    <w:rsid w:val="634971A6"/>
    <w:rsid w:val="6353007E"/>
    <w:rsid w:val="6355147B"/>
    <w:rsid w:val="635939A5"/>
    <w:rsid w:val="635F5461"/>
    <w:rsid w:val="63626486"/>
    <w:rsid w:val="636574BC"/>
    <w:rsid w:val="636C7B02"/>
    <w:rsid w:val="63710EF6"/>
    <w:rsid w:val="63711163"/>
    <w:rsid w:val="63732F26"/>
    <w:rsid w:val="637B1F3B"/>
    <w:rsid w:val="637C63F0"/>
    <w:rsid w:val="638A5D7C"/>
    <w:rsid w:val="639E526C"/>
    <w:rsid w:val="63A72B2C"/>
    <w:rsid w:val="63AA1BCD"/>
    <w:rsid w:val="63AB5EFA"/>
    <w:rsid w:val="63AF60C7"/>
    <w:rsid w:val="63B533BB"/>
    <w:rsid w:val="63B807AC"/>
    <w:rsid w:val="63C445D5"/>
    <w:rsid w:val="63C62B6A"/>
    <w:rsid w:val="63D34DEC"/>
    <w:rsid w:val="63D731CD"/>
    <w:rsid w:val="63DC75AA"/>
    <w:rsid w:val="63E33E07"/>
    <w:rsid w:val="63EE0517"/>
    <w:rsid w:val="63FA3360"/>
    <w:rsid w:val="63FE436D"/>
    <w:rsid w:val="640302A0"/>
    <w:rsid w:val="64084E16"/>
    <w:rsid w:val="641066DF"/>
    <w:rsid w:val="64113A93"/>
    <w:rsid w:val="641808F8"/>
    <w:rsid w:val="64230B9A"/>
    <w:rsid w:val="64262F6F"/>
    <w:rsid w:val="642B0C20"/>
    <w:rsid w:val="64467E58"/>
    <w:rsid w:val="6455743F"/>
    <w:rsid w:val="64655BE9"/>
    <w:rsid w:val="64687833"/>
    <w:rsid w:val="6469365A"/>
    <w:rsid w:val="64702E32"/>
    <w:rsid w:val="647271EA"/>
    <w:rsid w:val="64881D52"/>
    <w:rsid w:val="648F3AA8"/>
    <w:rsid w:val="648F57EA"/>
    <w:rsid w:val="64966762"/>
    <w:rsid w:val="649B391A"/>
    <w:rsid w:val="64A47801"/>
    <w:rsid w:val="64BA0129"/>
    <w:rsid w:val="64C96475"/>
    <w:rsid w:val="64D04D2C"/>
    <w:rsid w:val="64D92145"/>
    <w:rsid w:val="64DE3FDA"/>
    <w:rsid w:val="64E536C8"/>
    <w:rsid w:val="64E578C5"/>
    <w:rsid w:val="64E903F9"/>
    <w:rsid w:val="64E91189"/>
    <w:rsid w:val="64EA5081"/>
    <w:rsid w:val="64EA78F2"/>
    <w:rsid w:val="64EC0AF4"/>
    <w:rsid w:val="64F60FF3"/>
    <w:rsid w:val="651367E1"/>
    <w:rsid w:val="651C4BED"/>
    <w:rsid w:val="651F70EA"/>
    <w:rsid w:val="65273A48"/>
    <w:rsid w:val="652E0C65"/>
    <w:rsid w:val="652E1DEE"/>
    <w:rsid w:val="6535464F"/>
    <w:rsid w:val="654347E4"/>
    <w:rsid w:val="654943D9"/>
    <w:rsid w:val="654B7BAB"/>
    <w:rsid w:val="654C17E4"/>
    <w:rsid w:val="65562317"/>
    <w:rsid w:val="65624D19"/>
    <w:rsid w:val="65662E09"/>
    <w:rsid w:val="656A6EE3"/>
    <w:rsid w:val="656C4713"/>
    <w:rsid w:val="6579733C"/>
    <w:rsid w:val="65876E75"/>
    <w:rsid w:val="658834F6"/>
    <w:rsid w:val="65994B93"/>
    <w:rsid w:val="659A57A1"/>
    <w:rsid w:val="65A25D5B"/>
    <w:rsid w:val="65A443DE"/>
    <w:rsid w:val="65AD68A0"/>
    <w:rsid w:val="65AF18F9"/>
    <w:rsid w:val="65BC5096"/>
    <w:rsid w:val="65BD7F46"/>
    <w:rsid w:val="65C05BB1"/>
    <w:rsid w:val="65E373EE"/>
    <w:rsid w:val="65E8495F"/>
    <w:rsid w:val="65F75F98"/>
    <w:rsid w:val="65FB4A03"/>
    <w:rsid w:val="661221A0"/>
    <w:rsid w:val="66186375"/>
    <w:rsid w:val="661F54A1"/>
    <w:rsid w:val="6623094C"/>
    <w:rsid w:val="662F5ADF"/>
    <w:rsid w:val="66332FF3"/>
    <w:rsid w:val="66397A04"/>
    <w:rsid w:val="663C37BC"/>
    <w:rsid w:val="663D12E2"/>
    <w:rsid w:val="6649631C"/>
    <w:rsid w:val="664D3C1B"/>
    <w:rsid w:val="665E7FD9"/>
    <w:rsid w:val="6668292C"/>
    <w:rsid w:val="666F5074"/>
    <w:rsid w:val="667376E7"/>
    <w:rsid w:val="6674727F"/>
    <w:rsid w:val="66792DE0"/>
    <w:rsid w:val="667A484A"/>
    <w:rsid w:val="668C3DBD"/>
    <w:rsid w:val="668F5FE1"/>
    <w:rsid w:val="66976C44"/>
    <w:rsid w:val="669D027F"/>
    <w:rsid w:val="669D2639"/>
    <w:rsid w:val="669F3778"/>
    <w:rsid w:val="66A3383B"/>
    <w:rsid w:val="66A75742"/>
    <w:rsid w:val="66BA551E"/>
    <w:rsid w:val="66BE4981"/>
    <w:rsid w:val="66CA75EB"/>
    <w:rsid w:val="66CB0F2F"/>
    <w:rsid w:val="66E47953"/>
    <w:rsid w:val="66EB18A7"/>
    <w:rsid w:val="66EE6EAA"/>
    <w:rsid w:val="66F3610B"/>
    <w:rsid w:val="66F921DC"/>
    <w:rsid w:val="66FC1C5E"/>
    <w:rsid w:val="66FC5814"/>
    <w:rsid w:val="66FD2973"/>
    <w:rsid w:val="66FF28C1"/>
    <w:rsid w:val="6703228A"/>
    <w:rsid w:val="67047563"/>
    <w:rsid w:val="670E21AE"/>
    <w:rsid w:val="67120735"/>
    <w:rsid w:val="67142D84"/>
    <w:rsid w:val="67195724"/>
    <w:rsid w:val="671C3D82"/>
    <w:rsid w:val="67242BCD"/>
    <w:rsid w:val="672506F4"/>
    <w:rsid w:val="67264F6B"/>
    <w:rsid w:val="672A4828"/>
    <w:rsid w:val="672D176F"/>
    <w:rsid w:val="673E148E"/>
    <w:rsid w:val="673F17B5"/>
    <w:rsid w:val="67400CBE"/>
    <w:rsid w:val="674D780C"/>
    <w:rsid w:val="67671A15"/>
    <w:rsid w:val="67696AA4"/>
    <w:rsid w:val="678D3223"/>
    <w:rsid w:val="67990ED0"/>
    <w:rsid w:val="67BD5D0F"/>
    <w:rsid w:val="67BD6250"/>
    <w:rsid w:val="67C11C02"/>
    <w:rsid w:val="67C223E6"/>
    <w:rsid w:val="67C717AB"/>
    <w:rsid w:val="67D1757F"/>
    <w:rsid w:val="67D245D3"/>
    <w:rsid w:val="67D44C85"/>
    <w:rsid w:val="67DF1AC7"/>
    <w:rsid w:val="67E83654"/>
    <w:rsid w:val="67E97973"/>
    <w:rsid w:val="67F03945"/>
    <w:rsid w:val="67F33FA9"/>
    <w:rsid w:val="67F61051"/>
    <w:rsid w:val="67FA353E"/>
    <w:rsid w:val="68000F2B"/>
    <w:rsid w:val="680A403C"/>
    <w:rsid w:val="680E6EA3"/>
    <w:rsid w:val="681346A9"/>
    <w:rsid w:val="682825B1"/>
    <w:rsid w:val="682C2BF5"/>
    <w:rsid w:val="683230C8"/>
    <w:rsid w:val="68354966"/>
    <w:rsid w:val="683776C8"/>
    <w:rsid w:val="68400970"/>
    <w:rsid w:val="68440610"/>
    <w:rsid w:val="68487725"/>
    <w:rsid w:val="68490C62"/>
    <w:rsid w:val="685B00F8"/>
    <w:rsid w:val="685E5FF2"/>
    <w:rsid w:val="68634B29"/>
    <w:rsid w:val="68664DE4"/>
    <w:rsid w:val="686945F6"/>
    <w:rsid w:val="686A40F2"/>
    <w:rsid w:val="686E384F"/>
    <w:rsid w:val="68752FB5"/>
    <w:rsid w:val="687816A7"/>
    <w:rsid w:val="687A3E3E"/>
    <w:rsid w:val="687A5AE5"/>
    <w:rsid w:val="687D39D9"/>
    <w:rsid w:val="68863720"/>
    <w:rsid w:val="68880267"/>
    <w:rsid w:val="688C26E5"/>
    <w:rsid w:val="688C4213"/>
    <w:rsid w:val="688D6550"/>
    <w:rsid w:val="688E5FF9"/>
    <w:rsid w:val="68921082"/>
    <w:rsid w:val="689C0FA2"/>
    <w:rsid w:val="68A36C3D"/>
    <w:rsid w:val="68A777D9"/>
    <w:rsid w:val="68AA0EB0"/>
    <w:rsid w:val="68AB2E7A"/>
    <w:rsid w:val="68AF2E06"/>
    <w:rsid w:val="68B66749"/>
    <w:rsid w:val="68B93C35"/>
    <w:rsid w:val="68C42CD4"/>
    <w:rsid w:val="68C55AD9"/>
    <w:rsid w:val="68C81E81"/>
    <w:rsid w:val="68CE3E30"/>
    <w:rsid w:val="68D74734"/>
    <w:rsid w:val="68D91F8C"/>
    <w:rsid w:val="68DD3BF8"/>
    <w:rsid w:val="68DE648B"/>
    <w:rsid w:val="68E152DC"/>
    <w:rsid w:val="68E54859"/>
    <w:rsid w:val="68ED4677"/>
    <w:rsid w:val="69094F33"/>
    <w:rsid w:val="690F0C92"/>
    <w:rsid w:val="691E587F"/>
    <w:rsid w:val="69216C80"/>
    <w:rsid w:val="692B351F"/>
    <w:rsid w:val="694703C2"/>
    <w:rsid w:val="694B77B0"/>
    <w:rsid w:val="695452C0"/>
    <w:rsid w:val="69564919"/>
    <w:rsid w:val="695E68D7"/>
    <w:rsid w:val="69622260"/>
    <w:rsid w:val="69636526"/>
    <w:rsid w:val="69681D45"/>
    <w:rsid w:val="6971370B"/>
    <w:rsid w:val="697D3855"/>
    <w:rsid w:val="698F247F"/>
    <w:rsid w:val="69917DB5"/>
    <w:rsid w:val="69995BEE"/>
    <w:rsid w:val="699C4A42"/>
    <w:rsid w:val="69A120DF"/>
    <w:rsid w:val="69AE5DDB"/>
    <w:rsid w:val="69B67D29"/>
    <w:rsid w:val="69C60A98"/>
    <w:rsid w:val="69D673AE"/>
    <w:rsid w:val="69D76646"/>
    <w:rsid w:val="69DF4B8A"/>
    <w:rsid w:val="69E14D66"/>
    <w:rsid w:val="69E215FB"/>
    <w:rsid w:val="69E45CE7"/>
    <w:rsid w:val="69EA63EA"/>
    <w:rsid w:val="69EB7795"/>
    <w:rsid w:val="69F31799"/>
    <w:rsid w:val="6A01070E"/>
    <w:rsid w:val="6A0649A7"/>
    <w:rsid w:val="6A0C16F7"/>
    <w:rsid w:val="6A0C54B9"/>
    <w:rsid w:val="6A0E39A6"/>
    <w:rsid w:val="6A1A1838"/>
    <w:rsid w:val="6A272223"/>
    <w:rsid w:val="6A300CF7"/>
    <w:rsid w:val="6A325601"/>
    <w:rsid w:val="6A3A1B78"/>
    <w:rsid w:val="6A3B0267"/>
    <w:rsid w:val="6A3C1394"/>
    <w:rsid w:val="6A45161B"/>
    <w:rsid w:val="6A46664F"/>
    <w:rsid w:val="6A4A3798"/>
    <w:rsid w:val="6A4D6329"/>
    <w:rsid w:val="6A4E1385"/>
    <w:rsid w:val="6A4E7D51"/>
    <w:rsid w:val="6A5323CE"/>
    <w:rsid w:val="6A554E2A"/>
    <w:rsid w:val="6A6136E2"/>
    <w:rsid w:val="6A635DC6"/>
    <w:rsid w:val="6A675F8A"/>
    <w:rsid w:val="6A6A1877"/>
    <w:rsid w:val="6A6D03E7"/>
    <w:rsid w:val="6A725683"/>
    <w:rsid w:val="6A773C1C"/>
    <w:rsid w:val="6A7E0847"/>
    <w:rsid w:val="6A8173FD"/>
    <w:rsid w:val="6A8455E4"/>
    <w:rsid w:val="6A933BC6"/>
    <w:rsid w:val="6AA41B3A"/>
    <w:rsid w:val="6AB80021"/>
    <w:rsid w:val="6AC56475"/>
    <w:rsid w:val="6AC95EAA"/>
    <w:rsid w:val="6ACD783B"/>
    <w:rsid w:val="6ACF6709"/>
    <w:rsid w:val="6AD20971"/>
    <w:rsid w:val="6ADB0274"/>
    <w:rsid w:val="6ADE5DF8"/>
    <w:rsid w:val="6AE6019A"/>
    <w:rsid w:val="6AF4783F"/>
    <w:rsid w:val="6AF6333E"/>
    <w:rsid w:val="6B0147B7"/>
    <w:rsid w:val="6B016F5B"/>
    <w:rsid w:val="6B0427D6"/>
    <w:rsid w:val="6B055FFE"/>
    <w:rsid w:val="6B147755"/>
    <w:rsid w:val="6B151273"/>
    <w:rsid w:val="6B1679F5"/>
    <w:rsid w:val="6B193A43"/>
    <w:rsid w:val="6B282C97"/>
    <w:rsid w:val="6B326AB2"/>
    <w:rsid w:val="6B35716E"/>
    <w:rsid w:val="6B4243B5"/>
    <w:rsid w:val="6B427BDB"/>
    <w:rsid w:val="6B532AEF"/>
    <w:rsid w:val="6B5565DC"/>
    <w:rsid w:val="6B66311D"/>
    <w:rsid w:val="6B6D72C0"/>
    <w:rsid w:val="6B722628"/>
    <w:rsid w:val="6B7333F4"/>
    <w:rsid w:val="6B782815"/>
    <w:rsid w:val="6B7A3F4B"/>
    <w:rsid w:val="6B8579B3"/>
    <w:rsid w:val="6B8C1083"/>
    <w:rsid w:val="6B9419A4"/>
    <w:rsid w:val="6B965F59"/>
    <w:rsid w:val="6B9B71D6"/>
    <w:rsid w:val="6BA23713"/>
    <w:rsid w:val="6BA50055"/>
    <w:rsid w:val="6BA5095F"/>
    <w:rsid w:val="6BB321E3"/>
    <w:rsid w:val="6BB85C11"/>
    <w:rsid w:val="6BB8642A"/>
    <w:rsid w:val="6BBD40D6"/>
    <w:rsid w:val="6BC834EF"/>
    <w:rsid w:val="6BC93ED1"/>
    <w:rsid w:val="6BDA5F51"/>
    <w:rsid w:val="6BDA6A5C"/>
    <w:rsid w:val="6BE04593"/>
    <w:rsid w:val="6BE111EE"/>
    <w:rsid w:val="6BF62F9E"/>
    <w:rsid w:val="6BF81D68"/>
    <w:rsid w:val="6BFC1DAD"/>
    <w:rsid w:val="6C076238"/>
    <w:rsid w:val="6C1332F9"/>
    <w:rsid w:val="6C13619D"/>
    <w:rsid w:val="6C152AE5"/>
    <w:rsid w:val="6C164AAF"/>
    <w:rsid w:val="6C1A4718"/>
    <w:rsid w:val="6C1A65D8"/>
    <w:rsid w:val="6C1B4670"/>
    <w:rsid w:val="6C1C4FA1"/>
    <w:rsid w:val="6C1D4291"/>
    <w:rsid w:val="6C1F3963"/>
    <w:rsid w:val="6C2324A8"/>
    <w:rsid w:val="6C236E2A"/>
    <w:rsid w:val="6C317F0E"/>
    <w:rsid w:val="6C3C6C75"/>
    <w:rsid w:val="6C3D76EE"/>
    <w:rsid w:val="6C40063F"/>
    <w:rsid w:val="6C450BB1"/>
    <w:rsid w:val="6C562D10"/>
    <w:rsid w:val="6C632C7F"/>
    <w:rsid w:val="6C692E30"/>
    <w:rsid w:val="6C6F33AD"/>
    <w:rsid w:val="6C761134"/>
    <w:rsid w:val="6C773CF7"/>
    <w:rsid w:val="6C7A4B15"/>
    <w:rsid w:val="6C7A6DEC"/>
    <w:rsid w:val="6C7F2654"/>
    <w:rsid w:val="6C830396"/>
    <w:rsid w:val="6C8B46C6"/>
    <w:rsid w:val="6C942252"/>
    <w:rsid w:val="6C990E6B"/>
    <w:rsid w:val="6C9A12D9"/>
    <w:rsid w:val="6CAD63D6"/>
    <w:rsid w:val="6CB706CE"/>
    <w:rsid w:val="6CBB2E8F"/>
    <w:rsid w:val="6CBF1AA5"/>
    <w:rsid w:val="6CC539D8"/>
    <w:rsid w:val="6CCA2D81"/>
    <w:rsid w:val="6CCA63F8"/>
    <w:rsid w:val="6CCD7863"/>
    <w:rsid w:val="6CCF595D"/>
    <w:rsid w:val="6CD26871"/>
    <w:rsid w:val="6CD36777"/>
    <w:rsid w:val="6CD64417"/>
    <w:rsid w:val="6CD937FD"/>
    <w:rsid w:val="6CE34991"/>
    <w:rsid w:val="6CE65CBF"/>
    <w:rsid w:val="6CF46556"/>
    <w:rsid w:val="6D042A4D"/>
    <w:rsid w:val="6D06686A"/>
    <w:rsid w:val="6D0A4112"/>
    <w:rsid w:val="6D0C466E"/>
    <w:rsid w:val="6D1517E2"/>
    <w:rsid w:val="6D1871DE"/>
    <w:rsid w:val="6D21730E"/>
    <w:rsid w:val="6D2246F9"/>
    <w:rsid w:val="6D237452"/>
    <w:rsid w:val="6D301CB6"/>
    <w:rsid w:val="6D321474"/>
    <w:rsid w:val="6D3279D3"/>
    <w:rsid w:val="6D3A1A14"/>
    <w:rsid w:val="6D3B0387"/>
    <w:rsid w:val="6D403B8A"/>
    <w:rsid w:val="6D47108F"/>
    <w:rsid w:val="6D4A5B09"/>
    <w:rsid w:val="6D4B483F"/>
    <w:rsid w:val="6D547772"/>
    <w:rsid w:val="6D5774E3"/>
    <w:rsid w:val="6D5F185B"/>
    <w:rsid w:val="6D684007"/>
    <w:rsid w:val="6D736D82"/>
    <w:rsid w:val="6D745521"/>
    <w:rsid w:val="6D76316F"/>
    <w:rsid w:val="6D81674D"/>
    <w:rsid w:val="6D854AD8"/>
    <w:rsid w:val="6D8707CD"/>
    <w:rsid w:val="6D97577B"/>
    <w:rsid w:val="6D99148E"/>
    <w:rsid w:val="6DA265FA"/>
    <w:rsid w:val="6DA359E1"/>
    <w:rsid w:val="6DAB0D93"/>
    <w:rsid w:val="6DBC5C7D"/>
    <w:rsid w:val="6DBF74CD"/>
    <w:rsid w:val="6DC24EEE"/>
    <w:rsid w:val="6DC5792C"/>
    <w:rsid w:val="6DCC09F8"/>
    <w:rsid w:val="6DD71B95"/>
    <w:rsid w:val="6DEA3546"/>
    <w:rsid w:val="6DEB291B"/>
    <w:rsid w:val="6DED175D"/>
    <w:rsid w:val="6DF372DB"/>
    <w:rsid w:val="6DF40E20"/>
    <w:rsid w:val="6DFC34AB"/>
    <w:rsid w:val="6E011D6E"/>
    <w:rsid w:val="6E045BF9"/>
    <w:rsid w:val="6E07340F"/>
    <w:rsid w:val="6E0D37A3"/>
    <w:rsid w:val="6E11384E"/>
    <w:rsid w:val="6E1E6807"/>
    <w:rsid w:val="6E222411"/>
    <w:rsid w:val="6E297B4E"/>
    <w:rsid w:val="6E3119A4"/>
    <w:rsid w:val="6E3269C2"/>
    <w:rsid w:val="6E3306A9"/>
    <w:rsid w:val="6E3944DF"/>
    <w:rsid w:val="6E40190F"/>
    <w:rsid w:val="6E42390A"/>
    <w:rsid w:val="6E424713"/>
    <w:rsid w:val="6E427DDD"/>
    <w:rsid w:val="6E5546E5"/>
    <w:rsid w:val="6E5675EC"/>
    <w:rsid w:val="6E587F8E"/>
    <w:rsid w:val="6E5E5C4A"/>
    <w:rsid w:val="6E694D27"/>
    <w:rsid w:val="6E716558"/>
    <w:rsid w:val="6E753709"/>
    <w:rsid w:val="6E775C2D"/>
    <w:rsid w:val="6E7F2DDF"/>
    <w:rsid w:val="6E8352D2"/>
    <w:rsid w:val="6E9A4226"/>
    <w:rsid w:val="6EA75604"/>
    <w:rsid w:val="6EB45C1E"/>
    <w:rsid w:val="6EB7198E"/>
    <w:rsid w:val="6EBD120A"/>
    <w:rsid w:val="6EBF76B8"/>
    <w:rsid w:val="6EC467A8"/>
    <w:rsid w:val="6EC906FC"/>
    <w:rsid w:val="6ECA1BEA"/>
    <w:rsid w:val="6ECB5894"/>
    <w:rsid w:val="6ECD0D5E"/>
    <w:rsid w:val="6ED42929"/>
    <w:rsid w:val="6ED95797"/>
    <w:rsid w:val="6EE12D1D"/>
    <w:rsid w:val="6EE63285"/>
    <w:rsid w:val="6EE87DF1"/>
    <w:rsid w:val="6EF457B1"/>
    <w:rsid w:val="6F0E7CBF"/>
    <w:rsid w:val="6F0F5283"/>
    <w:rsid w:val="6F250331"/>
    <w:rsid w:val="6F322D7C"/>
    <w:rsid w:val="6F3E1B71"/>
    <w:rsid w:val="6F402740"/>
    <w:rsid w:val="6F414AA8"/>
    <w:rsid w:val="6F4C55E1"/>
    <w:rsid w:val="6F5036E6"/>
    <w:rsid w:val="6F5161F4"/>
    <w:rsid w:val="6F563B40"/>
    <w:rsid w:val="6F571666"/>
    <w:rsid w:val="6F5A35CE"/>
    <w:rsid w:val="6F5B7A85"/>
    <w:rsid w:val="6F5E399C"/>
    <w:rsid w:val="6F620F4E"/>
    <w:rsid w:val="6F650C04"/>
    <w:rsid w:val="6F66651E"/>
    <w:rsid w:val="6F673026"/>
    <w:rsid w:val="6F7A0FA9"/>
    <w:rsid w:val="6F7C7538"/>
    <w:rsid w:val="6F7D7049"/>
    <w:rsid w:val="6F8C2450"/>
    <w:rsid w:val="6F9B2F38"/>
    <w:rsid w:val="6F9C0D1A"/>
    <w:rsid w:val="6F9D0A81"/>
    <w:rsid w:val="6FA46FCE"/>
    <w:rsid w:val="6FA87D3A"/>
    <w:rsid w:val="6FAB2E0E"/>
    <w:rsid w:val="6FAB4AA0"/>
    <w:rsid w:val="6FB1691B"/>
    <w:rsid w:val="6FB25734"/>
    <w:rsid w:val="6FB43F96"/>
    <w:rsid w:val="6FBD0214"/>
    <w:rsid w:val="6FC101DA"/>
    <w:rsid w:val="6FC104BF"/>
    <w:rsid w:val="6FC1629E"/>
    <w:rsid w:val="6FCD65F8"/>
    <w:rsid w:val="6FD70D7C"/>
    <w:rsid w:val="6FE10477"/>
    <w:rsid w:val="6FE40643"/>
    <w:rsid w:val="70071121"/>
    <w:rsid w:val="700803C5"/>
    <w:rsid w:val="70080979"/>
    <w:rsid w:val="70136096"/>
    <w:rsid w:val="70242025"/>
    <w:rsid w:val="70264800"/>
    <w:rsid w:val="70294404"/>
    <w:rsid w:val="702A604D"/>
    <w:rsid w:val="702C6AE0"/>
    <w:rsid w:val="702E2329"/>
    <w:rsid w:val="703363C5"/>
    <w:rsid w:val="70342730"/>
    <w:rsid w:val="703C2DB9"/>
    <w:rsid w:val="703F45D4"/>
    <w:rsid w:val="70483100"/>
    <w:rsid w:val="70586103"/>
    <w:rsid w:val="705F36E0"/>
    <w:rsid w:val="7075738A"/>
    <w:rsid w:val="70814AA4"/>
    <w:rsid w:val="70840239"/>
    <w:rsid w:val="70875905"/>
    <w:rsid w:val="708823F9"/>
    <w:rsid w:val="708A14FE"/>
    <w:rsid w:val="708B5D9C"/>
    <w:rsid w:val="708C3591"/>
    <w:rsid w:val="70906E4E"/>
    <w:rsid w:val="70952446"/>
    <w:rsid w:val="70967F6C"/>
    <w:rsid w:val="709B0E5F"/>
    <w:rsid w:val="70A30EB0"/>
    <w:rsid w:val="70A57CCD"/>
    <w:rsid w:val="70A62F39"/>
    <w:rsid w:val="70B070D1"/>
    <w:rsid w:val="70B96584"/>
    <w:rsid w:val="70BA7C5B"/>
    <w:rsid w:val="70BC0F8B"/>
    <w:rsid w:val="70BC65E8"/>
    <w:rsid w:val="70C7425E"/>
    <w:rsid w:val="70C86098"/>
    <w:rsid w:val="70D0771D"/>
    <w:rsid w:val="70DD7DA1"/>
    <w:rsid w:val="70DF074B"/>
    <w:rsid w:val="70DF0E1E"/>
    <w:rsid w:val="70DF3358"/>
    <w:rsid w:val="70E17439"/>
    <w:rsid w:val="70F24EBA"/>
    <w:rsid w:val="70FF50A4"/>
    <w:rsid w:val="7106528D"/>
    <w:rsid w:val="710A6B6D"/>
    <w:rsid w:val="710F0B56"/>
    <w:rsid w:val="7114211D"/>
    <w:rsid w:val="712B064D"/>
    <w:rsid w:val="71306613"/>
    <w:rsid w:val="71306EAA"/>
    <w:rsid w:val="7132172F"/>
    <w:rsid w:val="713C366E"/>
    <w:rsid w:val="7141241B"/>
    <w:rsid w:val="71421D0C"/>
    <w:rsid w:val="71431EA2"/>
    <w:rsid w:val="71463059"/>
    <w:rsid w:val="71507D0C"/>
    <w:rsid w:val="71570008"/>
    <w:rsid w:val="715C0130"/>
    <w:rsid w:val="716A64A7"/>
    <w:rsid w:val="71733038"/>
    <w:rsid w:val="717670E7"/>
    <w:rsid w:val="717A7018"/>
    <w:rsid w:val="718545A4"/>
    <w:rsid w:val="71883383"/>
    <w:rsid w:val="71912179"/>
    <w:rsid w:val="71A14FC9"/>
    <w:rsid w:val="71B903B6"/>
    <w:rsid w:val="71BF47BE"/>
    <w:rsid w:val="71C80297"/>
    <w:rsid w:val="71CF0DAE"/>
    <w:rsid w:val="71D21648"/>
    <w:rsid w:val="71D23226"/>
    <w:rsid w:val="71D334A1"/>
    <w:rsid w:val="71D65929"/>
    <w:rsid w:val="71D764EB"/>
    <w:rsid w:val="71D92CBD"/>
    <w:rsid w:val="71DB1B20"/>
    <w:rsid w:val="71EB3FF3"/>
    <w:rsid w:val="71ED70E7"/>
    <w:rsid w:val="71F83231"/>
    <w:rsid w:val="71F85035"/>
    <w:rsid w:val="71FA5A47"/>
    <w:rsid w:val="71FB4FF6"/>
    <w:rsid w:val="71FE04BF"/>
    <w:rsid w:val="71FE7167"/>
    <w:rsid w:val="72046285"/>
    <w:rsid w:val="720C22E4"/>
    <w:rsid w:val="72111FA0"/>
    <w:rsid w:val="721F0505"/>
    <w:rsid w:val="72225DC3"/>
    <w:rsid w:val="72227D09"/>
    <w:rsid w:val="72281098"/>
    <w:rsid w:val="7228303D"/>
    <w:rsid w:val="722C544E"/>
    <w:rsid w:val="722F1EF1"/>
    <w:rsid w:val="72351545"/>
    <w:rsid w:val="72364096"/>
    <w:rsid w:val="723C415D"/>
    <w:rsid w:val="723D1EDB"/>
    <w:rsid w:val="724914FB"/>
    <w:rsid w:val="724A6BD9"/>
    <w:rsid w:val="72566C3F"/>
    <w:rsid w:val="725D51E5"/>
    <w:rsid w:val="725F29DB"/>
    <w:rsid w:val="7262397A"/>
    <w:rsid w:val="72631718"/>
    <w:rsid w:val="72647CDA"/>
    <w:rsid w:val="726D30D4"/>
    <w:rsid w:val="72767165"/>
    <w:rsid w:val="727A5D97"/>
    <w:rsid w:val="727F17EE"/>
    <w:rsid w:val="7280121E"/>
    <w:rsid w:val="72832922"/>
    <w:rsid w:val="728A7F3F"/>
    <w:rsid w:val="728B1D53"/>
    <w:rsid w:val="7290515C"/>
    <w:rsid w:val="72965F01"/>
    <w:rsid w:val="72966CB5"/>
    <w:rsid w:val="729F02CD"/>
    <w:rsid w:val="72A663F7"/>
    <w:rsid w:val="72A834E0"/>
    <w:rsid w:val="72A84AD0"/>
    <w:rsid w:val="72B27B5F"/>
    <w:rsid w:val="72BD6415"/>
    <w:rsid w:val="72CF7B42"/>
    <w:rsid w:val="72D77A8B"/>
    <w:rsid w:val="72DC1889"/>
    <w:rsid w:val="72EC0317"/>
    <w:rsid w:val="72EF7B4E"/>
    <w:rsid w:val="72F718B3"/>
    <w:rsid w:val="73005B71"/>
    <w:rsid w:val="7300671A"/>
    <w:rsid w:val="73102AA5"/>
    <w:rsid w:val="7312623C"/>
    <w:rsid w:val="7315571A"/>
    <w:rsid w:val="7316362B"/>
    <w:rsid w:val="731F3B19"/>
    <w:rsid w:val="731F693F"/>
    <w:rsid w:val="732D780C"/>
    <w:rsid w:val="733168E2"/>
    <w:rsid w:val="73317C2B"/>
    <w:rsid w:val="73320420"/>
    <w:rsid w:val="73357F10"/>
    <w:rsid w:val="73373C88"/>
    <w:rsid w:val="733C543A"/>
    <w:rsid w:val="733E513E"/>
    <w:rsid w:val="734202D9"/>
    <w:rsid w:val="734D44BC"/>
    <w:rsid w:val="734E4B2E"/>
    <w:rsid w:val="736130FF"/>
    <w:rsid w:val="736164D2"/>
    <w:rsid w:val="736425A4"/>
    <w:rsid w:val="73696AF2"/>
    <w:rsid w:val="736E6CB6"/>
    <w:rsid w:val="73747667"/>
    <w:rsid w:val="737B3D4B"/>
    <w:rsid w:val="737C169B"/>
    <w:rsid w:val="737D46DA"/>
    <w:rsid w:val="738461E1"/>
    <w:rsid w:val="7386076C"/>
    <w:rsid w:val="73865C9E"/>
    <w:rsid w:val="739112FD"/>
    <w:rsid w:val="73927CFE"/>
    <w:rsid w:val="739B60C3"/>
    <w:rsid w:val="739F605C"/>
    <w:rsid w:val="73A17B8F"/>
    <w:rsid w:val="73A80E81"/>
    <w:rsid w:val="73AE5D70"/>
    <w:rsid w:val="73B61051"/>
    <w:rsid w:val="73BA4A21"/>
    <w:rsid w:val="73BB765B"/>
    <w:rsid w:val="73BD5AAB"/>
    <w:rsid w:val="73C14D20"/>
    <w:rsid w:val="73C346FD"/>
    <w:rsid w:val="73C62027"/>
    <w:rsid w:val="73C92403"/>
    <w:rsid w:val="73C94D59"/>
    <w:rsid w:val="73DE7B6A"/>
    <w:rsid w:val="73E26C2E"/>
    <w:rsid w:val="73E57979"/>
    <w:rsid w:val="73E62FB9"/>
    <w:rsid w:val="73E97C88"/>
    <w:rsid w:val="73F84553"/>
    <w:rsid w:val="73F914D5"/>
    <w:rsid w:val="73F96CA8"/>
    <w:rsid w:val="74035919"/>
    <w:rsid w:val="740F47CC"/>
    <w:rsid w:val="74102D0D"/>
    <w:rsid w:val="74130AE8"/>
    <w:rsid w:val="74143FCA"/>
    <w:rsid w:val="741E0EF5"/>
    <w:rsid w:val="741F3EA0"/>
    <w:rsid w:val="7421442B"/>
    <w:rsid w:val="74233EB1"/>
    <w:rsid w:val="744F3FDA"/>
    <w:rsid w:val="745115E2"/>
    <w:rsid w:val="7452692A"/>
    <w:rsid w:val="745613B8"/>
    <w:rsid w:val="74561E06"/>
    <w:rsid w:val="745F08A2"/>
    <w:rsid w:val="746857FC"/>
    <w:rsid w:val="746B25E7"/>
    <w:rsid w:val="746F1200"/>
    <w:rsid w:val="74710B3D"/>
    <w:rsid w:val="747A415B"/>
    <w:rsid w:val="74826EC4"/>
    <w:rsid w:val="749312CB"/>
    <w:rsid w:val="74980278"/>
    <w:rsid w:val="749B7972"/>
    <w:rsid w:val="74AB2B6C"/>
    <w:rsid w:val="74AC71FD"/>
    <w:rsid w:val="74B531FF"/>
    <w:rsid w:val="74B544AD"/>
    <w:rsid w:val="74C476C3"/>
    <w:rsid w:val="74C85C43"/>
    <w:rsid w:val="74CA07A3"/>
    <w:rsid w:val="74CF4FF8"/>
    <w:rsid w:val="74D32DE2"/>
    <w:rsid w:val="74DE09BA"/>
    <w:rsid w:val="74E160F8"/>
    <w:rsid w:val="74E22279"/>
    <w:rsid w:val="74E32359"/>
    <w:rsid w:val="74F366C8"/>
    <w:rsid w:val="74F44250"/>
    <w:rsid w:val="74FD086C"/>
    <w:rsid w:val="751F139E"/>
    <w:rsid w:val="75295488"/>
    <w:rsid w:val="752B76A6"/>
    <w:rsid w:val="75310F65"/>
    <w:rsid w:val="7531671C"/>
    <w:rsid w:val="75381E88"/>
    <w:rsid w:val="75394176"/>
    <w:rsid w:val="753D5631"/>
    <w:rsid w:val="753F31A3"/>
    <w:rsid w:val="754F0EAC"/>
    <w:rsid w:val="755154F3"/>
    <w:rsid w:val="755E0631"/>
    <w:rsid w:val="75610F24"/>
    <w:rsid w:val="75721DAB"/>
    <w:rsid w:val="75734D20"/>
    <w:rsid w:val="75780C0C"/>
    <w:rsid w:val="7579112D"/>
    <w:rsid w:val="758206B0"/>
    <w:rsid w:val="7589795A"/>
    <w:rsid w:val="759058D2"/>
    <w:rsid w:val="759E3629"/>
    <w:rsid w:val="75A5092B"/>
    <w:rsid w:val="75A66B53"/>
    <w:rsid w:val="75AD07B1"/>
    <w:rsid w:val="75B25536"/>
    <w:rsid w:val="75C40C2F"/>
    <w:rsid w:val="75C537CD"/>
    <w:rsid w:val="75CC345A"/>
    <w:rsid w:val="75D15520"/>
    <w:rsid w:val="75E35477"/>
    <w:rsid w:val="75E8282F"/>
    <w:rsid w:val="75ED34CB"/>
    <w:rsid w:val="75EF6753"/>
    <w:rsid w:val="75F7052B"/>
    <w:rsid w:val="75FF6CCA"/>
    <w:rsid w:val="75FF7F28"/>
    <w:rsid w:val="76125028"/>
    <w:rsid w:val="76186630"/>
    <w:rsid w:val="762F4E25"/>
    <w:rsid w:val="7636027E"/>
    <w:rsid w:val="763E7E9A"/>
    <w:rsid w:val="7641152C"/>
    <w:rsid w:val="76432DB0"/>
    <w:rsid w:val="764C400F"/>
    <w:rsid w:val="76530999"/>
    <w:rsid w:val="76587F4E"/>
    <w:rsid w:val="765B52D5"/>
    <w:rsid w:val="76632274"/>
    <w:rsid w:val="76696223"/>
    <w:rsid w:val="766B5A98"/>
    <w:rsid w:val="76732BC1"/>
    <w:rsid w:val="76816FC9"/>
    <w:rsid w:val="76835D84"/>
    <w:rsid w:val="768841BB"/>
    <w:rsid w:val="76894770"/>
    <w:rsid w:val="768B1F27"/>
    <w:rsid w:val="768E0063"/>
    <w:rsid w:val="768F4ED3"/>
    <w:rsid w:val="768F7938"/>
    <w:rsid w:val="76916DFE"/>
    <w:rsid w:val="7693580B"/>
    <w:rsid w:val="769913C3"/>
    <w:rsid w:val="769D02A6"/>
    <w:rsid w:val="76A50958"/>
    <w:rsid w:val="76AF7283"/>
    <w:rsid w:val="76B15B00"/>
    <w:rsid w:val="76B20D46"/>
    <w:rsid w:val="76B513FE"/>
    <w:rsid w:val="76C04D48"/>
    <w:rsid w:val="76C56457"/>
    <w:rsid w:val="76CA0970"/>
    <w:rsid w:val="76D22FA5"/>
    <w:rsid w:val="76D24E10"/>
    <w:rsid w:val="76D529BD"/>
    <w:rsid w:val="76DD0C6D"/>
    <w:rsid w:val="76E579BD"/>
    <w:rsid w:val="76E6440B"/>
    <w:rsid w:val="76E844A3"/>
    <w:rsid w:val="76EA7DA2"/>
    <w:rsid w:val="76EB7976"/>
    <w:rsid w:val="76F701CD"/>
    <w:rsid w:val="76FD6E96"/>
    <w:rsid w:val="76FE7C7B"/>
    <w:rsid w:val="76FFEE87"/>
    <w:rsid w:val="77026A79"/>
    <w:rsid w:val="770A7B28"/>
    <w:rsid w:val="771147F0"/>
    <w:rsid w:val="771362F6"/>
    <w:rsid w:val="771D759E"/>
    <w:rsid w:val="771F2A69"/>
    <w:rsid w:val="77217E9C"/>
    <w:rsid w:val="77223AD0"/>
    <w:rsid w:val="772873E7"/>
    <w:rsid w:val="77296D15"/>
    <w:rsid w:val="772C74A1"/>
    <w:rsid w:val="772F395C"/>
    <w:rsid w:val="773615C6"/>
    <w:rsid w:val="773949F6"/>
    <w:rsid w:val="773C0E52"/>
    <w:rsid w:val="773C7ABF"/>
    <w:rsid w:val="77447D75"/>
    <w:rsid w:val="774514E3"/>
    <w:rsid w:val="774534E1"/>
    <w:rsid w:val="77470212"/>
    <w:rsid w:val="77475E50"/>
    <w:rsid w:val="774B2DBD"/>
    <w:rsid w:val="774B7D02"/>
    <w:rsid w:val="77533351"/>
    <w:rsid w:val="775462E0"/>
    <w:rsid w:val="77622BCE"/>
    <w:rsid w:val="77647868"/>
    <w:rsid w:val="7771703D"/>
    <w:rsid w:val="777803CC"/>
    <w:rsid w:val="77970067"/>
    <w:rsid w:val="779977F7"/>
    <w:rsid w:val="779D654F"/>
    <w:rsid w:val="77A256CE"/>
    <w:rsid w:val="77A94B5B"/>
    <w:rsid w:val="77AC0E3B"/>
    <w:rsid w:val="77B129C3"/>
    <w:rsid w:val="77B20EF6"/>
    <w:rsid w:val="77B51620"/>
    <w:rsid w:val="77B71889"/>
    <w:rsid w:val="77C07837"/>
    <w:rsid w:val="77C27795"/>
    <w:rsid w:val="77C320F4"/>
    <w:rsid w:val="77C51DEC"/>
    <w:rsid w:val="77C62AF7"/>
    <w:rsid w:val="77C67389"/>
    <w:rsid w:val="77C77779"/>
    <w:rsid w:val="77CB51E6"/>
    <w:rsid w:val="77CF790D"/>
    <w:rsid w:val="77D166D9"/>
    <w:rsid w:val="77D368D9"/>
    <w:rsid w:val="77D43E81"/>
    <w:rsid w:val="77E6457B"/>
    <w:rsid w:val="77E85EB0"/>
    <w:rsid w:val="77EA324B"/>
    <w:rsid w:val="77EE38E2"/>
    <w:rsid w:val="77EF532A"/>
    <w:rsid w:val="77F0657A"/>
    <w:rsid w:val="77FC6FEF"/>
    <w:rsid w:val="77FD15A1"/>
    <w:rsid w:val="780103C1"/>
    <w:rsid w:val="7801232B"/>
    <w:rsid w:val="78021E42"/>
    <w:rsid w:val="7804183B"/>
    <w:rsid w:val="78082C16"/>
    <w:rsid w:val="78162921"/>
    <w:rsid w:val="78265034"/>
    <w:rsid w:val="78270D8E"/>
    <w:rsid w:val="782A1557"/>
    <w:rsid w:val="782C75D5"/>
    <w:rsid w:val="782E7411"/>
    <w:rsid w:val="783C3AEF"/>
    <w:rsid w:val="783D3954"/>
    <w:rsid w:val="783F6371"/>
    <w:rsid w:val="784A7FBA"/>
    <w:rsid w:val="784C764C"/>
    <w:rsid w:val="78581223"/>
    <w:rsid w:val="785859F2"/>
    <w:rsid w:val="785D2AC9"/>
    <w:rsid w:val="78654DF4"/>
    <w:rsid w:val="78706C88"/>
    <w:rsid w:val="78791846"/>
    <w:rsid w:val="788309E6"/>
    <w:rsid w:val="78941235"/>
    <w:rsid w:val="78A614FB"/>
    <w:rsid w:val="78A76415"/>
    <w:rsid w:val="78A8566A"/>
    <w:rsid w:val="78A9607B"/>
    <w:rsid w:val="78A975EB"/>
    <w:rsid w:val="78AB0354"/>
    <w:rsid w:val="78AB27D3"/>
    <w:rsid w:val="78C02361"/>
    <w:rsid w:val="78C26EAE"/>
    <w:rsid w:val="78C31B1A"/>
    <w:rsid w:val="78D237C8"/>
    <w:rsid w:val="78D44134"/>
    <w:rsid w:val="78D83273"/>
    <w:rsid w:val="78D856F6"/>
    <w:rsid w:val="78E11721"/>
    <w:rsid w:val="78E646DF"/>
    <w:rsid w:val="78EE72D3"/>
    <w:rsid w:val="78EF0B61"/>
    <w:rsid w:val="78F4689B"/>
    <w:rsid w:val="79040324"/>
    <w:rsid w:val="79071CA4"/>
    <w:rsid w:val="790E790C"/>
    <w:rsid w:val="79177A7A"/>
    <w:rsid w:val="791A030E"/>
    <w:rsid w:val="791A095D"/>
    <w:rsid w:val="79300EAA"/>
    <w:rsid w:val="79426EE3"/>
    <w:rsid w:val="79493FA7"/>
    <w:rsid w:val="794F2FAD"/>
    <w:rsid w:val="795A79A5"/>
    <w:rsid w:val="795C61F7"/>
    <w:rsid w:val="79647D57"/>
    <w:rsid w:val="796A0FC8"/>
    <w:rsid w:val="79751067"/>
    <w:rsid w:val="79761382"/>
    <w:rsid w:val="79773DF5"/>
    <w:rsid w:val="79782905"/>
    <w:rsid w:val="797846B3"/>
    <w:rsid w:val="797A07C3"/>
    <w:rsid w:val="797B5AEA"/>
    <w:rsid w:val="79814EF5"/>
    <w:rsid w:val="7984703D"/>
    <w:rsid w:val="798C5B48"/>
    <w:rsid w:val="798F0515"/>
    <w:rsid w:val="798F5638"/>
    <w:rsid w:val="79935991"/>
    <w:rsid w:val="799F7FB4"/>
    <w:rsid w:val="79AC2093"/>
    <w:rsid w:val="79AE7C22"/>
    <w:rsid w:val="79B02CBE"/>
    <w:rsid w:val="79CB45AA"/>
    <w:rsid w:val="79D67E1E"/>
    <w:rsid w:val="79D72945"/>
    <w:rsid w:val="79DE089A"/>
    <w:rsid w:val="79E16817"/>
    <w:rsid w:val="79EA4150"/>
    <w:rsid w:val="79F073DB"/>
    <w:rsid w:val="79F160BD"/>
    <w:rsid w:val="79F2497C"/>
    <w:rsid w:val="79F2654F"/>
    <w:rsid w:val="79FA0D3E"/>
    <w:rsid w:val="79FC6230"/>
    <w:rsid w:val="79FD0131"/>
    <w:rsid w:val="7A021C61"/>
    <w:rsid w:val="7A065B5D"/>
    <w:rsid w:val="7A122D24"/>
    <w:rsid w:val="7A12339F"/>
    <w:rsid w:val="7A187910"/>
    <w:rsid w:val="7A2833F1"/>
    <w:rsid w:val="7A2877E3"/>
    <w:rsid w:val="7A2F5220"/>
    <w:rsid w:val="7A353F9D"/>
    <w:rsid w:val="7A396538"/>
    <w:rsid w:val="7A463178"/>
    <w:rsid w:val="7A4828CC"/>
    <w:rsid w:val="7A556625"/>
    <w:rsid w:val="7A620930"/>
    <w:rsid w:val="7A62564A"/>
    <w:rsid w:val="7A630AE9"/>
    <w:rsid w:val="7A637111"/>
    <w:rsid w:val="7A6419F8"/>
    <w:rsid w:val="7A660E61"/>
    <w:rsid w:val="7A68237B"/>
    <w:rsid w:val="7A6B4218"/>
    <w:rsid w:val="7A6D7F90"/>
    <w:rsid w:val="7A6E3AD8"/>
    <w:rsid w:val="7A6F650B"/>
    <w:rsid w:val="7A784ABC"/>
    <w:rsid w:val="7A8F5E03"/>
    <w:rsid w:val="7A943A1E"/>
    <w:rsid w:val="7A961DC0"/>
    <w:rsid w:val="7AA21FFC"/>
    <w:rsid w:val="7AA240DD"/>
    <w:rsid w:val="7AAD1463"/>
    <w:rsid w:val="7AB102CB"/>
    <w:rsid w:val="7AB12572"/>
    <w:rsid w:val="7AB904B0"/>
    <w:rsid w:val="7AC02331"/>
    <w:rsid w:val="7ACA3BD8"/>
    <w:rsid w:val="7ACF6109"/>
    <w:rsid w:val="7AD46261"/>
    <w:rsid w:val="7ADF5078"/>
    <w:rsid w:val="7ADF7E7A"/>
    <w:rsid w:val="7AE10A30"/>
    <w:rsid w:val="7AE3648F"/>
    <w:rsid w:val="7AE8296D"/>
    <w:rsid w:val="7AEA674D"/>
    <w:rsid w:val="7AEA7832"/>
    <w:rsid w:val="7AF63020"/>
    <w:rsid w:val="7B085777"/>
    <w:rsid w:val="7B0E59CE"/>
    <w:rsid w:val="7B1216BF"/>
    <w:rsid w:val="7B1878F1"/>
    <w:rsid w:val="7B311E43"/>
    <w:rsid w:val="7B3208CC"/>
    <w:rsid w:val="7B345952"/>
    <w:rsid w:val="7B376EF5"/>
    <w:rsid w:val="7B3D4FB0"/>
    <w:rsid w:val="7B484A48"/>
    <w:rsid w:val="7B4F1ED2"/>
    <w:rsid w:val="7B513A73"/>
    <w:rsid w:val="7B5853D4"/>
    <w:rsid w:val="7B5A4BD8"/>
    <w:rsid w:val="7B625F60"/>
    <w:rsid w:val="7B767595"/>
    <w:rsid w:val="7B78070C"/>
    <w:rsid w:val="7B84392C"/>
    <w:rsid w:val="7B9750EE"/>
    <w:rsid w:val="7BA15F11"/>
    <w:rsid w:val="7BA54715"/>
    <w:rsid w:val="7BAB1BEA"/>
    <w:rsid w:val="7BAC1E76"/>
    <w:rsid w:val="7BB04A97"/>
    <w:rsid w:val="7BB20851"/>
    <w:rsid w:val="7BB44114"/>
    <w:rsid w:val="7BC1389C"/>
    <w:rsid w:val="7BC24719"/>
    <w:rsid w:val="7BCB7956"/>
    <w:rsid w:val="7BD14C58"/>
    <w:rsid w:val="7BD30039"/>
    <w:rsid w:val="7BE54BD8"/>
    <w:rsid w:val="7BE628E3"/>
    <w:rsid w:val="7BED4BE1"/>
    <w:rsid w:val="7BF2699E"/>
    <w:rsid w:val="7BF53C17"/>
    <w:rsid w:val="7BF84483"/>
    <w:rsid w:val="7BFF5B7F"/>
    <w:rsid w:val="7C0053E3"/>
    <w:rsid w:val="7C0439F2"/>
    <w:rsid w:val="7C0C0795"/>
    <w:rsid w:val="7C0F55B6"/>
    <w:rsid w:val="7C186805"/>
    <w:rsid w:val="7C1B5D9D"/>
    <w:rsid w:val="7C211BE0"/>
    <w:rsid w:val="7C280623"/>
    <w:rsid w:val="7C351721"/>
    <w:rsid w:val="7C373587"/>
    <w:rsid w:val="7C3A5147"/>
    <w:rsid w:val="7C3B28BF"/>
    <w:rsid w:val="7C3E3DB0"/>
    <w:rsid w:val="7C3F2E75"/>
    <w:rsid w:val="7C467A8F"/>
    <w:rsid w:val="7C4A11FB"/>
    <w:rsid w:val="7C4F3C37"/>
    <w:rsid w:val="7C5377A9"/>
    <w:rsid w:val="7C543E05"/>
    <w:rsid w:val="7C557E7D"/>
    <w:rsid w:val="7C5A73AC"/>
    <w:rsid w:val="7C5D6337"/>
    <w:rsid w:val="7C5F63CD"/>
    <w:rsid w:val="7C63755E"/>
    <w:rsid w:val="7C6779B1"/>
    <w:rsid w:val="7C6C1966"/>
    <w:rsid w:val="7C710E8B"/>
    <w:rsid w:val="7C7216FB"/>
    <w:rsid w:val="7C751A11"/>
    <w:rsid w:val="7C760722"/>
    <w:rsid w:val="7C7B0E8C"/>
    <w:rsid w:val="7C7E3149"/>
    <w:rsid w:val="7C8415C1"/>
    <w:rsid w:val="7C9149ED"/>
    <w:rsid w:val="7C9929E1"/>
    <w:rsid w:val="7CAE5699"/>
    <w:rsid w:val="7CB0170B"/>
    <w:rsid w:val="7CB54D42"/>
    <w:rsid w:val="7CC030BE"/>
    <w:rsid w:val="7CC55E61"/>
    <w:rsid w:val="7CCE5C7F"/>
    <w:rsid w:val="7CD005D6"/>
    <w:rsid w:val="7CE07078"/>
    <w:rsid w:val="7CEA6195"/>
    <w:rsid w:val="7CF37183"/>
    <w:rsid w:val="7CF50B92"/>
    <w:rsid w:val="7CF66946"/>
    <w:rsid w:val="7CFA3C7D"/>
    <w:rsid w:val="7D0448BC"/>
    <w:rsid w:val="7D0A293A"/>
    <w:rsid w:val="7D0B42BC"/>
    <w:rsid w:val="7D0E33CB"/>
    <w:rsid w:val="7D1474E7"/>
    <w:rsid w:val="7D1B3A4C"/>
    <w:rsid w:val="7D1D1980"/>
    <w:rsid w:val="7D2C440A"/>
    <w:rsid w:val="7D347300"/>
    <w:rsid w:val="7D3748EC"/>
    <w:rsid w:val="7D413C95"/>
    <w:rsid w:val="7D457240"/>
    <w:rsid w:val="7D4940F6"/>
    <w:rsid w:val="7D4A280A"/>
    <w:rsid w:val="7D4C782A"/>
    <w:rsid w:val="7D575660"/>
    <w:rsid w:val="7D5B5861"/>
    <w:rsid w:val="7D6B0C26"/>
    <w:rsid w:val="7D761851"/>
    <w:rsid w:val="7D781EDF"/>
    <w:rsid w:val="7D7D1019"/>
    <w:rsid w:val="7D7F66EE"/>
    <w:rsid w:val="7D850A26"/>
    <w:rsid w:val="7D8E7CAD"/>
    <w:rsid w:val="7DA31100"/>
    <w:rsid w:val="7DA55C93"/>
    <w:rsid w:val="7DAC35AE"/>
    <w:rsid w:val="7DAC7021"/>
    <w:rsid w:val="7DB724E7"/>
    <w:rsid w:val="7DC10FD6"/>
    <w:rsid w:val="7DCC6151"/>
    <w:rsid w:val="7DD461BC"/>
    <w:rsid w:val="7DDB3462"/>
    <w:rsid w:val="7DDD71DA"/>
    <w:rsid w:val="7DEC3F29"/>
    <w:rsid w:val="7DED48E5"/>
    <w:rsid w:val="7DEF7DAB"/>
    <w:rsid w:val="7DF3469A"/>
    <w:rsid w:val="7DFA6F07"/>
    <w:rsid w:val="7E07623A"/>
    <w:rsid w:val="7E174840"/>
    <w:rsid w:val="7E21706A"/>
    <w:rsid w:val="7E2A181E"/>
    <w:rsid w:val="7E300DDF"/>
    <w:rsid w:val="7E3F3064"/>
    <w:rsid w:val="7E3F60E7"/>
    <w:rsid w:val="7E4471C1"/>
    <w:rsid w:val="7E4E2B1D"/>
    <w:rsid w:val="7E54620A"/>
    <w:rsid w:val="7E68083E"/>
    <w:rsid w:val="7E7319FA"/>
    <w:rsid w:val="7E7C7B14"/>
    <w:rsid w:val="7E96111D"/>
    <w:rsid w:val="7E980502"/>
    <w:rsid w:val="7E9A7E16"/>
    <w:rsid w:val="7E9C7095"/>
    <w:rsid w:val="7EA65E4D"/>
    <w:rsid w:val="7EAB4557"/>
    <w:rsid w:val="7EAC1C86"/>
    <w:rsid w:val="7EB85356"/>
    <w:rsid w:val="7EB87754"/>
    <w:rsid w:val="7EBF5EC4"/>
    <w:rsid w:val="7EC92117"/>
    <w:rsid w:val="7ECD7E04"/>
    <w:rsid w:val="7ECE4D89"/>
    <w:rsid w:val="7ED31F13"/>
    <w:rsid w:val="7ED405DD"/>
    <w:rsid w:val="7EDC2E2F"/>
    <w:rsid w:val="7EDC566A"/>
    <w:rsid w:val="7EE86560"/>
    <w:rsid w:val="7EF20C58"/>
    <w:rsid w:val="7EFE565A"/>
    <w:rsid w:val="7F0B1758"/>
    <w:rsid w:val="7F0C3488"/>
    <w:rsid w:val="7F17496E"/>
    <w:rsid w:val="7F1F0BCA"/>
    <w:rsid w:val="7F2B289E"/>
    <w:rsid w:val="7F2C0C33"/>
    <w:rsid w:val="7F2E23E3"/>
    <w:rsid w:val="7F352830"/>
    <w:rsid w:val="7F45238A"/>
    <w:rsid w:val="7F45562D"/>
    <w:rsid w:val="7F517E80"/>
    <w:rsid w:val="7F556756"/>
    <w:rsid w:val="7F5A1507"/>
    <w:rsid w:val="7F781125"/>
    <w:rsid w:val="7F7B3FDD"/>
    <w:rsid w:val="7F81059C"/>
    <w:rsid w:val="7F82481A"/>
    <w:rsid w:val="7F8B5C48"/>
    <w:rsid w:val="7F8D4B49"/>
    <w:rsid w:val="7F912972"/>
    <w:rsid w:val="7F9465FF"/>
    <w:rsid w:val="7F9971EC"/>
    <w:rsid w:val="7F9C0A8B"/>
    <w:rsid w:val="7F9C627D"/>
    <w:rsid w:val="7FA36202"/>
    <w:rsid w:val="7FA83747"/>
    <w:rsid w:val="7FA86318"/>
    <w:rsid w:val="7FB846CC"/>
    <w:rsid w:val="7FBE4DEA"/>
    <w:rsid w:val="7FCC5E03"/>
    <w:rsid w:val="7FCF401E"/>
    <w:rsid w:val="7FDA7E75"/>
    <w:rsid w:val="7FDD7395"/>
    <w:rsid w:val="7FEE2F39"/>
    <w:rsid w:val="7FF646FE"/>
    <w:rsid w:val="7FF66632"/>
    <w:rsid w:val="7FF70E6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iPriority="39" w:name="toc 2"/>
    <w:lsdException w:qFormat="1" w:unhideWhenUsed="0" w:uiPriority="99" w:semiHidden="0" w:name="toc 3"/>
    <w:lsdException w:qFormat="1"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semiHidden="0"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qFormat="1" w:uiPriority="99" w:semiHidden="0" w:name="Note Heading"/>
    <w:lsdException w:qFormat="1" w:uiPriority="99" w:semiHidden="0" w:name="Body Text 2"/>
    <w:lsdException w:qFormat="1" w:uiPriority="99" w:semiHidden="0" w:name="Body Text 3"/>
    <w:lsdException w:qFormat="1" w:uiPriority="99" w:semiHidden="0" w:name="Body Text Indent 2"/>
    <w:lsdException w:qFormat="1" w:uiPriority="99" w:semiHidden="0" w:name="Body Text Indent 3"/>
    <w:lsdException w:qFormat="1" w:unhideWhenUsed="0" w:uiPriority="99"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autoRedefine/>
    <w:qFormat/>
    <w:uiPriority w:val="0"/>
    <w:pPr>
      <w:keepNext/>
      <w:keepLines/>
      <w:spacing w:line="576" w:lineRule="auto"/>
      <w:outlineLvl w:val="0"/>
    </w:pPr>
    <w:rPr>
      <w:rFonts w:ascii="Calibri" w:hAnsi="Calibri" w:eastAsia="宋体" w:cs="Times New Roman"/>
      <w:b/>
      <w:bCs/>
      <w:kern w:val="44"/>
      <w:sz w:val="28"/>
      <w:szCs w:val="44"/>
    </w:rPr>
  </w:style>
  <w:style w:type="paragraph" w:styleId="3">
    <w:name w:val="heading 2"/>
    <w:basedOn w:val="1"/>
    <w:next w:val="1"/>
    <w:link w:val="45"/>
    <w:autoRedefine/>
    <w:qFormat/>
    <w:uiPriority w:val="0"/>
    <w:pPr>
      <w:keepNext/>
      <w:keepLines/>
      <w:spacing w:before="260" w:after="260" w:line="415" w:lineRule="auto"/>
      <w:outlineLvl w:val="1"/>
    </w:pPr>
    <w:rPr>
      <w:rFonts w:ascii="Cambria" w:hAnsi="Cambria" w:eastAsia="宋体" w:cs="Times New Roman"/>
      <w:b/>
      <w:bCs/>
      <w:sz w:val="32"/>
      <w:szCs w:val="32"/>
    </w:rPr>
  </w:style>
  <w:style w:type="paragraph" w:styleId="4">
    <w:name w:val="heading 3"/>
    <w:basedOn w:val="1"/>
    <w:next w:val="1"/>
    <w:link w:val="46"/>
    <w:autoRedefine/>
    <w:qFormat/>
    <w:uiPriority w:val="9"/>
    <w:pPr>
      <w:keepNext/>
      <w:keepLines/>
      <w:spacing w:before="260" w:after="260" w:line="415" w:lineRule="auto"/>
      <w:outlineLvl w:val="2"/>
    </w:pPr>
    <w:rPr>
      <w:b/>
      <w:bCs/>
      <w:kern w:val="0"/>
      <w:sz w:val="32"/>
      <w:szCs w:val="32"/>
    </w:rPr>
  </w:style>
  <w:style w:type="paragraph" w:styleId="5">
    <w:name w:val="heading 4"/>
    <w:basedOn w:val="1"/>
    <w:next w:val="1"/>
    <w:link w:val="47"/>
    <w:autoRedefine/>
    <w:qFormat/>
    <w:uiPriority w:val="0"/>
    <w:pPr>
      <w:keepNext/>
      <w:keepLines/>
      <w:spacing w:before="280" w:after="290" w:line="374" w:lineRule="auto"/>
      <w:outlineLvl w:val="3"/>
    </w:pPr>
    <w:rPr>
      <w:rFonts w:ascii="Cambria" w:hAnsi="Cambria" w:eastAsia="宋体" w:cs="Times New Roman"/>
      <w:b/>
      <w:bCs/>
      <w:sz w:val="28"/>
      <w:szCs w:val="28"/>
    </w:rPr>
  </w:style>
  <w:style w:type="paragraph" w:styleId="6">
    <w:name w:val="heading 5"/>
    <w:basedOn w:val="1"/>
    <w:next w:val="1"/>
    <w:link w:val="48"/>
    <w:autoRedefine/>
    <w:qFormat/>
    <w:uiPriority w:val="9"/>
    <w:pPr>
      <w:keepNext/>
      <w:keepLines/>
      <w:spacing w:before="280" w:after="290" w:line="374" w:lineRule="auto"/>
      <w:outlineLvl w:val="4"/>
    </w:pPr>
    <w:rPr>
      <w:rFonts w:ascii="Calibri" w:hAnsi="Calibri" w:eastAsia="仿宋_GB2312" w:cs="Times New Roman"/>
      <w:b/>
      <w:bCs/>
      <w:color w:val="000000"/>
      <w:sz w:val="28"/>
      <w:szCs w:val="28"/>
    </w:rPr>
  </w:style>
  <w:style w:type="character" w:default="1" w:styleId="39">
    <w:name w:val="Default Paragraph Font"/>
    <w:autoRedefine/>
    <w:unhideWhenUsed/>
    <w:qFormat/>
    <w:uiPriority w:val="1"/>
  </w:style>
  <w:style w:type="table" w:default="1" w:styleId="37">
    <w:name w:val="Normal Table"/>
    <w:autoRedefine/>
    <w:unhideWhenUsed/>
    <w:qFormat/>
    <w:uiPriority w:val="99"/>
    <w:tblPr>
      <w:tblCellMar>
        <w:top w:w="0" w:type="dxa"/>
        <w:left w:w="108" w:type="dxa"/>
        <w:bottom w:w="0" w:type="dxa"/>
        <w:right w:w="108" w:type="dxa"/>
      </w:tblCellMar>
    </w:tblPr>
  </w:style>
  <w:style w:type="paragraph" w:styleId="7">
    <w:name w:val="Note Heading"/>
    <w:basedOn w:val="1"/>
    <w:next w:val="1"/>
    <w:link w:val="49"/>
    <w:autoRedefine/>
    <w:unhideWhenUsed/>
    <w:qFormat/>
    <w:uiPriority w:val="99"/>
    <w:pPr>
      <w:jc w:val="center"/>
    </w:pPr>
    <w:rPr>
      <w:rFonts w:ascii="Calibri" w:hAnsi="Calibri" w:eastAsia="宋体" w:cs="Times New Roman"/>
      <w:szCs w:val="21"/>
    </w:rPr>
  </w:style>
  <w:style w:type="paragraph" w:styleId="8">
    <w:name w:val="Normal Indent"/>
    <w:basedOn w:val="1"/>
    <w:next w:val="1"/>
    <w:link w:val="50"/>
    <w:autoRedefine/>
    <w:unhideWhenUsed/>
    <w:qFormat/>
    <w:uiPriority w:val="0"/>
    <w:pPr>
      <w:ind w:firstLine="420" w:firstLineChars="200"/>
    </w:pPr>
    <w:rPr>
      <w:rFonts w:ascii="宋体" w:hAnsi="宋体"/>
      <w:kern w:val="0"/>
      <w:sz w:val="20"/>
      <w:szCs w:val="20"/>
    </w:rPr>
  </w:style>
  <w:style w:type="paragraph" w:styleId="9">
    <w:name w:val="caption"/>
    <w:basedOn w:val="1"/>
    <w:next w:val="1"/>
    <w:link w:val="52"/>
    <w:autoRedefine/>
    <w:qFormat/>
    <w:uiPriority w:val="0"/>
    <w:rPr>
      <w:rFonts w:ascii="Arial" w:hAnsi="Arial" w:eastAsia="黑体"/>
      <w:kern w:val="0"/>
      <w:sz w:val="20"/>
      <w:szCs w:val="20"/>
    </w:rPr>
  </w:style>
  <w:style w:type="paragraph" w:styleId="10">
    <w:name w:val="Document Map"/>
    <w:basedOn w:val="1"/>
    <w:link w:val="53"/>
    <w:autoRedefine/>
    <w:unhideWhenUsed/>
    <w:qFormat/>
    <w:uiPriority w:val="99"/>
    <w:rPr>
      <w:rFonts w:ascii="宋体" w:hAnsi="Calibri" w:eastAsia="宋体" w:cs="Times New Roman"/>
      <w:sz w:val="18"/>
      <w:szCs w:val="18"/>
    </w:rPr>
  </w:style>
  <w:style w:type="paragraph" w:styleId="11">
    <w:name w:val="annotation text"/>
    <w:basedOn w:val="1"/>
    <w:link w:val="54"/>
    <w:autoRedefine/>
    <w:unhideWhenUsed/>
    <w:qFormat/>
    <w:uiPriority w:val="99"/>
    <w:pPr>
      <w:jc w:val="left"/>
    </w:pPr>
    <w:rPr>
      <w:rFonts w:ascii="Calibri" w:hAnsi="Calibri" w:eastAsia="宋体" w:cs="Times New Roman"/>
      <w:szCs w:val="22"/>
    </w:rPr>
  </w:style>
  <w:style w:type="paragraph" w:styleId="12">
    <w:name w:val="Body Text 3"/>
    <w:basedOn w:val="1"/>
    <w:link w:val="55"/>
    <w:autoRedefine/>
    <w:unhideWhenUsed/>
    <w:qFormat/>
    <w:uiPriority w:val="99"/>
    <w:pPr>
      <w:spacing w:after="120"/>
    </w:pPr>
    <w:rPr>
      <w:rFonts w:ascii="Calibri" w:hAnsi="Calibri" w:eastAsia="宋体" w:cs="Times New Roman"/>
      <w:sz w:val="16"/>
      <w:szCs w:val="16"/>
    </w:rPr>
  </w:style>
  <w:style w:type="paragraph" w:styleId="13">
    <w:name w:val="Body Text"/>
    <w:basedOn w:val="1"/>
    <w:next w:val="1"/>
    <w:link w:val="56"/>
    <w:autoRedefine/>
    <w:unhideWhenUsed/>
    <w:qFormat/>
    <w:uiPriority w:val="99"/>
    <w:pPr>
      <w:spacing w:after="120"/>
    </w:pPr>
    <w:rPr>
      <w:rFonts w:ascii="Calibri" w:hAnsi="Calibri" w:eastAsia="宋体" w:cs="Times New Roman"/>
      <w:szCs w:val="22"/>
    </w:rPr>
  </w:style>
  <w:style w:type="paragraph" w:styleId="14">
    <w:name w:val="Body Text Indent"/>
    <w:basedOn w:val="1"/>
    <w:next w:val="15"/>
    <w:link w:val="57"/>
    <w:autoRedefine/>
    <w:unhideWhenUsed/>
    <w:qFormat/>
    <w:uiPriority w:val="99"/>
    <w:pPr>
      <w:spacing w:line="500" w:lineRule="atLeast"/>
      <w:ind w:firstLine="640" w:firstLineChars="200"/>
    </w:pPr>
    <w:rPr>
      <w:rFonts w:ascii="宋体" w:hAnsi="宋体"/>
      <w:kern w:val="0"/>
      <w:sz w:val="32"/>
      <w:szCs w:val="20"/>
    </w:rPr>
  </w:style>
  <w:style w:type="paragraph" w:styleId="15">
    <w:name w:val="Body Text First Indent"/>
    <w:basedOn w:val="1"/>
    <w:next w:val="1"/>
    <w:link w:val="58"/>
    <w:autoRedefine/>
    <w:unhideWhenUsed/>
    <w:qFormat/>
    <w:uiPriority w:val="99"/>
    <w:pPr>
      <w:ind w:firstLine="420" w:firstLineChars="100"/>
    </w:pPr>
  </w:style>
  <w:style w:type="paragraph" w:styleId="16">
    <w:name w:val="Block Text"/>
    <w:basedOn w:val="1"/>
    <w:autoRedefine/>
    <w:qFormat/>
    <w:uiPriority w:val="99"/>
    <w:pPr>
      <w:ind w:left="-359" w:leftChars="-171" w:right="-334" w:rightChars="-159" w:firstLine="538" w:firstLineChars="192"/>
    </w:pPr>
    <w:rPr>
      <w:sz w:val="28"/>
    </w:rPr>
  </w:style>
  <w:style w:type="paragraph" w:styleId="17">
    <w:name w:val="toc 3"/>
    <w:basedOn w:val="1"/>
    <w:next w:val="1"/>
    <w:autoRedefine/>
    <w:qFormat/>
    <w:uiPriority w:val="99"/>
    <w:pPr>
      <w:ind w:left="840" w:leftChars="400"/>
    </w:pPr>
  </w:style>
  <w:style w:type="paragraph" w:styleId="18">
    <w:name w:val="Plain Text"/>
    <w:basedOn w:val="1"/>
    <w:link w:val="59"/>
    <w:autoRedefine/>
    <w:unhideWhenUsed/>
    <w:qFormat/>
    <w:uiPriority w:val="0"/>
    <w:rPr>
      <w:rFonts w:ascii="宋体" w:hAnsi="Courier New"/>
      <w:kern w:val="0"/>
      <w:sz w:val="20"/>
      <w:szCs w:val="20"/>
    </w:rPr>
  </w:style>
  <w:style w:type="paragraph" w:styleId="19">
    <w:name w:val="List Bullet 5"/>
    <w:basedOn w:val="1"/>
    <w:autoRedefine/>
    <w:unhideWhenUsed/>
    <w:qFormat/>
    <w:uiPriority w:val="99"/>
    <w:pPr>
      <w:numPr>
        <w:ilvl w:val="0"/>
        <w:numId w:val="1"/>
      </w:numPr>
    </w:pPr>
  </w:style>
  <w:style w:type="paragraph" w:styleId="20">
    <w:name w:val="Body Text Indent 2"/>
    <w:basedOn w:val="1"/>
    <w:next w:val="21"/>
    <w:link w:val="60"/>
    <w:autoRedefine/>
    <w:unhideWhenUsed/>
    <w:qFormat/>
    <w:uiPriority w:val="99"/>
    <w:pPr>
      <w:spacing w:after="120" w:line="480" w:lineRule="auto"/>
      <w:ind w:left="420" w:leftChars="200"/>
    </w:pPr>
    <w:rPr>
      <w:rFonts w:ascii="Calibri" w:hAnsi="Calibri" w:eastAsia="宋体" w:cs="Times New Roman"/>
      <w:szCs w:val="22"/>
    </w:rPr>
  </w:style>
  <w:style w:type="paragraph" w:customStyle="1" w:styleId="21">
    <w:name w:val=" Char"/>
    <w:basedOn w:val="1"/>
    <w:autoRedefine/>
    <w:qFormat/>
    <w:uiPriority w:val="0"/>
    <w:rPr>
      <w:rFonts w:ascii="Times New Roman" w:hAnsi="Times New Roman"/>
      <w:szCs w:val="24"/>
    </w:rPr>
  </w:style>
  <w:style w:type="paragraph" w:styleId="22">
    <w:name w:val="Balloon Text"/>
    <w:basedOn w:val="1"/>
    <w:link w:val="61"/>
    <w:autoRedefine/>
    <w:unhideWhenUsed/>
    <w:qFormat/>
    <w:uiPriority w:val="99"/>
    <w:rPr>
      <w:rFonts w:ascii="Calibri" w:hAnsi="Calibri" w:eastAsia="宋体" w:cs="Times New Roman"/>
      <w:sz w:val="18"/>
      <w:szCs w:val="18"/>
    </w:rPr>
  </w:style>
  <w:style w:type="paragraph" w:styleId="23">
    <w:name w:val="footer"/>
    <w:basedOn w:val="1"/>
    <w:link w:val="62"/>
    <w:autoRedefine/>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24">
    <w:name w:val="header"/>
    <w:basedOn w:val="1"/>
    <w:link w:val="63"/>
    <w:autoRedefine/>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25">
    <w:name w:val="toc 1"/>
    <w:basedOn w:val="1"/>
    <w:next w:val="1"/>
    <w:autoRedefine/>
    <w:semiHidden/>
    <w:qFormat/>
    <w:uiPriority w:val="0"/>
    <w:pPr>
      <w:tabs>
        <w:tab w:val="right" w:leader="dot" w:pos="8834"/>
      </w:tabs>
      <w:adjustRightInd w:val="0"/>
      <w:snapToGrid w:val="0"/>
      <w:spacing w:line="480" w:lineRule="auto"/>
    </w:pPr>
  </w:style>
  <w:style w:type="paragraph" w:styleId="26">
    <w:name w:val="index heading"/>
    <w:basedOn w:val="1"/>
    <w:next w:val="27"/>
    <w:autoRedefine/>
    <w:semiHidden/>
    <w:qFormat/>
    <w:uiPriority w:val="0"/>
    <w:rPr>
      <w:rFonts w:ascii="Arial" w:hAnsi="Arial" w:cs="Arial"/>
      <w:b/>
      <w:bCs/>
    </w:rPr>
  </w:style>
  <w:style w:type="paragraph" w:styleId="27">
    <w:name w:val="index 1"/>
    <w:basedOn w:val="1"/>
    <w:next w:val="1"/>
    <w:autoRedefine/>
    <w:semiHidden/>
    <w:qFormat/>
    <w:uiPriority w:val="0"/>
    <w:pPr>
      <w:spacing w:line="300" w:lineRule="exact"/>
    </w:pPr>
    <w:rPr>
      <w:spacing w:val="10"/>
      <w:sz w:val="21"/>
      <w:szCs w:val="24"/>
    </w:rPr>
  </w:style>
  <w:style w:type="paragraph" w:styleId="28">
    <w:name w:val="List"/>
    <w:basedOn w:val="1"/>
    <w:autoRedefine/>
    <w:unhideWhenUsed/>
    <w:qFormat/>
    <w:uiPriority w:val="99"/>
    <w:pPr>
      <w:spacing w:line="400" w:lineRule="exact"/>
      <w:jc w:val="center"/>
    </w:pPr>
    <w:rPr>
      <w:sz w:val="24"/>
      <w:szCs w:val="20"/>
    </w:rPr>
  </w:style>
  <w:style w:type="paragraph" w:styleId="29">
    <w:name w:val="Body Text Indent 3"/>
    <w:basedOn w:val="1"/>
    <w:link w:val="64"/>
    <w:autoRedefine/>
    <w:unhideWhenUsed/>
    <w:qFormat/>
    <w:uiPriority w:val="99"/>
    <w:pPr>
      <w:spacing w:after="120"/>
      <w:ind w:left="420" w:leftChars="200"/>
    </w:pPr>
    <w:rPr>
      <w:kern w:val="0"/>
      <w:sz w:val="16"/>
      <w:szCs w:val="16"/>
    </w:rPr>
  </w:style>
  <w:style w:type="paragraph" w:styleId="30">
    <w:name w:val="table of figures"/>
    <w:basedOn w:val="1"/>
    <w:next w:val="1"/>
    <w:autoRedefine/>
    <w:unhideWhenUsed/>
    <w:qFormat/>
    <w:uiPriority w:val="99"/>
    <w:pPr>
      <w:ind w:left="200" w:leftChars="200" w:hanging="200" w:hangingChars="200"/>
    </w:pPr>
    <w:rPr>
      <w:rFonts w:ascii="Calibri" w:hAnsi="Calibri" w:eastAsia="宋体" w:cs="Times New Roman"/>
      <w:szCs w:val="22"/>
    </w:rPr>
  </w:style>
  <w:style w:type="paragraph" w:styleId="31">
    <w:name w:val="Body Text 2"/>
    <w:basedOn w:val="1"/>
    <w:link w:val="65"/>
    <w:autoRedefine/>
    <w:unhideWhenUsed/>
    <w:qFormat/>
    <w:uiPriority w:val="99"/>
    <w:pPr>
      <w:spacing w:after="120" w:line="480" w:lineRule="auto"/>
    </w:pPr>
    <w:rPr>
      <w:rFonts w:ascii="Calibri" w:hAnsi="Calibri" w:eastAsia="宋体" w:cs="Times New Roman"/>
      <w:szCs w:val="22"/>
    </w:rPr>
  </w:style>
  <w:style w:type="paragraph" w:styleId="32">
    <w:name w:val="HTML Preformatted"/>
    <w:basedOn w:val="1"/>
    <w:link w:val="66"/>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color w:val="000000"/>
      <w:kern w:val="0"/>
      <w:sz w:val="24"/>
      <w:szCs w:val="22"/>
    </w:rPr>
  </w:style>
  <w:style w:type="paragraph" w:styleId="33">
    <w:name w:val="Normal (Web)"/>
    <w:basedOn w:val="1"/>
    <w:link w:val="67"/>
    <w:autoRedefine/>
    <w:qFormat/>
    <w:uiPriority w:val="0"/>
    <w:pPr>
      <w:widowControl/>
      <w:spacing w:before="100" w:beforeAutospacing="1" w:after="100" w:afterAutospacing="1"/>
      <w:jc w:val="left"/>
    </w:pPr>
    <w:rPr>
      <w:rFonts w:ascii="宋体" w:hAnsi="宋体"/>
      <w:kern w:val="0"/>
      <w:sz w:val="24"/>
      <w:szCs w:val="20"/>
    </w:rPr>
  </w:style>
  <w:style w:type="paragraph" w:styleId="34">
    <w:name w:val="Title"/>
    <w:basedOn w:val="1"/>
    <w:next w:val="1"/>
    <w:link w:val="68"/>
    <w:autoRedefine/>
    <w:qFormat/>
    <w:uiPriority w:val="99"/>
    <w:pPr>
      <w:spacing w:before="240" w:after="60"/>
      <w:jc w:val="center"/>
      <w:outlineLvl w:val="0"/>
    </w:pPr>
    <w:rPr>
      <w:rFonts w:ascii="Cambria" w:hAnsi="Cambria" w:eastAsia="宋体" w:cs="Times New Roman"/>
      <w:b/>
      <w:bCs/>
      <w:sz w:val="32"/>
      <w:szCs w:val="32"/>
    </w:rPr>
  </w:style>
  <w:style w:type="paragraph" w:styleId="35">
    <w:name w:val="annotation subject"/>
    <w:basedOn w:val="11"/>
    <w:next w:val="11"/>
    <w:link w:val="69"/>
    <w:autoRedefine/>
    <w:unhideWhenUsed/>
    <w:qFormat/>
    <w:uiPriority w:val="99"/>
    <w:rPr>
      <w:b/>
      <w:bCs/>
    </w:rPr>
  </w:style>
  <w:style w:type="paragraph" w:styleId="36">
    <w:name w:val="Body Text First Indent 2"/>
    <w:basedOn w:val="1"/>
    <w:next w:val="1"/>
    <w:link w:val="51"/>
    <w:autoRedefine/>
    <w:unhideWhenUsed/>
    <w:qFormat/>
    <w:uiPriority w:val="99"/>
    <w:pPr>
      <w:spacing w:after="120" w:line="240" w:lineRule="auto"/>
      <w:ind w:left="420" w:leftChars="200" w:firstLine="420"/>
    </w:pPr>
    <w:rPr>
      <w:kern w:val="0"/>
      <w:sz w:val="20"/>
      <w:szCs w:val="20"/>
    </w:rPr>
  </w:style>
  <w:style w:type="table" w:styleId="38">
    <w:name w:val="Table Grid"/>
    <w:basedOn w:val="3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basedOn w:val="39"/>
    <w:autoRedefine/>
    <w:qFormat/>
    <w:uiPriority w:val="22"/>
    <w:rPr>
      <w:b/>
    </w:rPr>
  </w:style>
  <w:style w:type="character" w:styleId="41">
    <w:name w:val="page number"/>
    <w:basedOn w:val="39"/>
    <w:autoRedefine/>
    <w:qFormat/>
    <w:uiPriority w:val="0"/>
  </w:style>
  <w:style w:type="character" w:styleId="42">
    <w:name w:val="Hyperlink"/>
    <w:basedOn w:val="39"/>
    <w:autoRedefine/>
    <w:unhideWhenUsed/>
    <w:qFormat/>
    <w:uiPriority w:val="99"/>
    <w:rPr>
      <w:color w:val="0000FF"/>
      <w:u w:val="single"/>
    </w:rPr>
  </w:style>
  <w:style w:type="character" w:styleId="43">
    <w:name w:val="annotation reference"/>
    <w:basedOn w:val="39"/>
    <w:autoRedefine/>
    <w:unhideWhenUsed/>
    <w:qFormat/>
    <w:uiPriority w:val="99"/>
    <w:rPr>
      <w:sz w:val="21"/>
      <w:szCs w:val="21"/>
    </w:rPr>
  </w:style>
  <w:style w:type="character" w:customStyle="1" w:styleId="44">
    <w:name w:val="标题 1 Char"/>
    <w:basedOn w:val="39"/>
    <w:link w:val="2"/>
    <w:autoRedefine/>
    <w:qFormat/>
    <w:uiPriority w:val="0"/>
    <w:rPr>
      <w:b/>
      <w:bCs/>
      <w:kern w:val="44"/>
      <w:sz w:val="28"/>
      <w:szCs w:val="44"/>
    </w:rPr>
  </w:style>
  <w:style w:type="character" w:customStyle="1" w:styleId="45">
    <w:name w:val="标题 2 Char"/>
    <w:basedOn w:val="39"/>
    <w:link w:val="3"/>
    <w:autoRedefine/>
    <w:semiHidden/>
    <w:qFormat/>
    <w:uiPriority w:val="0"/>
    <w:rPr>
      <w:rFonts w:ascii="Cambria" w:hAnsi="Cambria"/>
      <w:b/>
      <w:bCs/>
      <w:sz w:val="32"/>
      <w:szCs w:val="32"/>
    </w:rPr>
  </w:style>
  <w:style w:type="character" w:customStyle="1" w:styleId="46">
    <w:name w:val="标题 3 Char1"/>
    <w:link w:val="4"/>
    <w:autoRedefine/>
    <w:semiHidden/>
    <w:qFormat/>
    <w:locked/>
    <w:uiPriority w:val="9"/>
    <w:rPr>
      <w:b/>
      <w:bCs/>
      <w:sz w:val="32"/>
      <w:szCs w:val="32"/>
    </w:rPr>
  </w:style>
  <w:style w:type="character" w:customStyle="1" w:styleId="47">
    <w:name w:val="标题 4 Char"/>
    <w:basedOn w:val="39"/>
    <w:link w:val="5"/>
    <w:autoRedefine/>
    <w:semiHidden/>
    <w:qFormat/>
    <w:uiPriority w:val="0"/>
    <w:rPr>
      <w:rFonts w:ascii="Cambria" w:hAnsi="Cambria"/>
      <w:b/>
      <w:bCs/>
      <w:sz w:val="28"/>
      <w:szCs w:val="28"/>
    </w:rPr>
  </w:style>
  <w:style w:type="character" w:customStyle="1" w:styleId="48">
    <w:name w:val="标题 5 Char"/>
    <w:basedOn w:val="39"/>
    <w:link w:val="6"/>
    <w:autoRedefine/>
    <w:semiHidden/>
    <w:qFormat/>
    <w:uiPriority w:val="9"/>
    <w:rPr>
      <w:rFonts w:eastAsia="仿宋_GB2312"/>
      <w:b/>
      <w:bCs/>
      <w:color w:val="000000"/>
      <w:sz w:val="28"/>
      <w:szCs w:val="28"/>
    </w:rPr>
  </w:style>
  <w:style w:type="character" w:customStyle="1" w:styleId="49">
    <w:name w:val="注释标题 Char"/>
    <w:basedOn w:val="39"/>
    <w:link w:val="7"/>
    <w:autoRedefine/>
    <w:semiHidden/>
    <w:qFormat/>
    <w:uiPriority w:val="99"/>
    <w:rPr>
      <w:szCs w:val="21"/>
    </w:rPr>
  </w:style>
  <w:style w:type="character" w:customStyle="1" w:styleId="50">
    <w:name w:val="正文缩进 Char"/>
    <w:link w:val="8"/>
    <w:autoRedefine/>
    <w:qFormat/>
    <w:locked/>
    <w:uiPriority w:val="0"/>
    <w:rPr>
      <w:rFonts w:ascii="宋体" w:hAnsi="宋体"/>
    </w:rPr>
  </w:style>
  <w:style w:type="character" w:customStyle="1" w:styleId="51">
    <w:name w:val="正文首行缩进 2 Char1"/>
    <w:link w:val="36"/>
    <w:autoRedefine/>
    <w:semiHidden/>
    <w:qFormat/>
    <w:locked/>
    <w:uiPriority w:val="99"/>
    <w:rPr>
      <w:rFonts w:ascii="宋体" w:hAnsi="宋体"/>
    </w:rPr>
  </w:style>
  <w:style w:type="character" w:customStyle="1" w:styleId="52">
    <w:name w:val="题注 Char"/>
    <w:link w:val="9"/>
    <w:autoRedefine/>
    <w:qFormat/>
    <w:locked/>
    <w:uiPriority w:val="0"/>
    <w:rPr>
      <w:rFonts w:ascii="Arial" w:hAnsi="Arial" w:eastAsia="黑体"/>
    </w:rPr>
  </w:style>
  <w:style w:type="character" w:customStyle="1" w:styleId="53">
    <w:name w:val="文档结构图 Char"/>
    <w:basedOn w:val="39"/>
    <w:link w:val="10"/>
    <w:autoRedefine/>
    <w:semiHidden/>
    <w:qFormat/>
    <w:uiPriority w:val="99"/>
    <w:rPr>
      <w:rFonts w:ascii="宋体"/>
      <w:sz w:val="18"/>
      <w:szCs w:val="18"/>
    </w:rPr>
  </w:style>
  <w:style w:type="character" w:customStyle="1" w:styleId="54">
    <w:name w:val="批注文字 Char"/>
    <w:basedOn w:val="39"/>
    <w:link w:val="11"/>
    <w:autoRedefine/>
    <w:semiHidden/>
    <w:qFormat/>
    <w:uiPriority w:val="99"/>
  </w:style>
  <w:style w:type="character" w:customStyle="1" w:styleId="55">
    <w:name w:val="正文文本 3 Char"/>
    <w:basedOn w:val="39"/>
    <w:link w:val="12"/>
    <w:autoRedefine/>
    <w:semiHidden/>
    <w:qFormat/>
    <w:uiPriority w:val="99"/>
    <w:rPr>
      <w:sz w:val="16"/>
      <w:szCs w:val="16"/>
    </w:rPr>
  </w:style>
  <w:style w:type="character" w:customStyle="1" w:styleId="56">
    <w:name w:val="正文文本 Char"/>
    <w:basedOn w:val="39"/>
    <w:link w:val="13"/>
    <w:autoRedefine/>
    <w:semiHidden/>
    <w:qFormat/>
    <w:uiPriority w:val="99"/>
  </w:style>
  <w:style w:type="character" w:customStyle="1" w:styleId="57">
    <w:name w:val="正文文本缩进 Char1"/>
    <w:link w:val="14"/>
    <w:autoRedefine/>
    <w:semiHidden/>
    <w:qFormat/>
    <w:locked/>
    <w:uiPriority w:val="99"/>
    <w:rPr>
      <w:rFonts w:ascii="宋体" w:hAnsi="宋体"/>
      <w:sz w:val="32"/>
    </w:rPr>
  </w:style>
  <w:style w:type="character" w:customStyle="1" w:styleId="58">
    <w:name w:val="正文首行缩进 Char"/>
    <w:basedOn w:val="56"/>
    <w:link w:val="15"/>
    <w:autoRedefine/>
    <w:semiHidden/>
    <w:qFormat/>
    <w:uiPriority w:val="99"/>
  </w:style>
  <w:style w:type="character" w:customStyle="1" w:styleId="59">
    <w:name w:val="纯文本 Char1"/>
    <w:link w:val="18"/>
    <w:autoRedefine/>
    <w:semiHidden/>
    <w:qFormat/>
    <w:locked/>
    <w:uiPriority w:val="0"/>
    <w:rPr>
      <w:rFonts w:ascii="宋体" w:hAnsi="Courier New"/>
    </w:rPr>
  </w:style>
  <w:style w:type="character" w:customStyle="1" w:styleId="60">
    <w:name w:val="正文文本缩进 2 Char"/>
    <w:basedOn w:val="39"/>
    <w:link w:val="20"/>
    <w:autoRedefine/>
    <w:semiHidden/>
    <w:qFormat/>
    <w:uiPriority w:val="99"/>
  </w:style>
  <w:style w:type="character" w:customStyle="1" w:styleId="61">
    <w:name w:val="批注框文本 Char"/>
    <w:basedOn w:val="39"/>
    <w:link w:val="22"/>
    <w:autoRedefine/>
    <w:semiHidden/>
    <w:qFormat/>
    <w:uiPriority w:val="99"/>
    <w:rPr>
      <w:sz w:val="18"/>
      <w:szCs w:val="18"/>
    </w:rPr>
  </w:style>
  <w:style w:type="character" w:customStyle="1" w:styleId="62">
    <w:name w:val="页脚 Char"/>
    <w:basedOn w:val="39"/>
    <w:link w:val="23"/>
    <w:autoRedefine/>
    <w:qFormat/>
    <w:uiPriority w:val="99"/>
    <w:rPr>
      <w:sz w:val="18"/>
      <w:szCs w:val="18"/>
    </w:rPr>
  </w:style>
  <w:style w:type="character" w:customStyle="1" w:styleId="63">
    <w:name w:val="页眉 Char"/>
    <w:basedOn w:val="39"/>
    <w:link w:val="24"/>
    <w:autoRedefine/>
    <w:semiHidden/>
    <w:qFormat/>
    <w:uiPriority w:val="99"/>
    <w:rPr>
      <w:sz w:val="18"/>
      <w:szCs w:val="18"/>
    </w:rPr>
  </w:style>
  <w:style w:type="character" w:customStyle="1" w:styleId="64">
    <w:name w:val="正文文本缩进 3 Char1"/>
    <w:link w:val="29"/>
    <w:autoRedefine/>
    <w:semiHidden/>
    <w:qFormat/>
    <w:locked/>
    <w:uiPriority w:val="99"/>
    <w:rPr>
      <w:sz w:val="16"/>
      <w:szCs w:val="16"/>
    </w:rPr>
  </w:style>
  <w:style w:type="character" w:customStyle="1" w:styleId="65">
    <w:name w:val="正文文本 2 Char"/>
    <w:basedOn w:val="39"/>
    <w:link w:val="31"/>
    <w:autoRedefine/>
    <w:semiHidden/>
    <w:qFormat/>
    <w:uiPriority w:val="99"/>
  </w:style>
  <w:style w:type="character" w:customStyle="1" w:styleId="66">
    <w:name w:val="HTML 预设格式 Char"/>
    <w:basedOn w:val="39"/>
    <w:link w:val="32"/>
    <w:autoRedefine/>
    <w:semiHidden/>
    <w:qFormat/>
    <w:uiPriority w:val="99"/>
    <w:rPr>
      <w:rFonts w:ascii="宋体" w:hAnsi="宋体"/>
      <w:color w:val="000000"/>
      <w:kern w:val="0"/>
      <w:sz w:val="24"/>
    </w:rPr>
  </w:style>
  <w:style w:type="character" w:customStyle="1" w:styleId="67">
    <w:name w:val="普通(网站) Char"/>
    <w:link w:val="33"/>
    <w:autoRedefine/>
    <w:qFormat/>
    <w:locked/>
    <w:uiPriority w:val="0"/>
    <w:rPr>
      <w:rFonts w:ascii="宋体" w:hAnsi="宋体" w:eastAsia="宋体"/>
      <w:sz w:val="24"/>
    </w:rPr>
  </w:style>
  <w:style w:type="character" w:customStyle="1" w:styleId="68">
    <w:name w:val="标题 Char"/>
    <w:basedOn w:val="39"/>
    <w:link w:val="34"/>
    <w:autoRedefine/>
    <w:qFormat/>
    <w:uiPriority w:val="99"/>
    <w:rPr>
      <w:rFonts w:ascii="Cambria" w:hAnsi="Cambria" w:cs="Times New Roman"/>
      <w:b/>
      <w:bCs/>
      <w:sz w:val="32"/>
      <w:szCs w:val="32"/>
    </w:rPr>
  </w:style>
  <w:style w:type="character" w:customStyle="1" w:styleId="69">
    <w:name w:val="批注主题 Char"/>
    <w:basedOn w:val="54"/>
    <w:link w:val="35"/>
    <w:autoRedefine/>
    <w:semiHidden/>
    <w:qFormat/>
    <w:uiPriority w:val="99"/>
    <w:rPr>
      <w:b/>
      <w:bCs/>
    </w:rPr>
  </w:style>
  <w:style w:type="paragraph" w:customStyle="1" w:styleId="70">
    <w:name w:val="样式5"/>
    <w:basedOn w:val="71"/>
    <w:autoRedefine/>
    <w:qFormat/>
    <w:uiPriority w:val="0"/>
    <w:pPr>
      <w:widowControl w:val="0"/>
      <w:snapToGrid w:val="0"/>
      <w:spacing w:line="360" w:lineRule="auto"/>
      <w:ind w:firstLine="510" w:firstLineChars="200"/>
      <w:jc w:val="center"/>
    </w:pPr>
    <w:rPr>
      <w:rFonts w:ascii="黑体" w:hAnsi="宋体" w:eastAsia="黑体"/>
      <w:color w:val="000000"/>
      <w:sz w:val="24"/>
      <w:szCs w:val="22"/>
      <w:lang w:val="en-US" w:eastAsia="zh-CN" w:bidi="ar-SA"/>
    </w:rPr>
  </w:style>
  <w:style w:type="paragraph" w:customStyle="1" w:styleId="71">
    <w:name w:val="样式3"/>
    <w:basedOn w:val="17"/>
    <w:autoRedefine/>
    <w:qFormat/>
    <w:uiPriority w:val="99"/>
    <w:pPr>
      <w:ind w:firstLine="200" w:firstLineChars="200"/>
    </w:pPr>
    <w:rPr>
      <w:b/>
      <w:bCs/>
      <w:sz w:val="24"/>
      <w:lang w:val="en-GB"/>
    </w:rPr>
  </w:style>
  <w:style w:type="paragraph" w:customStyle="1" w:styleId="72">
    <w:name w:val="样式 正文缩进正文缩进2正文缩进 Char Char正文缩进 Char Char Char Char正文缩进 Char ..."/>
    <w:basedOn w:val="8"/>
    <w:autoRedefine/>
    <w:qFormat/>
    <w:uiPriority w:val="0"/>
    <w:pPr>
      <w:spacing w:line="360" w:lineRule="auto"/>
      <w:ind w:firstLine="200"/>
    </w:pPr>
    <w:rPr>
      <w:rFonts w:cs="宋体"/>
      <w:sz w:val="24"/>
    </w:rPr>
  </w:style>
  <w:style w:type="paragraph" w:customStyle="1" w:styleId="73">
    <w:name w:val="Default"/>
    <w:basedOn w:val="74"/>
    <w:next w:val="75"/>
    <w:autoRedefine/>
    <w:qFormat/>
    <w:uiPriority w:val="0"/>
    <w:pPr>
      <w:widowControl w:val="0"/>
      <w:autoSpaceDE w:val="0"/>
      <w:autoSpaceDN w:val="0"/>
      <w:adjustRightInd w:val="0"/>
    </w:pPr>
    <w:rPr>
      <w:rFonts w:ascii="宋体" w:hAnsi="Calibri" w:cs="宋体"/>
      <w:color w:val="000000"/>
      <w:sz w:val="24"/>
      <w:szCs w:val="24"/>
      <w:lang w:val="en-US" w:eastAsia="zh-CN" w:bidi="ar-SA"/>
    </w:rPr>
  </w:style>
  <w:style w:type="paragraph" w:customStyle="1" w:styleId="74">
    <w:name w:val="纯文本1"/>
    <w:basedOn w:val="1"/>
    <w:autoRedefine/>
    <w:qFormat/>
    <w:uiPriority w:val="0"/>
    <w:rPr>
      <w:rFonts w:hAnsi="Courier New"/>
      <w:sz w:val="21"/>
      <w:szCs w:val="21"/>
    </w:rPr>
  </w:style>
  <w:style w:type="paragraph" w:customStyle="1" w:styleId="75">
    <w:name w:val="样式1"/>
    <w:basedOn w:val="26"/>
    <w:next w:val="1"/>
    <w:autoRedefine/>
    <w:qFormat/>
    <w:uiPriority w:val="99"/>
    <w:pPr>
      <w:snapToGrid w:val="0"/>
      <w:jc w:val="center"/>
    </w:pPr>
    <w:rPr>
      <w:rFonts w:ascii="宋体" w:hAnsi="Calibri" w:eastAsia="宋体" w:cs="Times New Roman"/>
      <w:szCs w:val="20"/>
    </w:rPr>
  </w:style>
  <w:style w:type="paragraph" w:customStyle="1" w:styleId="76">
    <w:name w:val="Char"/>
    <w:basedOn w:val="1"/>
    <w:autoRedefine/>
    <w:qFormat/>
    <w:uiPriority w:val="99"/>
    <w:rPr>
      <w:szCs w:val="24"/>
    </w:rPr>
  </w:style>
  <w:style w:type="character" w:customStyle="1" w:styleId="77">
    <w:name w:val="表格 Char"/>
    <w:link w:val="78"/>
    <w:autoRedefine/>
    <w:qFormat/>
    <w:locked/>
    <w:uiPriority w:val="0"/>
    <w:rPr>
      <w:rFonts w:ascii="宋体"/>
    </w:rPr>
  </w:style>
  <w:style w:type="paragraph" w:customStyle="1" w:styleId="78">
    <w:name w:val="表格"/>
    <w:basedOn w:val="28"/>
    <w:next w:val="1"/>
    <w:link w:val="77"/>
    <w:autoRedefine/>
    <w:qFormat/>
    <w:uiPriority w:val="0"/>
    <w:pPr>
      <w:adjustRightInd w:val="0"/>
      <w:snapToGrid w:val="0"/>
      <w:spacing w:beforeLines="10" w:afterLines="10" w:line="259" w:lineRule="auto"/>
      <w:jc w:val="center"/>
    </w:pPr>
    <w:rPr>
      <w:rFonts w:ascii="宋体"/>
      <w:kern w:val="0"/>
      <w:sz w:val="20"/>
      <w:szCs w:val="20"/>
    </w:rPr>
  </w:style>
  <w:style w:type="character" w:customStyle="1" w:styleId="79">
    <w:name w:val="标题 3 Char"/>
    <w:basedOn w:val="39"/>
    <w:autoRedefine/>
    <w:semiHidden/>
    <w:qFormat/>
    <w:uiPriority w:val="9"/>
    <w:rPr>
      <w:rFonts w:ascii="Times New Roman" w:hAnsi="Times New Roman" w:eastAsia="宋体" w:cs="Times New Roman"/>
      <w:b/>
      <w:bCs/>
      <w:sz w:val="32"/>
      <w:szCs w:val="32"/>
    </w:rPr>
  </w:style>
  <w:style w:type="character" w:customStyle="1" w:styleId="80">
    <w:name w:val="正文文本缩进 Char"/>
    <w:basedOn w:val="39"/>
    <w:autoRedefine/>
    <w:semiHidden/>
    <w:qFormat/>
    <w:uiPriority w:val="0"/>
    <w:rPr>
      <w:rFonts w:ascii="Times New Roman" w:hAnsi="Times New Roman" w:eastAsia="宋体" w:cs="Times New Roman"/>
      <w:szCs w:val="24"/>
    </w:rPr>
  </w:style>
  <w:style w:type="character" w:customStyle="1" w:styleId="81">
    <w:name w:val="正文首行缩进 2 Char"/>
    <w:basedOn w:val="80"/>
    <w:autoRedefine/>
    <w:semiHidden/>
    <w:qFormat/>
    <w:uiPriority w:val="0"/>
    <w:rPr>
      <w:rFonts w:ascii="Times New Roman" w:hAnsi="Times New Roman" w:eastAsia="宋体" w:cs="Times New Roman"/>
      <w:szCs w:val="24"/>
    </w:rPr>
  </w:style>
  <w:style w:type="character" w:customStyle="1" w:styleId="82">
    <w:name w:val="正文文本缩进 3 Char"/>
    <w:basedOn w:val="39"/>
    <w:autoRedefine/>
    <w:semiHidden/>
    <w:qFormat/>
    <w:uiPriority w:val="0"/>
    <w:rPr>
      <w:rFonts w:ascii="Times New Roman" w:hAnsi="Times New Roman" w:eastAsia="宋体" w:cs="Times New Roman"/>
      <w:sz w:val="16"/>
      <w:szCs w:val="16"/>
    </w:rPr>
  </w:style>
  <w:style w:type="character" w:customStyle="1" w:styleId="83">
    <w:name w:val="纯文本 Char"/>
    <w:basedOn w:val="39"/>
    <w:autoRedefine/>
    <w:semiHidden/>
    <w:qFormat/>
    <w:uiPriority w:val="99"/>
    <w:rPr>
      <w:rFonts w:ascii="宋体" w:hAnsi="Courier New" w:eastAsia="宋体" w:cs="Courier New"/>
      <w:szCs w:val="21"/>
    </w:rPr>
  </w:style>
  <w:style w:type="character" w:customStyle="1" w:styleId="84">
    <w:name w:val="正文文本 (2)_"/>
    <w:link w:val="85"/>
    <w:autoRedefine/>
    <w:qFormat/>
    <w:locked/>
    <w:uiPriority w:val="0"/>
    <w:rPr>
      <w:rFonts w:ascii="宋体" w:hAnsi="宋体" w:eastAsia="宋体"/>
      <w:sz w:val="22"/>
      <w:shd w:val="clear" w:color="auto" w:fill="FFFFFF"/>
    </w:rPr>
  </w:style>
  <w:style w:type="paragraph" w:customStyle="1" w:styleId="85">
    <w:name w:val="正文文本 (2)1"/>
    <w:basedOn w:val="1"/>
    <w:link w:val="84"/>
    <w:autoRedefine/>
    <w:qFormat/>
    <w:uiPriority w:val="0"/>
    <w:pPr>
      <w:shd w:val="clear" w:color="auto" w:fill="FFFFFF"/>
      <w:spacing w:before="300" w:line="466" w:lineRule="exact"/>
      <w:ind w:hanging="600"/>
      <w:jc w:val="distribute"/>
    </w:pPr>
    <w:rPr>
      <w:rFonts w:ascii="宋体" w:hAnsi="宋体"/>
      <w:kern w:val="0"/>
      <w:sz w:val="22"/>
      <w:szCs w:val="20"/>
    </w:rPr>
  </w:style>
  <w:style w:type="character" w:customStyle="1" w:styleId="86">
    <w:name w:val="表蕊居中 Char"/>
    <w:link w:val="87"/>
    <w:autoRedefine/>
    <w:qFormat/>
    <w:locked/>
    <w:uiPriority w:val="0"/>
    <w:rPr>
      <w:rFonts w:ascii="Calibri" w:hAnsi="Calibri"/>
      <w:spacing w:val="8"/>
      <w:kern w:val="2"/>
      <w:sz w:val="21"/>
      <w:szCs w:val="28"/>
      <w:lang w:val="en-US" w:eastAsia="zh-CN" w:bidi="ar-SA"/>
    </w:rPr>
  </w:style>
  <w:style w:type="paragraph" w:customStyle="1" w:styleId="87">
    <w:name w:val="表蕊居中"/>
    <w:link w:val="86"/>
    <w:autoRedefine/>
    <w:qFormat/>
    <w:uiPriority w:val="0"/>
    <w:pPr>
      <w:spacing w:line="320" w:lineRule="exact"/>
      <w:jc w:val="center"/>
    </w:pPr>
    <w:rPr>
      <w:rFonts w:ascii="Calibri" w:hAnsi="Calibri" w:eastAsia="宋体" w:cs="Times New Roman"/>
      <w:spacing w:val="8"/>
      <w:kern w:val="2"/>
      <w:sz w:val="21"/>
      <w:szCs w:val="28"/>
      <w:lang w:val="en-US" w:eastAsia="zh-CN" w:bidi="ar-SA"/>
    </w:rPr>
  </w:style>
  <w:style w:type="character" w:customStyle="1" w:styleId="88">
    <w:name w:val="样式 正文文字 + 首行缩进:  2 字符 行距: 最小值 24 磅 Char"/>
    <w:link w:val="89"/>
    <w:autoRedefine/>
    <w:qFormat/>
    <w:locked/>
    <w:uiPriority w:val="0"/>
    <w:rPr>
      <w:rFonts w:ascii="宋体" w:hAnsi="宋体" w:eastAsia="宋体" w:cs="宋体"/>
      <w:sz w:val="24"/>
    </w:rPr>
  </w:style>
  <w:style w:type="paragraph" w:customStyle="1" w:styleId="89">
    <w:name w:val="样式 正文文字 + 首行缩进:  2 字符 行距: 最小值 24 磅"/>
    <w:basedOn w:val="1"/>
    <w:link w:val="88"/>
    <w:autoRedefine/>
    <w:qFormat/>
    <w:uiPriority w:val="0"/>
    <w:pPr>
      <w:adjustRightInd w:val="0"/>
      <w:snapToGrid w:val="0"/>
      <w:spacing w:line="480" w:lineRule="atLeast"/>
      <w:ind w:firstLine="480" w:firstLineChars="200"/>
    </w:pPr>
    <w:rPr>
      <w:rFonts w:ascii="宋体" w:hAnsi="宋体"/>
      <w:kern w:val="0"/>
      <w:sz w:val="24"/>
      <w:szCs w:val="20"/>
    </w:rPr>
  </w:style>
  <w:style w:type="character" w:customStyle="1" w:styleId="90">
    <w:name w:val="表格文字 Char"/>
    <w:link w:val="91"/>
    <w:autoRedefine/>
    <w:qFormat/>
    <w:locked/>
    <w:uiPriority w:val="0"/>
    <w:rPr>
      <w:rFonts w:ascii="Calibri" w:hAnsi="Calibri"/>
      <w:kern w:val="2"/>
      <w:sz w:val="21"/>
      <w:szCs w:val="18"/>
      <w:lang w:val="en-US" w:eastAsia="zh-CN" w:bidi="ar-SA"/>
    </w:rPr>
  </w:style>
  <w:style w:type="paragraph" w:customStyle="1" w:styleId="91">
    <w:name w:val="表格文字"/>
    <w:next w:val="75"/>
    <w:link w:val="90"/>
    <w:autoRedefine/>
    <w:qFormat/>
    <w:uiPriority w:val="0"/>
    <w:pPr>
      <w:adjustRightInd w:val="0"/>
      <w:snapToGrid w:val="0"/>
      <w:jc w:val="center"/>
    </w:pPr>
    <w:rPr>
      <w:rFonts w:ascii="Calibri" w:hAnsi="Calibri" w:eastAsia="宋体" w:cs="Times New Roman"/>
      <w:kern w:val="2"/>
      <w:sz w:val="21"/>
      <w:szCs w:val="18"/>
      <w:lang w:val="en-US" w:eastAsia="zh-CN" w:bidi="ar-SA"/>
    </w:rPr>
  </w:style>
  <w:style w:type="character" w:customStyle="1" w:styleId="92">
    <w:name w:val="表格标题 Char"/>
    <w:link w:val="93"/>
    <w:autoRedefine/>
    <w:qFormat/>
    <w:locked/>
    <w:uiPriority w:val="0"/>
    <w:rPr>
      <w:rFonts w:ascii="黑体" w:hAnsi="黑体" w:eastAsia="黑体"/>
      <w:sz w:val="24"/>
      <w:szCs w:val="21"/>
    </w:rPr>
  </w:style>
  <w:style w:type="paragraph" w:customStyle="1" w:styleId="93">
    <w:name w:val="表格标题"/>
    <w:basedOn w:val="15"/>
    <w:link w:val="92"/>
    <w:autoRedefine/>
    <w:qFormat/>
    <w:uiPriority w:val="0"/>
    <w:pPr>
      <w:adjustRightInd w:val="0"/>
      <w:snapToGrid w:val="0"/>
      <w:spacing w:after="0" w:line="360" w:lineRule="auto"/>
      <w:ind w:firstLine="0" w:firstLineChars="0"/>
      <w:jc w:val="left"/>
    </w:pPr>
    <w:rPr>
      <w:rFonts w:ascii="黑体" w:hAnsi="黑体" w:eastAsia="黑体"/>
      <w:kern w:val="0"/>
      <w:sz w:val="24"/>
      <w:szCs w:val="21"/>
    </w:rPr>
  </w:style>
  <w:style w:type="character" w:customStyle="1" w:styleId="94">
    <w:name w:val="样式 样式 首行缩进:  1 字符 + 首行缩进:  2 字符1 Char"/>
    <w:link w:val="95"/>
    <w:autoRedefine/>
    <w:qFormat/>
    <w:locked/>
    <w:uiPriority w:val="0"/>
    <w:rPr>
      <w:sz w:val="24"/>
    </w:rPr>
  </w:style>
  <w:style w:type="paragraph" w:customStyle="1" w:styleId="95">
    <w:name w:val="样式 样式 首行缩进:  1 字符 + 首行缩进:  2 字符1"/>
    <w:basedOn w:val="1"/>
    <w:link w:val="94"/>
    <w:autoRedefine/>
    <w:qFormat/>
    <w:uiPriority w:val="0"/>
    <w:pPr>
      <w:spacing w:line="360" w:lineRule="auto"/>
      <w:ind w:firstLine="200" w:firstLineChars="200"/>
    </w:pPr>
    <w:rPr>
      <w:kern w:val="0"/>
      <w:sz w:val="24"/>
      <w:szCs w:val="20"/>
    </w:rPr>
  </w:style>
  <w:style w:type="character" w:customStyle="1" w:styleId="96">
    <w:name w:val="Body text (2)_"/>
    <w:link w:val="97"/>
    <w:autoRedefine/>
    <w:qFormat/>
    <w:locked/>
    <w:uiPriority w:val="0"/>
    <w:rPr>
      <w:sz w:val="26"/>
      <w:szCs w:val="26"/>
      <w:shd w:val="clear" w:color="auto" w:fill="FFFFFF"/>
    </w:rPr>
  </w:style>
  <w:style w:type="paragraph" w:customStyle="1" w:styleId="97">
    <w:name w:val="Body text (2)"/>
    <w:basedOn w:val="1"/>
    <w:link w:val="96"/>
    <w:autoRedefine/>
    <w:qFormat/>
    <w:uiPriority w:val="0"/>
    <w:pPr>
      <w:shd w:val="clear" w:color="auto" w:fill="FFFFFF"/>
      <w:spacing w:line="503" w:lineRule="exact"/>
      <w:jc w:val="distribute"/>
    </w:pPr>
    <w:rPr>
      <w:kern w:val="0"/>
      <w:sz w:val="26"/>
      <w:szCs w:val="26"/>
    </w:rPr>
  </w:style>
  <w:style w:type="character" w:customStyle="1" w:styleId="98">
    <w:name w:val="Body text (14)_"/>
    <w:link w:val="99"/>
    <w:autoRedefine/>
    <w:qFormat/>
    <w:locked/>
    <w:uiPriority w:val="0"/>
    <w:rPr>
      <w:rFonts w:ascii="宋体" w:hAnsi="宋体" w:eastAsia="宋体"/>
      <w:b/>
      <w:bCs/>
      <w:shd w:val="clear" w:color="auto" w:fill="FFFFFF"/>
    </w:rPr>
  </w:style>
  <w:style w:type="paragraph" w:customStyle="1" w:styleId="99">
    <w:name w:val="Body text (14)1"/>
    <w:basedOn w:val="1"/>
    <w:link w:val="98"/>
    <w:autoRedefine/>
    <w:qFormat/>
    <w:uiPriority w:val="0"/>
    <w:pPr>
      <w:shd w:val="clear" w:color="auto" w:fill="FFFFFF"/>
      <w:spacing w:before="600" w:line="240" w:lineRule="atLeast"/>
      <w:ind w:hanging="740"/>
      <w:jc w:val="left"/>
    </w:pPr>
    <w:rPr>
      <w:rFonts w:ascii="宋体" w:hAnsi="宋体"/>
      <w:b/>
      <w:bCs/>
      <w:kern w:val="0"/>
      <w:sz w:val="20"/>
      <w:szCs w:val="20"/>
    </w:rPr>
  </w:style>
  <w:style w:type="character" w:customStyle="1" w:styleId="100">
    <w:name w:val="Table caption (6)_"/>
    <w:link w:val="101"/>
    <w:autoRedefine/>
    <w:qFormat/>
    <w:locked/>
    <w:uiPriority w:val="0"/>
    <w:rPr>
      <w:rFonts w:ascii="宋体" w:hAnsi="宋体" w:eastAsia="宋体"/>
      <w:b/>
      <w:bCs/>
      <w:shd w:val="clear" w:color="auto" w:fill="FFFFFF"/>
    </w:rPr>
  </w:style>
  <w:style w:type="paragraph" w:customStyle="1" w:styleId="101">
    <w:name w:val="Table caption (6)1"/>
    <w:basedOn w:val="1"/>
    <w:link w:val="100"/>
    <w:autoRedefine/>
    <w:qFormat/>
    <w:uiPriority w:val="0"/>
    <w:pPr>
      <w:shd w:val="clear" w:color="auto" w:fill="FFFFFF"/>
      <w:spacing w:line="274" w:lineRule="exact"/>
      <w:jc w:val="left"/>
    </w:pPr>
    <w:rPr>
      <w:rFonts w:ascii="宋体" w:hAnsi="宋体"/>
      <w:b/>
      <w:bCs/>
      <w:kern w:val="0"/>
      <w:sz w:val="20"/>
      <w:szCs w:val="20"/>
    </w:rPr>
  </w:style>
  <w:style w:type="character" w:customStyle="1" w:styleId="102">
    <w:name w:val="Body text (16)_"/>
    <w:link w:val="103"/>
    <w:autoRedefine/>
    <w:qFormat/>
    <w:locked/>
    <w:uiPriority w:val="0"/>
    <w:rPr>
      <w:rFonts w:ascii="宋体" w:hAnsi="宋体" w:eastAsia="宋体"/>
      <w:b/>
      <w:bCs/>
      <w:sz w:val="26"/>
      <w:szCs w:val="26"/>
      <w:shd w:val="clear" w:color="auto" w:fill="FFFFFF"/>
    </w:rPr>
  </w:style>
  <w:style w:type="paragraph" w:customStyle="1" w:styleId="103">
    <w:name w:val="Body text (16)1"/>
    <w:basedOn w:val="1"/>
    <w:link w:val="102"/>
    <w:autoRedefine/>
    <w:qFormat/>
    <w:uiPriority w:val="0"/>
    <w:pPr>
      <w:shd w:val="clear" w:color="auto" w:fill="FFFFFF"/>
      <w:spacing w:line="518" w:lineRule="exact"/>
      <w:ind w:hanging="1020"/>
      <w:jc w:val="distribute"/>
    </w:pPr>
    <w:rPr>
      <w:rFonts w:ascii="宋体" w:hAnsi="宋体"/>
      <w:b/>
      <w:bCs/>
      <w:kern w:val="0"/>
      <w:sz w:val="26"/>
      <w:szCs w:val="26"/>
    </w:rPr>
  </w:style>
  <w:style w:type="character" w:customStyle="1" w:styleId="104">
    <w:name w:val="Table caption_"/>
    <w:link w:val="105"/>
    <w:autoRedefine/>
    <w:qFormat/>
    <w:locked/>
    <w:uiPriority w:val="0"/>
    <w:rPr>
      <w:rFonts w:ascii="宋体" w:hAnsi="宋体" w:eastAsia="宋体"/>
      <w:sz w:val="26"/>
      <w:szCs w:val="26"/>
      <w:shd w:val="clear" w:color="auto" w:fill="FFFFFF"/>
    </w:rPr>
  </w:style>
  <w:style w:type="paragraph" w:customStyle="1" w:styleId="105">
    <w:name w:val="Table caption1"/>
    <w:basedOn w:val="1"/>
    <w:link w:val="104"/>
    <w:autoRedefine/>
    <w:qFormat/>
    <w:uiPriority w:val="0"/>
    <w:pPr>
      <w:shd w:val="clear" w:color="auto" w:fill="FFFFFF"/>
      <w:spacing w:line="509" w:lineRule="exact"/>
      <w:jc w:val="left"/>
    </w:pPr>
    <w:rPr>
      <w:rFonts w:ascii="宋体" w:hAnsi="宋体"/>
      <w:kern w:val="0"/>
      <w:sz w:val="26"/>
      <w:szCs w:val="26"/>
    </w:rPr>
  </w:style>
  <w:style w:type="character" w:customStyle="1" w:styleId="106">
    <w:name w:val="0 正文 Char"/>
    <w:link w:val="107"/>
    <w:autoRedefine/>
    <w:qFormat/>
    <w:locked/>
    <w:uiPriority w:val="0"/>
    <w:rPr>
      <w:sz w:val="24"/>
      <w:szCs w:val="24"/>
    </w:rPr>
  </w:style>
  <w:style w:type="paragraph" w:customStyle="1" w:styleId="107">
    <w:name w:val="0 正文"/>
    <w:basedOn w:val="1"/>
    <w:link w:val="106"/>
    <w:autoRedefine/>
    <w:qFormat/>
    <w:uiPriority w:val="0"/>
    <w:pPr>
      <w:spacing w:line="360" w:lineRule="auto"/>
      <w:ind w:firstLine="200" w:firstLineChars="200"/>
    </w:pPr>
    <w:rPr>
      <w:kern w:val="0"/>
      <w:sz w:val="24"/>
    </w:rPr>
  </w:style>
  <w:style w:type="character" w:customStyle="1" w:styleId="108">
    <w:name w:val="*正文 Char"/>
    <w:link w:val="109"/>
    <w:autoRedefine/>
    <w:qFormat/>
    <w:locked/>
    <w:uiPriority w:val="0"/>
    <w:rPr>
      <w:sz w:val="24"/>
      <w:szCs w:val="24"/>
    </w:rPr>
  </w:style>
  <w:style w:type="paragraph" w:customStyle="1" w:styleId="109">
    <w:name w:val="*正文"/>
    <w:basedOn w:val="1"/>
    <w:link w:val="108"/>
    <w:autoRedefine/>
    <w:qFormat/>
    <w:uiPriority w:val="0"/>
    <w:pPr>
      <w:adjustRightInd w:val="0"/>
      <w:spacing w:line="360" w:lineRule="auto"/>
      <w:ind w:firstLine="200" w:firstLineChars="200"/>
    </w:pPr>
    <w:rPr>
      <w:kern w:val="0"/>
      <w:sz w:val="24"/>
    </w:rPr>
  </w:style>
  <w:style w:type="character" w:customStyle="1" w:styleId="110">
    <w:name w:val="正文何昌泽 Char"/>
    <w:link w:val="111"/>
    <w:autoRedefine/>
    <w:qFormat/>
    <w:locked/>
    <w:uiPriority w:val="0"/>
    <w:rPr>
      <w:sz w:val="24"/>
      <w:szCs w:val="24"/>
    </w:rPr>
  </w:style>
  <w:style w:type="paragraph" w:customStyle="1" w:styleId="111">
    <w:name w:val="正文何昌泽"/>
    <w:basedOn w:val="1"/>
    <w:link w:val="110"/>
    <w:autoRedefine/>
    <w:qFormat/>
    <w:uiPriority w:val="0"/>
    <w:pPr>
      <w:adjustRightInd w:val="0"/>
      <w:snapToGrid w:val="0"/>
      <w:spacing w:line="360" w:lineRule="auto"/>
      <w:ind w:firstLine="200" w:firstLineChars="200"/>
    </w:pPr>
    <w:rPr>
      <w:kern w:val="0"/>
      <w:sz w:val="24"/>
    </w:rPr>
  </w:style>
  <w:style w:type="character" w:customStyle="1" w:styleId="112">
    <w:name w:val="Body text (3)_"/>
    <w:link w:val="113"/>
    <w:autoRedefine/>
    <w:qFormat/>
    <w:locked/>
    <w:uiPriority w:val="0"/>
    <w:rPr>
      <w:rFonts w:ascii="宋体" w:hAnsi="宋体" w:eastAsia="宋体"/>
      <w:sz w:val="26"/>
      <w:szCs w:val="26"/>
      <w:shd w:val="clear" w:color="auto" w:fill="FFFFFF"/>
    </w:rPr>
  </w:style>
  <w:style w:type="paragraph" w:customStyle="1" w:styleId="113">
    <w:name w:val="Body text (3)"/>
    <w:basedOn w:val="1"/>
    <w:link w:val="112"/>
    <w:autoRedefine/>
    <w:qFormat/>
    <w:uiPriority w:val="0"/>
    <w:pPr>
      <w:shd w:val="clear" w:color="auto" w:fill="FFFFFF"/>
      <w:spacing w:line="503" w:lineRule="exact"/>
      <w:jc w:val="left"/>
    </w:pPr>
    <w:rPr>
      <w:rFonts w:ascii="宋体" w:hAnsi="宋体"/>
      <w:kern w:val="0"/>
      <w:sz w:val="26"/>
      <w:szCs w:val="26"/>
    </w:rPr>
  </w:style>
  <w:style w:type="character" w:customStyle="1" w:styleId="114">
    <w:name w:val="Body text (4)_"/>
    <w:link w:val="115"/>
    <w:autoRedefine/>
    <w:qFormat/>
    <w:locked/>
    <w:uiPriority w:val="0"/>
    <w:rPr>
      <w:rFonts w:ascii="宋体" w:hAnsi="宋体" w:eastAsia="宋体"/>
      <w:shd w:val="clear" w:color="auto" w:fill="FFFFFF"/>
    </w:rPr>
  </w:style>
  <w:style w:type="paragraph" w:customStyle="1" w:styleId="115">
    <w:name w:val="Body text (4)1"/>
    <w:basedOn w:val="1"/>
    <w:link w:val="114"/>
    <w:autoRedefine/>
    <w:qFormat/>
    <w:uiPriority w:val="0"/>
    <w:pPr>
      <w:shd w:val="clear" w:color="auto" w:fill="FFFFFF"/>
      <w:spacing w:line="503" w:lineRule="exact"/>
      <w:jc w:val="distribute"/>
    </w:pPr>
    <w:rPr>
      <w:rFonts w:ascii="宋体" w:hAnsi="宋体"/>
      <w:kern w:val="0"/>
      <w:sz w:val="20"/>
      <w:szCs w:val="20"/>
    </w:rPr>
  </w:style>
  <w:style w:type="character" w:customStyle="1" w:styleId="116">
    <w:name w:val="Heading #1_"/>
    <w:link w:val="117"/>
    <w:autoRedefine/>
    <w:qFormat/>
    <w:locked/>
    <w:uiPriority w:val="0"/>
    <w:rPr>
      <w:rFonts w:ascii="宋体" w:hAnsi="宋体" w:eastAsia="宋体"/>
      <w:spacing w:val="-10"/>
      <w:sz w:val="34"/>
      <w:szCs w:val="34"/>
      <w:shd w:val="clear" w:color="auto" w:fill="FFFFFF"/>
    </w:rPr>
  </w:style>
  <w:style w:type="paragraph" w:customStyle="1" w:styleId="117">
    <w:name w:val="Heading #1"/>
    <w:basedOn w:val="1"/>
    <w:link w:val="116"/>
    <w:autoRedefine/>
    <w:qFormat/>
    <w:uiPriority w:val="0"/>
    <w:pPr>
      <w:shd w:val="clear" w:color="auto" w:fill="FFFFFF"/>
      <w:spacing w:before="240" w:after="240" w:line="240" w:lineRule="atLeast"/>
      <w:jc w:val="left"/>
      <w:outlineLvl w:val="0"/>
    </w:pPr>
    <w:rPr>
      <w:rFonts w:ascii="宋体" w:hAnsi="宋体"/>
      <w:spacing w:val="-10"/>
      <w:kern w:val="0"/>
      <w:sz w:val="34"/>
      <w:szCs w:val="34"/>
    </w:rPr>
  </w:style>
  <w:style w:type="character" w:customStyle="1" w:styleId="118">
    <w:name w:val="Body text (8)_"/>
    <w:link w:val="119"/>
    <w:autoRedefine/>
    <w:qFormat/>
    <w:locked/>
    <w:uiPriority w:val="0"/>
    <w:rPr>
      <w:rFonts w:ascii="宋体" w:hAnsi="宋体" w:eastAsia="宋体"/>
      <w:spacing w:val="-10"/>
      <w:sz w:val="26"/>
      <w:szCs w:val="26"/>
      <w:shd w:val="clear" w:color="auto" w:fill="FFFFFF"/>
    </w:rPr>
  </w:style>
  <w:style w:type="paragraph" w:customStyle="1" w:styleId="119">
    <w:name w:val="Body text (8)"/>
    <w:basedOn w:val="1"/>
    <w:link w:val="118"/>
    <w:autoRedefine/>
    <w:qFormat/>
    <w:uiPriority w:val="0"/>
    <w:pPr>
      <w:shd w:val="clear" w:color="auto" w:fill="FFFFFF"/>
      <w:spacing w:before="180" w:line="503" w:lineRule="exact"/>
      <w:ind w:firstLine="580"/>
      <w:jc w:val="left"/>
    </w:pPr>
    <w:rPr>
      <w:rFonts w:ascii="宋体" w:hAnsi="宋体"/>
      <w:spacing w:val="-10"/>
      <w:kern w:val="0"/>
      <w:sz w:val="26"/>
      <w:szCs w:val="26"/>
    </w:rPr>
  </w:style>
  <w:style w:type="character" w:customStyle="1" w:styleId="120">
    <w:name w:val="Body text (6)_"/>
    <w:link w:val="121"/>
    <w:autoRedefine/>
    <w:qFormat/>
    <w:locked/>
    <w:uiPriority w:val="0"/>
    <w:rPr>
      <w:rFonts w:ascii="宋体" w:hAnsi="宋体" w:eastAsia="宋体"/>
      <w:shd w:val="clear" w:color="auto" w:fill="FFFFFF"/>
    </w:rPr>
  </w:style>
  <w:style w:type="paragraph" w:customStyle="1" w:styleId="121">
    <w:name w:val="Body text (6)1"/>
    <w:basedOn w:val="1"/>
    <w:link w:val="120"/>
    <w:autoRedefine/>
    <w:qFormat/>
    <w:uiPriority w:val="0"/>
    <w:pPr>
      <w:shd w:val="clear" w:color="auto" w:fill="FFFFFF"/>
      <w:spacing w:line="503" w:lineRule="exact"/>
      <w:ind w:firstLine="540"/>
      <w:jc w:val="distribute"/>
    </w:pPr>
    <w:rPr>
      <w:rFonts w:ascii="宋体" w:hAnsi="宋体"/>
      <w:kern w:val="0"/>
      <w:sz w:val="20"/>
      <w:szCs w:val="20"/>
    </w:rPr>
  </w:style>
  <w:style w:type="character" w:customStyle="1" w:styleId="122">
    <w:name w:val="表内lcc Char"/>
    <w:link w:val="123"/>
    <w:autoRedefine/>
    <w:qFormat/>
    <w:locked/>
    <w:uiPriority w:val="0"/>
    <w:rPr>
      <w:iCs/>
      <w:color w:val="000000"/>
      <w:szCs w:val="21"/>
    </w:rPr>
  </w:style>
  <w:style w:type="paragraph" w:customStyle="1" w:styleId="123">
    <w:name w:val="表内lcc"/>
    <w:basedOn w:val="1"/>
    <w:link w:val="122"/>
    <w:autoRedefine/>
    <w:qFormat/>
    <w:uiPriority w:val="0"/>
    <w:pPr>
      <w:adjustRightInd w:val="0"/>
      <w:jc w:val="center"/>
    </w:pPr>
    <w:rPr>
      <w:iCs/>
      <w:color w:val="000000"/>
      <w:kern w:val="0"/>
      <w:sz w:val="20"/>
      <w:szCs w:val="21"/>
    </w:rPr>
  </w:style>
  <w:style w:type="character" w:customStyle="1" w:styleId="124">
    <w:name w:val="表头-lcc Char"/>
    <w:link w:val="125"/>
    <w:autoRedefine/>
    <w:qFormat/>
    <w:locked/>
    <w:uiPriority w:val="0"/>
    <w:rPr>
      <w:b/>
      <w:szCs w:val="21"/>
    </w:rPr>
  </w:style>
  <w:style w:type="paragraph" w:customStyle="1" w:styleId="125">
    <w:name w:val="表头-lcc"/>
    <w:basedOn w:val="1"/>
    <w:link w:val="124"/>
    <w:autoRedefine/>
    <w:qFormat/>
    <w:uiPriority w:val="0"/>
    <w:pPr>
      <w:jc w:val="center"/>
    </w:pPr>
    <w:rPr>
      <w:b/>
      <w:kern w:val="0"/>
      <w:sz w:val="20"/>
      <w:szCs w:val="21"/>
    </w:rPr>
  </w:style>
  <w:style w:type="character" w:customStyle="1" w:styleId="126">
    <w:name w:val="新格式表 Char"/>
    <w:link w:val="127"/>
    <w:autoRedefine/>
    <w:qFormat/>
    <w:locked/>
    <w:uiPriority w:val="0"/>
    <w:rPr>
      <w:rFonts w:ascii="宋体" w:hAnsi="宋体" w:eastAsia="宋体"/>
      <w:snapToGrid w:val="0"/>
      <w:color w:val="000000"/>
      <w:szCs w:val="21"/>
    </w:rPr>
  </w:style>
  <w:style w:type="paragraph" w:customStyle="1" w:styleId="127">
    <w:name w:val="新格式表"/>
    <w:basedOn w:val="1"/>
    <w:link w:val="126"/>
    <w:autoRedefine/>
    <w:qFormat/>
    <w:uiPriority w:val="0"/>
    <w:pPr>
      <w:snapToGrid w:val="0"/>
      <w:spacing w:line="360" w:lineRule="exact"/>
      <w:jc w:val="center"/>
    </w:pPr>
    <w:rPr>
      <w:rFonts w:ascii="宋体" w:hAnsi="宋体"/>
      <w:snapToGrid w:val="0"/>
      <w:color w:val="000000"/>
      <w:kern w:val="0"/>
      <w:sz w:val="20"/>
      <w:szCs w:val="21"/>
    </w:rPr>
  </w:style>
  <w:style w:type="character" w:customStyle="1" w:styleId="128">
    <w:name w:val="正文 Char"/>
    <w:link w:val="129"/>
    <w:autoRedefine/>
    <w:qFormat/>
    <w:locked/>
    <w:uiPriority w:val="0"/>
    <w:rPr>
      <w:rFonts w:ascii="宋体" w:hAnsi="宋体"/>
      <w:sz w:val="24"/>
    </w:rPr>
  </w:style>
  <w:style w:type="paragraph" w:customStyle="1" w:styleId="129">
    <w:name w:val="正文3"/>
    <w:basedOn w:val="1"/>
    <w:next w:val="1"/>
    <w:link w:val="128"/>
    <w:autoRedefine/>
    <w:qFormat/>
    <w:uiPriority w:val="0"/>
    <w:pPr>
      <w:spacing w:line="529" w:lineRule="exact"/>
      <w:ind w:firstLine="200" w:firstLineChars="200"/>
    </w:pPr>
    <w:rPr>
      <w:rFonts w:ascii="宋体" w:hAnsi="宋体"/>
      <w:kern w:val="0"/>
      <w:sz w:val="24"/>
      <w:szCs w:val="20"/>
    </w:rPr>
  </w:style>
  <w:style w:type="character" w:customStyle="1" w:styleId="130">
    <w:name w:val="正文首行缩进 2 字符"/>
    <w:link w:val="131"/>
    <w:autoRedefine/>
    <w:qFormat/>
    <w:locked/>
    <w:uiPriority w:val="0"/>
  </w:style>
  <w:style w:type="paragraph" w:customStyle="1" w:styleId="131">
    <w:name w:val="列出段落3"/>
    <w:basedOn w:val="1"/>
    <w:next w:val="132"/>
    <w:link w:val="130"/>
    <w:autoRedefine/>
    <w:qFormat/>
    <w:uiPriority w:val="0"/>
    <w:pPr>
      <w:ind w:firstLine="420" w:firstLineChars="200"/>
    </w:pPr>
    <w:rPr>
      <w:rFonts w:ascii="Calibri" w:hAnsi="Calibri" w:eastAsia="宋体" w:cs="Times New Roman"/>
      <w:szCs w:val="22"/>
    </w:rPr>
  </w:style>
  <w:style w:type="paragraph" w:styleId="132">
    <w:name w:val="List Paragraph"/>
    <w:basedOn w:val="1"/>
    <w:autoRedefine/>
    <w:qFormat/>
    <w:uiPriority w:val="34"/>
    <w:pPr>
      <w:ind w:firstLine="420" w:firstLineChars="200"/>
    </w:pPr>
    <w:rPr>
      <w:rFonts w:ascii="Calibri" w:hAnsi="Calibri" w:eastAsia="宋体" w:cs="Times New Roman"/>
      <w:szCs w:val="22"/>
    </w:rPr>
  </w:style>
  <w:style w:type="character" w:customStyle="1" w:styleId="133">
    <w:name w:val="正文（海诚） Char"/>
    <w:link w:val="134"/>
    <w:autoRedefine/>
    <w:qFormat/>
    <w:locked/>
    <w:uiPriority w:val="0"/>
    <w:rPr>
      <w:rFonts w:ascii="仿宋_GB2312" w:eastAsia="仿宋_GB2312"/>
      <w:sz w:val="28"/>
    </w:rPr>
  </w:style>
  <w:style w:type="paragraph" w:customStyle="1" w:styleId="134">
    <w:name w:val="正文（海诚）"/>
    <w:basedOn w:val="1"/>
    <w:link w:val="133"/>
    <w:autoRedefine/>
    <w:qFormat/>
    <w:uiPriority w:val="0"/>
    <w:pPr>
      <w:spacing w:line="520" w:lineRule="exact"/>
      <w:ind w:firstLine="560" w:firstLineChars="200"/>
    </w:pPr>
    <w:rPr>
      <w:rFonts w:ascii="仿宋_GB2312" w:eastAsia="仿宋_GB2312"/>
      <w:kern w:val="0"/>
      <w:sz w:val="28"/>
      <w:szCs w:val="20"/>
    </w:rPr>
  </w:style>
  <w:style w:type="character" w:customStyle="1" w:styleId="135">
    <w:name w:val="Body text (4)"/>
    <w:basedOn w:val="114"/>
    <w:autoRedefine/>
    <w:qFormat/>
    <w:uiPriority w:val="0"/>
    <w:rPr>
      <w:rFonts w:ascii="宋体" w:hAnsi="宋体" w:eastAsia="宋体"/>
      <w:shd w:val="clear" w:color="auto" w:fill="FFFFFF"/>
    </w:rPr>
  </w:style>
  <w:style w:type="character" w:customStyle="1" w:styleId="136">
    <w:name w:val="Body text (6)"/>
    <w:basedOn w:val="120"/>
    <w:autoRedefine/>
    <w:qFormat/>
    <w:uiPriority w:val="0"/>
    <w:rPr>
      <w:rFonts w:ascii="宋体" w:hAnsi="宋体" w:eastAsia="宋体"/>
      <w:shd w:val="clear" w:color="auto" w:fill="FFFFFF"/>
    </w:rPr>
  </w:style>
  <w:style w:type="paragraph" w:customStyle="1" w:styleId="137">
    <w:name w:val="正文4"/>
    <w:autoRedefine/>
    <w:qFormat/>
    <w:uiPriority w:val="0"/>
    <w:pPr>
      <w:jc w:val="both"/>
    </w:pPr>
    <w:rPr>
      <w:rFonts w:ascii="Times New Roman" w:hAnsi="Times New Roman" w:eastAsia="宋体" w:cs="Times New Roman"/>
      <w:kern w:val="2"/>
      <w:sz w:val="21"/>
      <w:szCs w:val="21"/>
      <w:lang w:val="en-US" w:eastAsia="zh-CN" w:bidi="ar-SA"/>
    </w:rPr>
  </w:style>
  <w:style w:type="paragraph" w:styleId="138">
    <w:name w:val="No Spacing"/>
    <w:autoRedefine/>
    <w:qFormat/>
    <w:uiPriority w:val="99"/>
    <w:pPr>
      <w:widowControl w:val="0"/>
      <w:jc w:val="both"/>
    </w:pPr>
    <w:rPr>
      <w:rFonts w:ascii="Times New Roman" w:hAnsi="Times New Roman" w:eastAsia="宋体" w:cs="Times New Roman"/>
      <w:kern w:val="2"/>
      <w:sz w:val="24"/>
      <w:lang w:val="en-US" w:eastAsia="zh-CN" w:bidi="ar-SA"/>
    </w:rPr>
  </w:style>
  <w:style w:type="character" w:customStyle="1" w:styleId="139">
    <w:name w:val="font01"/>
    <w:basedOn w:val="39"/>
    <w:autoRedefine/>
    <w:qFormat/>
    <w:uiPriority w:val="0"/>
    <w:rPr>
      <w:rFonts w:hint="eastAsia" w:ascii="宋体" w:hAnsi="宋体" w:eastAsia="宋体"/>
      <w:color w:val="000000"/>
      <w:sz w:val="20"/>
      <w:szCs w:val="20"/>
      <w:u w:val="none"/>
    </w:rPr>
  </w:style>
  <w:style w:type="paragraph" w:customStyle="1" w:styleId="140">
    <w:name w:val="正文5"/>
    <w:autoRedefine/>
    <w:qFormat/>
    <w:uiPriority w:val="99"/>
    <w:pPr>
      <w:jc w:val="both"/>
    </w:pPr>
    <w:rPr>
      <w:rFonts w:ascii="Times New Roman" w:hAnsi="Times New Roman" w:eastAsia="宋体" w:cs="Times New Roman"/>
      <w:kern w:val="2"/>
      <w:sz w:val="21"/>
      <w:szCs w:val="21"/>
      <w:lang w:val="en-US" w:eastAsia="zh-CN" w:bidi="ar-SA"/>
    </w:rPr>
  </w:style>
  <w:style w:type="character" w:customStyle="1" w:styleId="141">
    <w:name w:val="15"/>
    <w:basedOn w:val="39"/>
    <w:autoRedefine/>
    <w:qFormat/>
    <w:uiPriority w:val="0"/>
    <w:rPr>
      <w:b/>
      <w:bCs/>
      <w:kern w:val="44"/>
      <w:sz w:val="30"/>
      <w:szCs w:val="30"/>
    </w:rPr>
  </w:style>
  <w:style w:type="paragraph" w:customStyle="1" w:styleId="142">
    <w:name w:val="图标标题"/>
    <w:basedOn w:val="1"/>
    <w:autoRedefine/>
    <w:qFormat/>
    <w:uiPriority w:val="0"/>
    <w:pPr>
      <w:spacing w:beforeLines="30" w:after="100" w:afterAutospacing="1"/>
      <w:jc w:val="center"/>
    </w:pPr>
    <w:rPr>
      <w:rFonts w:eastAsia="黑体"/>
      <w:b/>
      <w:bCs/>
      <w:szCs w:val="21"/>
    </w:rPr>
  </w:style>
  <w:style w:type="paragraph" w:customStyle="1" w:styleId="143">
    <w:name w:val="样式 表格样式"/>
    <w:basedOn w:val="1"/>
    <w:autoRedefine/>
    <w:qFormat/>
    <w:uiPriority w:val="0"/>
    <w:pPr>
      <w:snapToGrid w:val="0"/>
      <w:spacing w:line="240" w:lineRule="atLeast"/>
      <w:ind w:firstLine="200" w:firstLineChars="200"/>
    </w:pPr>
    <w:rPr>
      <w:rFonts w:cs="宋体"/>
      <w:sz w:val="24"/>
    </w:rPr>
  </w:style>
  <w:style w:type="paragraph" w:customStyle="1" w:styleId="144">
    <w:name w:val="0正文"/>
    <w:basedOn w:val="1"/>
    <w:link w:val="145"/>
    <w:autoRedefine/>
    <w:qFormat/>
    <w:uiPriority w:val="0"/>
    <w:pPr>
      <w:spacing w:line="360" w:lineRule="auto"/>
      <w:ind w:firstLine="200" w:firstLineChars="200"/>
    </w:pPr>
    <w:rPr>
      <w:rFonts w:ascii="Calibri" w:hAnsi="Calibri"/>
      <w:kern w:val="0"/>
      <w:sz w:val="24"/>
    </w:rPr>
  </w:style>
  <w:style w:type="character" w:customStyle="1" w:styleId="145">
    <w:name w:val="0正文 Char"/>
    <w:link w:val="144"/>
    <w:autoRedefine/>
    <w:qFormat/>
    <w:uiPriority w:val="0"/>
    <w:rPr>
      <w:rFonts w:ascii="Calibri" w:hAnsi="Calibri" w:eastAsia="宋体" w:cs="Calibri"/>
      <w:sz w:val="24"/>
      <w:szCs w:val="24"/>
    </w:rPr>
  </w:style>
  <w:style w:type="paragraph" w:customStyle="1" w:styleId="146">
    <w:name w:val="ZN表"/>
    <w:basedOn w:val="1"/>
    <w:autoRedefine/>
    <w:qFormat/>
    <w:uiPriority w:val="0"/>
    <w:pPr>
      <w:jc w:val="center"/>
    </w:pPr>
    <w:rPr>
      <w:szCs w:val="21"/>
    </w:rPr>
  </w:style>
  <w:style w:type="paragraph" w:customStyle="1" w:styleId="147">
    <w:name w:val="表头"/>
    <w:basedOn w:val="13"/>
    <w:next w:val="1"/>
    <w:autoRedefine/>
    <w:qFormat/>
    <w:uiPriority w:val="0"/>
    <w:pPr>
      <w:adjustRightInd w:val="0"/>
      <w:snapToGrid w:val="0"/>
      <w:jc w:val="center"/>
    </w:pPr>
    <w:rPr>
      <w:b/>
      <w:bCs/>
      <w:kern w:val="0"/>
      <w:sz w:val="24"/>
    </w:rPr>
  </w:style>
  <w:style w:type="paragraph" w:customStyle="1" w:styleId="148">
    <w:name w:val="ZN表头"/>
    <w:basedOn w:val="1"/>
    <w:autoRedefine/>
    <w:qFormat/>
    <w:uiPriority w:val="0"/>
    <w:pPr>
      <w:spacing w:beforeLines="30" w:after="100" w:afterAutospacing="1"/>
      <w:jc w:val="center"/>
    </w:pPr>
    <w:rPr>
      <w:b/>
      <w:bCs/>
      <w:sz w:val="24"/>
    </w:rPr>
  </w:style>
  <w:style w:type="paragraph" w:customStyle="1" w:styleId="149">
    <w:name w:val="ZN  正文"/>
    <w:basedOn w:val="1"/>
    <w:autoRedefine/>
    <w:qFormat/>
    <w:uiPriority w:val="0"/>
    <w:pPr>
      <w:spacing w:line="360" w:lineRule="auto"/>
      <w:ind w:firstLine="200" w:firstLineChars="200"/>
    </w:pPr>
    <w:rPr>
      <w:sz w:val="24"/>
    </w:rPr>
  </w:style>
  <w:style w:type="character" w:customStyle="1" w:styleId="150">
    <w:name w:val="16"/>
    <w:basedOn w:val="39"/>
    <w:autoRedefine/>
    <w:qFormat/>
    <w:uiPriority w:val="0"/>
    <w:rPr>
      <w:rFonts w:hint="eastAsia" w:ascii="宋体" w:hAnsi="宋体" w:eastAsia="宋体"/>
      <w:b/>
      <w:bCs/>
      <w:sz w:val="22"/>
      <w:szCs w:val="22"/>
    </w:rPr>
  </w:style>
  <w:style w:type="paragraph" w:customStyle="1" w:styleId="151">
    <w:name w:val="报告表格"/>
    <w:basedOn w:val="1"/>
    <w:autoRedefine/>
    <w:qFormat/>
    <w:uiPriority w:val="0"/>
    <w:pPr>
      <w:autoSpaceDE w:val="0"/>
      <w:autoSpaceDN w:val="0"/>
      <w:adjustRightInd w:val="0"/>
      <w:jc w:val="center"/>
    </w:pPr>
    <w:rPr>
      <w:kern w:val="0"/>
      <w:szCs w:val="21"/>
    </w:rPr>
  </w:style>
  <w:style w:type="character" w:customStyle="1" w:styleId="152">
    <w:name w:val="17"/>
    <w:basedOn w:val="39"/>
    <w:autoRedefine/>
    <w:qFormat/>
    <w:uiPriority w:val="0"/>
    <w:rPr>
      <w:rFonts w:hint="eastAsia" w:ascii="宋体" w:hAnsi="宋体" w:eastAsia="宋体"/>
      <w:color w:val="000000"/>
      <w:sz w:val="24"/>
      <w:szCs w:val="24"/>
    </w:rPr>
  </w:style>
  <w:style w:type="character" w:customStyle="1" w:styleId="153">
    <w:name w:val="页眉 Char1"/>
    <w:autoRedefine/>
    <w:qFormat/>
    <w:locked/>
    <w:uiPriority w:val="99"/>
    <w:rPr>
      <w:kern w:val="2"/>
      <w:sz w:val="18"/>
      <w:szCs w:val="18"/>
    </w:rPr>
  </w:style>
  <w:style w:type="paragraph" w:customStyle="1" w:styleId="154">
    <w:name w:val="p0"/>
    <w:basedOn w:val="1"/>
    <w:autoRedefine/>
    <w:qFormat/>
    <w:uiPriority w:val="0"/>
    <w:pPr>
      <w:widowControl/>
    </w:pPr>
    <w:rPr>
      <w:kern w:val="0"/>
      <w:szCs w:val="21"/>
    </w:rPr>
  </w:style>
  <w:style w:type="character" w:customStyle="1" w:styleId="155">
    <w:name w:val="图表 Char"/>
    <w:link w:val="156"/>
    <w:autoRedefine/>
    <w:qFormat/>
    <w:locked/>
    <w:uiPriority w:val="0"/>
    <w:rPr>
      <w:szCs w:val="24"/>
    </w:rPr>
  </w:style>
  <w:style w:type="paragraph" w:customStyle="1" w:styleId="156">
    <w:name w:val="图表"/>
    <w:basedOn w:val="1"/>
    <w:link w:val="155"/>
    <w:autoRedefine/>
    <w:qFormat/>
    <w:uiPriority w:val="0"/>
    <w:pPr>
      <w:autoSpaceDE w:val="0"/>
      <w:autoSpaceDN w:val="0"/>
      <w:adjustRightInd w:val="0"/>
      <w:snapToGrid w:val="0"/>
      <w:jc w:val="center"/>
    </w:pPr>
    <w:rPr>
      <w:kern w:val="0"/>
      <w:sz w:val="20"/>
    </w:rPr>
  </w:style>
  <w:style w:type="paragraph" w:customStyle="1" w:styleId="157">
    <w:name w:val="表1表2"/>
    <w:basedOn w:val="1"/>
    <w:autoRedefine/>
    <w:qFormat/>
    <w:uiPriority w:val="99"/>
    <w:pPr>
      <w:autoSpaceDE w:val="0"/>
      <w:autoSpaceDN w:val="0"/>
      <w:adjustRightInd w:val="0"/>
      <w:spacing w:line="360" w:lineRule="auto"/>
      <w:jc w:val="center"/>
      <w:textAlignment w:val="center"/>
    </w:pPr>
    <w:rPr>
      <w:rFonts w:ascii="Calibri" w:hAnsi="Calibri" w:eastAsia="仿宋体"/>
      <w:kern w:val="0"/>
      <w:sz w:val="24"/>
    </w:rPr>
  </w:style>
  <w:style w:type="character" w:customStyle="1" w:styleId="158">
    <w:name w:val="正文文本 (2) + Georgia20"/>
    <w:autoRedefine/>
    <w:qFormat/>
    <w:uiPriority w:val="0"/>
    <w:rPr>
      <w:rFonts w:ascii="Georgia" w:hAnsi="Georgia" w:cs="Georgia"/>
      <w:sz w:val="19"/>
      <w:szCs w:val="19"/>
      <w:u w:val="none"/>
      <w:lang w:val="en-US" w:eastAsia="en-US" w:bidi="ar-SA"/>
    </w:rPr>
  </w:style>
  <w:style w:type="character" w:customStyle="1" w:styleId="159">
    <w:name w:val="正文文本 (2) + 10.5 pt9"/>
    <w:autoRedefine/>
    <w:qFormat/>
    <w:uiPriority w:val="0"/>
    <w:rPr>
      <w:rFonts w:ascii="宋体" w:hAnsi="宋体" w:cs="宋体"/>
      <w:sz w:val="21"/>
      <w:szCs w:val="21"/>
      <w:u w:val="none"/>
      <w:lang w:bidi="ar-SA"/>
    </w:rPr>
  </w:style>
  <w:style w:type="paragraph" w:customStyle="1" w:styleId="160">
    <w:name w:val="表格填充1"/>
    <w:basedOn w:val="1"/>
    <w:autoRedefine/>
    <w:qFormat/>
    <w:uiPriority w:val="0"/>
    <w:pPr>
      <w:adjustRightInd w:val="0"/>
      <w:snapToGrid w:val="0"/>
      <w:spacing w:line="400" w:lineRule="exact"/>
      <w:jc w:val="center"/>
    </w:pPr>
    <w:rPr>
      <w:rFonts w:ascii="Calibri" w:hAnsi="Calibri"/>
      <w:kern w:val="0"/>
      <w:szCs w:val="18"/>
    </w:rPr>
  </w:style>
  <w:style w:type="paragraph" w:customStyle="1" w:styleId="161">
    <w:name w:val="Table Paragraph"/>
    <w:basedOn w:val="1"/>
    <w:autoRedefine/>
    <w:qFormat/>
    <w:uiPriority w:val="0"/>
    <w:pPr>
      <w:widowControl/>
      <w:adjustRightInd w:val="0"/>
      <w:snapToGrid w:val="0"/>
      <w:spacing w:line="360" w:lineRule="auto"/>
      <w:ind w:firstLine="640" w:firstLineChars="200"/>
      <w:jc w:val="left"/>
    </w:pPr>
    <w:rPr>
      <w:rFonts w:cs="宋体"/>
      <w:kern w:val="0"/>
      <w:sz w:val="22"/>
      <w:szCs w:val="22"/>
    </w:rPr>
  </w:style>
  <w:style w:type="character" w:customStyle="1" w:styleId="162">
    <w:name w:val="Char Char11"/>
    <w:autoRedefine/>
    <w:qFormat/>
    <w:uiPriority w:val="0"/>
    <w:rPr>
      <w:rFonts w:eastAsia="宋体"/>
      <w:b/>
      <w:bCs/>
      <w:kern w:val="44"/>
      <w:sz w:val="30"/>
      <w:szCs w:val="44"/>
      <w:lang w:val="en-US" w:eastAsia="zh-CN" w:bidi="ar-SA"/>
    </w:rPr>
  </w:style>
  <w:style w:type="character" w:customStyle="1" w:styleId="163">
    <w:name w:val="正文缩进 Char2"/>
    <w:autoRedefine/>
    <w:qFormat/>
    <w:locked/>
    <w:uiPriority w:val="0"/>
    <w:rPr>
      <w:rFonts w:ascii="宋体" w:hAnsi="宋体"/>
      <w:szCs w:val="24"/>
    </w:rPr>
  </w:style>
  <w:style w:type="paragraph" w:customStyle="1" w:styleId="164">
    <w:name w:val="无间隔表格内"/>
    <w:basedOn w:val="1"/>
    <w:autoRedefine/>
    <w:qFormat/>
    <w:uiPriority w:val="0"/>
    <w:pPr>
      <w:adjustRightInd w:val="0"/>
      <w:snapToGrid w:val="0"/>
      <w:jc w:val="center"/>
    </w:pPr>
    <w:rPr>
      <w:szCs w:val="22"/>
    </w:rPr>
  </w:style>
  <w:style w:type="paragraph" w:customStyle="1" w:styleId="165">
    <w:name w:val="Char Char Char2 Char"/>
    <w:basedOn w:val="1"/>
    <w:autoRedefine/>
    <w:qFormat/>
    <w:uiPriority w:val="0"/>
    <w:pPr>
      <w:spacing w:line="360" w:lineRule="auto"/>
      <w:ind w:firstLine="200" w:firstLineChars="200"/>
    </w:pPr>
    <w:rPr>
      <w:rFonts w:ascii="宋体" w:hAnsi="宋体" w:cs="宋体"/>
      <w:sz w:val="24"/>
    </w:rPr>
  </w:style>
  <w:style w:type="character" w:customStyle="1" w:styleId="166">
    <w:name w:val="表格文 字符"/>
    <w:link w:val="167"/>
    <w:autoRedefine/>
    <w:qFormat/>
    <w:locked/>
    <w:uiPriority w:val="0"/>
    <w:rPr>
      <w:bCs/>
      <w:szCs w:val="21"/>
      <w:lang w:bidi="ar-BH"/>
    </w:rPr>
  </w:style>
  <w:style w:type="paragraph" w:customStyle="1" w:styleId="167">
    <w:name w:val="表格文"/>
    <w:basedOn w:val="1"/>
    <w:link w:val="166"/>
    <w:autoRedefine/>
    <w:qFormat/>
    <w:uiPriority w:val="0"/>
    <w:pPr>
      <w:adjustRightInd w:val="0"/>
      <w:snapToGrid w:val="0"/>
      <w:spacing w:line="360" w:lineRule="auto"/>
      <w:jc w:val="center"/>
    </w:pPr>
    <w:rPr>
      <w:bCs/>
      <w:kern w:val="0"/>
      <w:sz w:val="20"/>
      <w:szCs w:val="21"/>
      <w:lang w:bidi="ar-BH"/>
    </w:rPr>
  </w:style>
  <w:style w:type="paragraph" w:customStyle="1" w:styleId="168">
    <w:name w:val="大标题"/>
    <w:autoRedefine/>
    <w:qFormat/>
    <w:uiPriority w:val="0"/>
    <w:pPr>
      <w:widowControl w:val="0"/>
      <w:adjustRightInd w:val="0"/>
      <w:spacing w:line="360" w:lineRule="auto"/>
      <w:jc w:val="both"/>
    </w:pPr>
    <w:rPr>
      <w:rFonts w:ascii="Times New Roman" w:hAnsi="Times New Roman" w:eastAsia="宋体" w:cs="Times New Roman"/>
      <w:b/>
      <w:bCs/>
      <w:kern w:val="2"/>
      <w:sz w:val="28"/>
      <w:szCs w:val="28"/>
      <w:lang w:val="en-US" w:eastAsia="zh-CN" w:bidi="ar-SA"/>
    </w:rPr>
  </w:style>
  <w:style w:type="character" w:customStyle="1" w:styleId="169">
    <w:name w:val="fontstyle21"/>
    <w:autoRedefine/>
    <w:qFormat/>
    <w:uiPriority w:val="0"/>
    <w:rPr>
      <w:rFonts w:hint="default" w:ascii="TimesNewRomanPSMT" w:hAnsi="TimesNewRomanPSMT"/>
      <w:color w:val="000000"/>
      <w:sz w:val="24"/>
      <w:szCs w:val="24"/>
    </w:rPr>
  </w:style>
  <w:style w:type="character" w:customStyle="1" w:styleId="170">
    <w:name w:val="fontstyle01"/>
    <w:autoRedefine/>
    <w:qFormat/>
    <w:uiPriority w:val="0"/>
    <w:rPr>
      <w:rFonts w:hint="eastAsia" w:ascii="宋体" w:hAnsi="宋体" w:eastAsia="宋体"/>
      <w:color w:val="000000"/>
      <w:sz w:val="24"/>
      <w:szCs w:val="24"/>
    </w:rPr>
  </w:style>
  <w:style w:type="character" w:customStyle="1" w:styleId="171">
    <w:name w:val="fontstyle11"/>
    <w:autoRedefine/>
    <w:qFormat/>
    <w:uiPriority w:val="0"/>
    <w:rPr>
      <w:rFonts w:hint="default" w:ascii="TimesNewRomanPSMT" w:hAnsi="TimesNewRomanPSMT"/>
      <w:color w:val="000000"/>
      <w:sz w:val="24"/>
      <w:szCs w:val="24"/>
    </w:rPr>
  </w:style>
  <w:style w:type="paragraph" w:customStyle="1" w:styleId="172">
    <w:name w:val="4正文"/>
    <w:basedOn w:val="1"/>
    <w:autoRedefine/>
    <w:qFormat/>
    <w:uiPriority w:val="0"/>
    <w:pPr>
      <w:ind w:firstLine="480"/>
    </w:pPr>
    <w:rPr>
      <w:rFonts w:ascii="Calibri" w:hAnsi="Calibri" w:eastAsia="宋体" w:cs="宋体"/>
    </w:rPr>
  </w:style>
  <w:style w:type="paragraph" w:customStyle="1" w:styleId="173">
    <w:name w:val="表   头"/>
    <w:basedOn w:val="1"/>
    <w:autoRedefine/>
    <w:qFormat/>
    <w:uiPriority w:val="0"/>
    <w:pPr>
      <w:snapToGrid w:val="0"/>
      <w:spacing w:line="240" w:lineRule="auto"/>
      <w:ind w:firstLine="0" w:firstLineChars="0"/>
      <w:jc w:val="center"/>
    </w:pPr>
    <w:rPr>
      <w:b/>
    </w:rPr>
  </w:style>
  <w:style w:type="paragraph" w:customStyle="1" w:styleId="174">
    <w:name w:val="【正文】"/>
    <w:basedOn w:val="1"/>
    <w:autoRedefine/>
    <w:qFormat/>
    <w:uiPriority w:val="0"/>
    <w:pPr>
      <w:widowControl/>
      <w:spacing w:line="440" w:lineRule="exact"/>
      <w:ind w:firstLine="544"/>
      <w:jc w:val="left"/>
    </w:pPr>
    <w:rPr>
      <w:rFonts w:ascii="Times New Roman" w:hAnsi="Times New Roman" w:cs="宋体"/>
      <w:color w:val="000000"/>
    </w:rPr>
  </w:style>
  <w:style w:type="paragraph" w:customStyle="1" w:styleId="175">
    <w:name w:val="1表头"/>
    <w:autoRedefine/>
    <w:qFormat/>
    <w:uiPriority w:val="0"/>
    <w:pPr>
      <w:adjustRightInd w:val="0"/>
      <w:snapToGrid w:val="0"/>
      <w:spacing w:before="25" w:beforeLines="25" w:after="25" w:afterLines="25"/>
      <w:jc w:val="center"/>
    </w:pPr>
    <w:rPr>
      <w:rFonts w:ascii="Times New Roman" w:hAnsi="Times New Roman" w:eastAsia="宋体" w:cs="Times New Roman"/>
      <w:b/>
      <w:color w:val="0000CC"/>
      <w:sz w:val="24"/>
      <w:szCs w:val="24"/>
      <w:lang w:val="en-US" w:eastAsia="zh-CN" w:bidi="ar-SA"/>
    </w:rPr>
  </w:style>
  <w:style w:type="paragraph" w:customStyle="1" w:styleId="176">
    <w:name w:val="表 内容"/>
    <w:basedOn w:val="1"/>
    <w:autoRedefine/>
    <w:qFormat/>
    <w:uiPriority w:val="0"/>
    <w:pPr>
      <w:adjustRightInd w:val="0"/>
      <w:snapToGrid w:val="0"/>
      <w:spacing w:beforeLines="15"/>
      <w:ind w:firstLine="600"/>
      <w:jc w:val="center"/>
    </w:pPr>
    <w:rPr>
      <w:rFonts w:ascii="Times New Roman" w:hAnsi="Times New Roman"/>
      <w:b/>
      <w:szCs w:val="21"/>
    </w:rPr>
  </w:style>
  <w:style w:type="paragraph" w:customStyle="1" w:styleId="177">
    <w:name w:val="图表文字"/>
    <w:autoRedefine/>
    <w:qFormat/>
    <w:uiPriority w:val="99"/>
    <w:pPr>
      <w:widowControl w:val="0"/>
      <w:snapToGrid w:val="0"/>
      <w:jc w:val="center"/>
    </w:pPr>
    <w:rPr>
      <w:rFonts w:ascii="Times New Roman" w:hAnsi="Times New Roman" w:eastAsia="宋体" w:cs="Times New Roman"/>
      <w:kern w:val="2"/>
      <w:sz w:val="21"/>
      <w:szCs w:val="24"/>
      <w:lang w:val="en-US" w:eastAsia="zh-CN" w:bidi="ar-SA"/>
    </w:rPr>
  </w:style>
  <w:style w:type="paragraph" w:customStyle="1" w:styleId="178">
    <w:name w:val="0正文表内"/>
    <w:basedOn w:val="1"/>
    <w:next w:val="1"/>
    <w:autoRedefine/>
    <w:qFormat/>
    <w:uiPriority w:val="99"/>
  </w:style>
  <w:style w:type="paragraph" w:customStyle="1" w:styleId="179">
    <w:name w:val="表头-图名"/>
    <w:autoRedefine/>
    <w:qFormat/>
    <w:uiPriority w:val="99"/>
    <w:pPr>
      <w:autoSpaceDE w:val="0"/>
      <w:autoSpaceDN w:val="0"/>
      <w:jc w:val="center"/>
    </w:pPr>
    <w:rPr>
      <w:rFonts w:ascii="Times New Roman" w:hAnsi="Times New Roman" w:eastAsia="宋体" w:cs="宋体"/>
      <w:b/>
      <w:kern w:val="0"/>
      <w:sz w:val="21"/>
      <w:szCs w:val="22"/>
      <w:lang w:val="zh-CN" w:eastAsia="zh-CN" w:bidi="ar-SA"/>
    </w:rPr>
  </w:style>
  <w:style w:type="paragraph" w:customStyle="1" w:styleId="180">
    <w:name w:val="3"/>
    <w:basedOn w:val="1"/>
    <w:next w:val="20"/>
    <w:autoRedefine/>
    <w:qFormat/>
    <w:uiPriority w:val="99"/>
    <w:pPr>
      <w:tabs>
        <w:tab w:val="left" w:pos="6855"/>
      </w:tabs>
      <w:ind w:firstLine="560" w:firstLineChars="200"/>
    </w:pPr>
    <w:rPr>
      <w:rFonts w:eastAsia="仿宋_GB2312"/>
      <w:sz w:val="28"/>
    </w:rPr>
  </w:style>
  <w:style w:type="paragraph" w:customStyle="1" w:styleId="181">
    <w:name w:val="Default1"/>
    <w:autoRedefine/>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182">
    <w:name w:val="WPS Plain"/>
    <w:basedOn w:val="1"/>
    <w:autoRedefine/>
    <w:qFormat/>
    <w:uiPriority w:val="0"/>
    <w:pPr>
      <w:widowControl/>
      <w:jc w:val="left"/>
    </w:pPr>
    <w:rPr>
      <w:kern w:val="0"/>
      <w:sz w:val="24"/>
    </w:rPr>
  </w:style>
  <w:style w:type="paragraph" w:customStyle="1" w:styleId="183">
    <w:name w:val="无间隔1"/>
    <w:basedOn w:val="138"/>
    <w:autoRedefine/>
    <w:qFormat/>
    <w:uiPriority w:val="0"/>
    <w:rPr>
      <w:rFonts w:eastAsia="宋体" w:cs="Times New Roman"/>
      <w:szCs w:val="24"/>
    </w:rPr>
  </w:style>
  <w:style w:type="paragraph" w:customStyle="1" w:styleId="184">
    <w:name w:val="表"/>
    <w:basedOn w:val="1"/>
    <w:autoRedefine/>
    <w:qFormat/>
    <w:uiPriority w:val="0"/>
    <w:pPr>
      <w:numPr>
        <w:ilvl w:val="0"/>
        <w:numId w:val="2"/>
      </w:numPr>
      <w:autoSpaceDE w:val="0"/>
      <w:autoSpaceDN w:val="0"/>
      <w:adjustRightInd w:val="0"/>
      <w:snapToGrid w:val="0"/>
      <w:jc w:val="center"/>
    </w:pPr>
    <w:rPr>
      <w:b/>
      <w:bCs/>
      <w:color w:val="000000"/>
      <w:kern w:val="0"/>
      <w:sz w:val="24"/>
    </w:rPr>
  </w:style>
  <w:style w:type="paragraph" w:customStyle="1" w:styleId="185">
    <w:name w:val="表格2"/>
    <w:basedOn w:val="1"/>
    <w:autoRedefine/>
    <w:qFormat/>
    <w:uiPriority w:val="0"/>
    <w:pPr>
      <w:jc w:val="center"/>
    </w:pPr>
    <w:rPr>
      <w:rFonts w:ascii="Times New Roman" w:hAnsi="Times New Roman"/>
    </w:rPr>
  </w:style>
  <w:style w:type="paragraph" w:customStyle="1" w:styleId="186">
    <w:name w:val="内容"/>
    <w:basedOn w:val="1"/>
    <w:autoRedefine/>
    <w:qFormat/>
    <w:uiPriority w:val="0"/>
    <w:pPr>
      <w:spacing w:beforeLines="50" w:afterLines="50"/>
      <w:ind w:firstLine="200" w:firstLineChars="200"/>
    </w:pPr>
    <w:rPr>
      <w:color w:val="000000"/>
      <w:sz w:val="24"/>
    </w:rPr>
  </w:style>
  <w:style w:type="character" w:customStyle="1" w:styleId="187">
    <w:name w:val="正文文本 (2) + 10.5 pt"/>
    <w:autoRedefine/>
    <w:qFormat/>
    <w:uiPriority w:val="0"/>
    <w:rPr>
      <w:rFonts w:ascii="宋体" w:hAnsi="宋体" w:cs="宋体"/>
      <w:sz w:val="21"/>
      <w:szCs w:val="21"/>
      <w:u w:val="none"/>
      <w:lang w:bidi="ar-SA"/>
    </w:rPr>
  </w:style>
  <w:style w:type="character" w:customStyle="1" w:styleId="188">
    <w:name w:val="font21"/>
    <w:basedOn w:val="39"/>
    <w:autoRedefine/>
    <w:qFormat/>
    <w:uiPriority w:val="0"/>
    <w:rPr>
      <w:rFonts w:hint="default" w:ascii="Times New Roman" w:hAnsi="Times New Roman" w:cs="Times New Roman"/>
      <w:color w:val="000000"/>
      <w:sz w:val="21"/>
      <w:szCs w:val="21"/>
      <w:u w:val="none"/>
    </w:rPr>
  </w:style>
  <w:style w:type="character" w:customStyle="1" w:styleId="189">
    <w:name w:val="font11"/>
    <w:basedOn w:val="39"/>
    <w:autoRedefine/>
    <w:qFormat/>
    <w:uiPriority w:val="0"/>
    <w:rPr>
      <w:rFonts w:hint="eastAsia" w:ascii="宋体" w:hAnsi="宋体" w:eastAsia="宋体" w:cs="宋体"/>
      <w:color w:val="000000"/>
      <w:sz w:val="21"/>
      <w:szCs w:val="21"/>
      <w:u w:val="none"/>
    </w:rPr>
  </w:style>
  <w:style w:type="table" w:customStyle="1" w:styleId="190">
    <w:name w:val="Table Normal"/>
    <w:autoRedefine/>
    <w:unhideWhenUsed/>
    <w:qFormat/>
    <w:uiPriority w:val="0"/>
    <w:tblPr>
      <w:tblCellMar>
        <w:top w:w="0" w:type="dxa"/>
        <w:left w:w="0" w:type="dxa"/>
        <w:bottom w:w="0" w:type="dxa"/>
        <w:right w:w="0" w:type="dxa"/>
      </w:tblCellMar>
    </w:tblPr>
  </w:style>
  <w:style w:type="paragraph" w:customStyle="1" w:styleId="191">
    <w:name w:val="图表目录1"/>
    <w:basedOn w:val="1"/>
    <w:next w:val="1"/>
    <w:unhideWhenUsed/>
    <w:qFormat/>
    <w:locked/>
    <w:uiPriority w:val="99"/>
    <w:pPr>
      <w:ind w:leftChars="200" w:hanging="200" w:hangingChars="200"/>
    </w:pPr>
  </w:style>
  <w:style w:type="table" w:customStyle="1" w:styleId="192">
    <w:name w:val="普通表格1"/>
    <w:semiHidden/>
    <w:qFormat/>
    <w:uiPriority w:val="0"/>
    <w:tblPr>
      <w:tblCellMar>
        <w:top w:w="0" w:type="dxa"/>
        <w:left w:w="108" w:type="dxa"/>
        <w:bottom w:w="0" w:type="dxa"/>
        <w:right w:w="108" w:type="dxa"/>
      </w:tblCellMar>
    </w:tblPr>
  </w:style>
  <w:style w:type="paragraph" w:customStyle="1" w:styleId="193">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4">
    <w:name w:val="【表中文字】"/>
    <w:basedOn w:val="1"/>
    <w:qFormat/>
    <w:uiPriority w:val="0"/>
    <w:pPr>
      <w:jc w:val="center"/>
    </w:pPr>
    <w:rPr>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er" Target="footer1.xml"/><Relationship Id="rId29" Type="http://schemas.openxmlformats.org/officeDocument/2006/relationships/image" Target="media/image18.png"/><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jpeg"/><Relationship Id="rId13" Type="http://schemas.openxmlformats.org/officeDocument/2006/relationships/hyperlink" Target="http://www.jdzj.com/plc/article/2010-11-2/22432-1.htm" TargetMode="External"/><Relationship Id="rId12" Type="http://schemas.openxmlformats.org/officeDocument/2006/relationships/image" Target="media/image2.emf"/><Relationship Id="rId11" Type="http://schemas.openxmlformats.org/officeDocument/2006/relationships/oleObject" Target="embeddings/oleObject1.bin"/><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5daf830c-bc5a-42bf-9e81-599f8da6ebb5</errorID>
      <errorWord xmlns="http://schemas.wps.cn/vas-ai-hub/contract-review">淘汰以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淘汰</item>
      </candidateList>
      <explain xmlns="http://schemas.wps.cn/vas-ai-hub/contract-review"/>
      <paraID xmlns="http://schemas.wps.cn/vas-ai-hub/contract-review"> 46B96BB</paraID>
      <start xmlns="http://schemas.wps.cn/vas-ai-hub/contract-review">16</start>
      <end xmlns="http://schemas.wps.cn/vas-ai-hub/contract-review">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21fc048f-dac0-4030-971f-9e5987f240c9</errorID>
      <errorWord xmlns="http://schemas.wps.cn/vas-ai-hub/contract-review">交有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交由</item>
      </candidateList>
      <explain xmlns="http://schemas.wps.cn/vas-ai-hub/contract-review"/>
      <paraID xmlns="http://schemas.wps.cn/vas-ai-hub/contract-review">1B1A39E4</paraID>
      <start xmlns="http://schemas.wps.cn/vas-ai-hub/contract-review">216</start>
      <end xmlns="http://schemas.wps.cn/vas-ai-hub/contract-review">218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51045808-5252-4a8e-a0b8-2840245a0d90</errorID>
      <errorWord xmlns="http://schemas.wps.cn/vas-ai-hub/contract-review">常住</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常驻</item>
      </candidateList>
      <explain xmlns="http://schemas.wps.cn/vas-ai-hub/contract-review"/>
      <paraID xmlns="http://schemas.wps.cn/vas-ai-hub/contract-review">21EFEAF4</paraID>
      <start xmlns="http://schemas.wps.cn/vas-ai-hub/contract-review">25</start>
      <end xmlns="http://schemas.wps.cn/vas-ai-hub/contract-review">27</end>
      <status xmlns="http://schemas.wps.cn/vas-ai-hub/contract-review">modified</status>
      <modifiedWord xmlns="http://schemas.wps.cn/vas-ai-hub/contract-review">常驻</modifiedWord>
      <trackRevisions xmlns="http://schemas.wps.cn/vas-ai-hub/contract-review">false</trackRevisions>
    </reviewItem>
    <reviewItem xmlns="http://schemas.wps.cn/vas-ai-hub/contract-review">
      <errorID xmlns="http://schemas.wps.cn/vas-ai-hub/contract-review">dc2a4f10-4107-4cf0-99d6-20e1ec4c7e8f</errorID>
      <errorWord xmlns="http://schemas.wps.cn/vas-ai-hub/contract-review">目前有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目前</item>
      </candidateList>
      <explain xmlns="http://schemas.wps.cn/vas-ai-hub/contract-review"/>
      <paraID xmlns="http://schemas.wps.cn/vas-ai-hub/contract-review">242C700B</paraID>
      <start xmlns="http://schemas.wps.cn/vas-ai-hub/contract-review">128</start>
      <end xmlns="http://schemas.wps.cn/vas-ai-hub/contract-review">130</end>
      <status xmlns="http://schemas.wps.cn/vas-ai-hub/contract-review">modified</status>
      <modifiedWord xmlns="http://schemas.wps.cn/vas-ai-hub/contract-review">目前</modifiedWord>
      <trackRevisions xmlns="http://schemas.wps.cn/vas-ai-hub/contract-review">false</trackRevisions>
    </reviewItem>
    <reviewItem xmlns="http://schemas.wps.cn/vas-ai-hub/contract-review">
      <errorID xmlns="http://schemas.wps.cn/vas-ai-hub/contract-review">2c91552d-02e0-4c59-9806-aff0ebd35d35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65C3FF63</paraID>
      <start xmlns="http://schemas.wps.cn/vas-ai-hub/contract-review">8</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8c39903d-16bb-49b7-b0b5-004ec9fb387a</errorID>
      <errorWord xmlns="http://schemas.wps.cn/vas-ai-hub/contract-review">有效的控制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有效地控制</item>
      </candidateList>
      <explain xmlns="http://schemas.wps.cn/vas-ai-hub/contract-review"/>
      <paraID xmlns="http://schemas.wps.cn/vas-ai-hub/contract-review">45B315AA</paraID>
      <start xmlns="http://schemas.wps.cn/vas-ai-hub/contract-review">125</start>
      <end xmlns="http://schemas.wps.cn/vas-ai-hub/contract-review">130</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d25754-2269-42c9-992b-e1a1845b1be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45</Pages>
  <Words>20858</Words>
  <Characters>24136</Characters>
  <Lines>203</Lines>
  <Paragraphs>57</Paragraphs>
  <TotalTime>29</TotalTime>
  <ScaleCrop>false</ScaleCrop>
  <LinksUpToDate>false</LinksUpToDate>
  <CharactersWithSpaces>24360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2021-07-01T15:04:00Z</dcterms:created>
  <dc:creator>wg</dc:creator>
  <cp:lastModifiedBy>lenovo3</cp:lastModifiedBy>
  <cp:lastPrinted>2026-07-12T19:16:00Z</cp:lastPrinted>
  <dcterms:modified xsi:type="dcterms:W3CDTF">2026-07-30T18:02:50Z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562412D3CBDB44C18C605BFEAAA43A70_13</vt:lpwstr>
  </property>
  <property fmtid="{D5CDD505-2E9C-101B-9397-08002B2CF9AE}" pid="4" name="KSOTemplateDocerSaveRecord">
    <vt:lpwstr>eyJoZGlkIjoiY2JlN2I2MWFhNDIwZDk1NmNkYzczYWZhYjhkOWEwNWUiLCJ1c2VySWQiOiI0NTM5NTI4NDUifQ==</vt:lpwstr>
  </property>
</Properties>
</file>