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9C0E9">
      <w:pPr>
        <w:rPr>
          <w:rFonts w:hint="default" w:ascii="Times New Roman" w:hAnsi="Times New Roman" w:eastAsia="仿宋_GB2312" w:cs="Times New Roman"/>
          <w:vanish w:val="0"/>
          <w:color w:val="000000" w:themeColor="text1"/>
          <w:sz w:val="36"/>
          <w:szCs w:val="36"/>
          <w14:textFill>
            <w14:solidFill>
              <w14:schemeClr w14:val="tx1"/>
            </w14:solidFill>
          </w14:textFill>
        </w:rPr>
      </w:pPr>
    </w:p>
    <w:p w14:paraId="4BB7CB8B">
      <w:pPr>
        <w:rPr>
          <w:rFonts w:hint="default" w:ascii="Times New Roman" w:hAnsi="Times New Roman" w:eastAsia="仿宋_GB2312" w:cs="Times New Roman"/>
          <w:vanish w:val="0"/>
          <w:color w:val="000000" w:themeColor="text1"/>
          <w:sz w:val="36"/>
          <w:szCs w:val="36"/>
          <w14:textFill>
            <w14:solidFill>
              <w14:schemeClr w14:val="tx1"/>
            </w14:solidFill>
          </w14:textFill>
        </w:rPr>
      </w:pPr>
    </w:p>
    <w:p w14:paraId="5D213767">
      <w:pPr>
        <w:adjustRightInd w:val="0"/>
        <w:snapToGrid w:val="0"/>
        <w:jc w:val="center"/>
        <w:outlineLvl w:val="0"/>
        <w:rPr>
          <w:rFonts w:hint="default" w:ascii="Times New Roman" w:hAnsi="Times New Roman" w:eastAsia="方正小标宋_GBK" w:cs="Times New Roman"/>
          <w:bCs/>
          <w:vanish w:val="0"/>
          <w:color w:val="000000" w:themeColor="text1"/>
          <w:sz w:val="72"/>
          <w:szCs w:val="72"/>
          <w14:textFill>
            <w14:solidFill>
              <w14:schemeClr w14:val="tx1"/>
            </w14:solidFill>
          </w14:textFill>
        </w:rPr>
      </w:pPr>
      <w:r>
        <w:rPr>
          <w:rFonts w:hint="default" w:ascii="Times New Roman" w:hAnsi="Times New Roman" w:eastAsia="方正小标宋_GBK" w:cs="Times New Roman"/>
          <w:bCs/>
          <w:vanish w:val="0"/>
          <w:color w:val="000000" w:themeColor="text1"/>
          <w:sz w:val="72"/>
          <w:szCs w:val="72"/>
          <w14:textFill>
            <w14:solidFill>
              <w14:schemeClr w14:val="tx1"/>
            </w14:solidFill>
          </w14:textFill>
        </w:rPr>
        <w:t>建设项目环境影响报告表</w:t>
      </w:r>
    </w:p>
    <w:p w14:paraId="663A3A29">
      <w:pPr>
        <w:adjustRightInd w:val="0"/>
        <w:snapToGrid w:val="0"/>
        <w:spacing w:before="192" w:beforeLines="80"/>
        <w:jc w:val="center"/>
        <w:rPr>
          <w:rFonts w:hint="eastAsia" w:ascii="Times New Roman" w:hAnsi="Times New Roman" w:eastAsia="楷体_GB2312" w:cs="Times New Roman"/>
          <w:bCs/>
          <w:vanish w:val="0"/>
          <w:color w:val="000000" w:themeColor="text1"/>
          <w:sz w:val="48"/>
          <w:szCs w:val="48"/>
          <w:lang w:eastAsia="zh-CN"/>
          <w14:textFill>
            <w14:solidFill>
              <w14:schemeClr w14:val="tx1"/>
            </w14:solidFill>
          </w14:textFill>
        </w:rPr>
      </w:pPr>
      <w:r>
        <w:rPr>
          <w:rFonts w:hint="default" w:ascii="Times New Roman" w:hAnsi="Times New Roman" w:eastAsia="楷体_GB2312" w:cs="Times New Roman"/>
          <w:bCs/>
          <w:vanish w:val="0"/>
          <w:color w:val="000000" w:themeColor="text1"/>
          <w:sz w:val="48"/>
          <w:szCs w:val="48"/>
          <w14:textFill>
            <w14:solidFill>
              <w14:schemeClr w14:val="tx1"/>
            </w14:solidFill>
          </w14:textFill>
        </w:rPr>
        <w:t>（污染影响类</w:t>
      </w:r>
      <w:r>
        <w:rPr>
          <w:rFonts w:hint="eastAsia" w:ascii="Times New Roman" w:hAnsi="Times New Roman" w:eastAsia="楷体_GB2312" w:cs="Times New Roman"/>
          <w:bCs/>
          <w:vanish w:val="0"/>
          <w:color w:val="000000" w:themeColor="text1"/>
          <w:sz w:val="48"/>
          <w:szCs w:val="48"/>
          <w:lang w:eastAsia="zh-CN"/>
          <w14:textFill>
            <w14:solidFill>
              <w14:schemeClr w14:val="tx1"/>
            </w14:solidFill>
          </w14:textFill>
        </w:rPr>
        <w:t>）</w:t>
      </w:r>
    </w:p>
    <w:p w14:paraId="3294A862">
      <w:pPr>
        <w:adjustRightInd w:val="0"/>
        <w:snapToGrid w:val="0"/>
        <w:spacing w:line="288" w:lineRule="auto"/>
        <w:jc w:val="center"/>
        <w:outlineLvl w:val="0"/>
        <w:rPr>
          <w:rFonts w:hint="default" w:ascii="Times New Roman" w:hAnsi="Times New Roman" w:eastAsia="华文仿宋" w:cs="Times New Roman"/>
          <w:vanish w:val="0"/>
          <w:color w:val="000000" w:themeColor="text1"/>
          <w:kern w:val="44"/>
          <w:sz w:val="44"/>
          <w:szCs w:val="44"/>
          <w14:textFill>
            <w14:solidFill>
              <w14:schemeClr w14:val="tx1"/>
            </w14:solidFill>
          </w14:textFill>
        </w:rPr>
      </w:pPr>
    </w:p>
    <w:p w14:paraId="2FEE16B7">
      <w:pPr>
        <w:jc w:val="center"/>
        <w:rPr>
          <w:rFonts w:hint="default" w:ascii="Times New Roman" w:hAnsi="Times New Roman" w:eastAsia="仿宋" w:cs="Times New Roman"/>
          <w:vanish w:val="0"/>
          <w:color w:val="000000" w:themeColor="text1"/>
          <w:sz w:val="52"/>
          <w:szCs w:val="52"/>
          <w14:textFill>
            <w14:solidFill>
              <w14:schemeClr w14:val="tx1"/>
            </w14:solidFill>
          </w14:textFill>
        </w:rPr>
      </w:pPr>
    </w:p>
    <w:p w14:paraId="0A8594AB">
      <w:pPr>
        <w:ind w:firstLine="1040"/>
        <w:rPr>
          <w:rFonts w:hint="default" w:ascii="Times New Roman" w:hAnsi="Times New Roman" w:eastAsia="仿宋" w:cs="Times New Roman"/>
          <w:vanish w:val="0"/>
          <w:color w:val="000000" w:themeColor="text1"/>
          <w:sz w:val="44"/>
          <w:szCs w:val="44"/>
          <w14:textFill>
            <w14:solidFill>
              <w14:schemeClr w14:val="tx1"/>
            </w14:solidFill>
          </w14:textFill>
        </w:rPr>
      </w:pPr>
    </w:p>
    <w:p w14:paraId="0406E858">
      <w:pPr>
        <w:ind w:firstLine="1040"/>
        <w:rPr>
          <w:rFonts w:hint="default" w:ascii="Times New Roman" w:hAnsi="Times New Roman" w:eastAsia="仿宋" w:cs="Times New Roman"/>
          <w:vanish w:val="0"/>
          <w:color w:val="000000" w:themeColor="text1"/>
          <w:sz w:val="44"/>
          <w:szCs w:val="44"/>
          <w14:textFill>
            <w14:solidFill>
              <w14:schemeClr w14:val="tx1"/>
            </w14:solidFill>
          </w14:textFill>
        </w:rPr>
      </w:pPr>
    </w:p>
    <w:p w14:paraId="4D6831C5">
      <w:pPr>
        <w:ind w:firstLine="1040"/>
        <w:rPr>
          <w:rFonts w:hint="default" w:ascii="Times New Roman" w:hAnsi="Times New Roman" w:eastAsia="仿宋" w:cs="Times New Roman"/>
          <w:vanish w:val="0"/>
          <w:color w:val="000000" w:themeColor="text1"/>
          <w:sz w:val="44"/>
          <w:szCs w:val="44"/>
          <w14:textFill>
            <w14:solidFill>
              <w14:schemeClr w14:val="tx1"/>
            </w14:solidFill>
          </w14:textFill>
        </w:rPr>
      </w:pPr>
    </w:p>
    <w:p w14:paraId="6AF2604A">
      <w:pPr>
        <w:ind w:firstLine="1040"/>
        <w:rPr>
          <w:rFonts w:hint="default" w:ascii="Times New Roman" w:hAnsi="Times New Roman" w:eastAsia="仿宋" w:cs="Times New Roman"/>
          <w:vanish w:val="0"/>
          <w:color w:val="000000" w:themeColor="text1"/>
          <w:sz w:val="44"/>
          <w:szCs w:val="44"/>
          <w14:textFill>
            <w14:solidFill>
              <w14:schemeClr w14:val="tx1"/>
            </w14:solidFill>
          </w14:textFill>
        </w:rPr>
      </w:pPr>
    </w:p>
    <w:p w14:paraId="0B4C3154">
      <w:pPr>
        <w:adjustRightInd w:val="0"/>
        <w:snapToGrid w:val="0"/>
        <w:spacing w:line="288" w:lineRule="auto"/>
        <w:ind w:firstLine="1040"/>
        <w:rPr>
          <w:rFonts w:hint="eastAsia" w:ascii="Times New Roman" w:hAnsi="Times New Roman" w:eastAsia="仿宋_GB2312" w:cs="Times New Roman"/>
          <w:vanish w:val="0"/>
          <w:color w:val="000000" w:themeColor="text1"/>
          <w:sz w:val="36"/>
          <w:szCs w:val="36"/>
          <w:lang w:val="en-US" w:eastAsia="zh-CN"/>
          <w14:textFill>
            <w14:solidFill>
              <w14:schemeClr w14:val="tx1"/>
            </w14:solidFill>
          </w14:textFill>
        </w:rPr>
      </w:pPr>
    </w:p>
    <w:p w14:paraId="13BAB87F">
      <w:pPr>
        <w:adjustRightInd w:val="0"/>
        <w:snapToGrid w:val="0"/>
        <w:spacing w:line="288" w:lineRule="auto"/>
        <w:ind w:firstLine="1040"/>
        <w:rPr>
          <w:rFonts w:hint="default" w:ascii="Times New Roman" w:hAnsi="Times New Roman" w:eastAsia="仿宋_GB2312" w:cs="Times New Roman"/>
          <w:vanish w:val="0"/>
          <w:color w:val="000000" w:themeColor="text1"/>
          <w:sz w:val="36"/>
          <w:szCs w:val="36"/>
          <w14:textFill>
            <w14:solidFill>
              <w14:schemeClr w14:val="tx1"/>
            </w14:solidFill>
          </w14:textFill>
        </w:rPr>
      </w:pPr>
    </w:p>
    <w:p w14:paraId="5374EBA0">
      <w:pPr>
        <w:adjustRightInd w:val="0"/>
        <w:snapToGrid w:val="0"/>
        <w:spacing w:line="360" w:lineRule="auto"/>
        <w:ind w:firstLine="1040"/>
        <w:rPr>
          <w:rFonts w:hint="default" w:ascii="Times New Roman" w:hAnsi="Times New Roman" w:eastAsia="仿宋_GB2312" w:cs="Times New Roman"/>
          <w:vanish w:val="0"/>
          <w:color w:val="000000" w:themeColor="text1"/>
          <w:sz w:val="36"/>
          <w:szCs w:val="36"/>
          <w14:textFill>
            <w14:solidFill>
              <w14:schemeClr w14:val="tx1"/>
            </w14:solidFill>
          </w14:textFill>
        </w:rPr>
      </w:pPr>
    </w:p>
    <w:p w14:paraId="14CF15DF">
      <w:pPr>
        <w:adjustRightInd w:val="0"/>
        <w:snapToGrid w:val="0"/>
        <w:spacing w:line="360" w:lineRule="auto"/>
        <w:ind w:firstLine="1040"/>
        <w:rPr>
          <w:rFonts w:hint="default" w:ascii="Times New Roman" w:hAnsi="Times New Roman" w:eastAsia="仿宋_GB2312" w:cs="Times New Roman"/>
          <w:vanish w:val="0"/>
          <w:color w:val="000000" w:themeColor="text1"/>
          <w:sz w:val="36"/>
          <w:szCs w:val="36"/>
          <w14:textFill>
            <w14:solidFill>
              <w14:schemeClr w14:val="tx1"/>
            </w14:solidFill>
          </w14:textFill>
        </w:rPr>
      </w:pPr>
    </w:p>
    <w:p w14:paraId="4EB7F0BF">
      <w:pPr>
        <w:adjustRightInd w:val="0"/>
        <w:snapToGrid w:val="0"/>
        <w:spacing w:line="360" w:lineRule="auto"/>
        <w:ind w:firstLine="360" w:firstLineChars="100"/>
        <w:rPr>
          <w:rFonts w:hint="default" w:ascii="Times New Roman" w:hAnsi="Times New Roman" w:eastAsia="仿宋_GB2312" w:cs="Times New Roman"/>
          <w:b/>
          <w:bCs/>
          <w:vanish w:val="0"/>
          <w:color w:val="000000" w:themeColor="text1"/>
          <w:sz w:val="36"/>
          <w:szCs w:val="36"/>
          <w:u w:val="single"/>
          <w:lang w:val="en-US"/>
          <w14:textFill>
            <w14:solidFill>
              <w14:schemeClr w14:val="tx1"/>
            </w14:solidFill>
          </w14:textFill>
        </w:rPr>
      </w:pPr>
      <w:r>
        <w:rPr>
          <w:rFonts w:hint="default" w:ascii="Times New Roman" w:hAnsi="Times New Roman" w:eastAsia="仿宋_GB2312" w:cs="Times New Roman"/>
          <w:b/>
          <w:bCs/>
          <w:vanish w:val="0"/>
          <w:color w:val="000000" w:themeColor="text1"/>
          <w:sz w:val="36"/>
          <w:szCs w:val="36"/>
          <w14:textFill>
            <w14:solidFill>
              <w14:schemeClr w14:val="tx1"/>
            </w14:solidFill>
          </w14:textFill>
        </w:rPr>
        <w:t>项目名称：</w:t>
      </w:r>
      <w:r>
        <w:rPr>
          <w:rFonts w:hint="eastAsia"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 xml:space="preserve">      太白县桃川镇集中供水工程      </w:t>
      </w:r>
    </w:p>
    <w:p w14:paraId="055B2E1C">
      <w:pPr>
        <w:adjustRightInd w:val="0"/>
        <w:snapToGrid w:val="0"/>
        <w:spacing w:line="360" w:lineRule="auto"/>
        <w:ind w:firstLine="360" w:firstLineChars="100"/>
        <w:rPr>
          <w:rFonts w:hint="default" w:ascii="Times New Roman" w:hAnsi="Times New Roman" w:eastAsia="仿宋_GB2312" w:cs="Times New Roman"/>
          <w:b/>
          <w:bCs/>
          <w:vanish w:val="0"/>
          <w:color w:val="000000" w:themeColor="text1"/>
          <w:sz w:val="36"/>
          <w:szCs w:val="36"/>
          <w:u w:val="single"/>
          <w14:textFill>
            <w14:solidFill>
              <w14:schemeClr w14:val="tx1"/>
            </w14:solidFill>
          </w14:textFill>
        </w:rPr>
      </w:pPr>
      <w:r>
        <w:rPr>
          <w:rFonts w:hint="default" w:ascii="Times New Roman" w:hAnsi="Times New Roman" w:eastAsia="仿宋_GB2312" w:cs="Times New Roman"/>
          <w:b/>
          <w:bCs/>
          <w:vanish w:val="0"/>
          <w:color w:val="000000" w:themeColor="text1"/>
          <w:sz w:val="36"/>
          <w:szCs w:val="36"/>
          <w14:textFill>
            <w14:solidFill>
              <w14:schemeClr w14:val="tx1"/>
            </w14:solidFill>
          </w14:textFill>
        </w:rPr>
        <w:t>建设单位（盖章</w:t>
      </w:r>
      <w:r>
        <w:rPr>
          <w:rFonts w:hint="eastAsia" w:ascii="Times New Roman" w:hAnsi="Times New Roman" w:eastAsia="仿宋_GB2312" w:cs="Times New Roman"/>
          <w:b/>
          <w:bCs/>
          <w:vanish w:val="0"/>
          <w:color w:val="000000" w:themeColor="text1"/>
          <w:sz w:val="36"/>
          <w:szCs w:val="36"/>
          <w:lang w:eastAsia="zh-CN"/>
          <w14:textFill>
            <w14:solidFill>
              <w14:schemeClr w14:val="tx1"/>
            </w14:solidFill>
          </w14:textFill>
        </w:rPr>
        <w:t>）</w:t>
      </w:r>
      <w:r>
        <w:rPr>
          <w:rFonts w:hint="default" w:ascii="Times New Roman" w:hAnsi="Times New Roman" w:eastAsia="仿宋_GB2312" w:cs="Times New Roman"/>
          <w:b/>
          <w:bCs/>
          <w:vanish w:val="0"/>
          <w:color w:val="000000" w:themeColor="text1"/>
          <w:sz w:val="36"/>
          <w:szCs w:val="36"/>
          <w14:textFill>
            <w14:solidFill>
              <w14:schemeClr w14:val="tx1"/>
            </w14:solidFill>
          </w14:textFill>
        </w:rPr>
        <w:t>：</w:t>
      </w:r>
      <w:r>
        <w:rPr>
          <w:rFonts w:hint="default"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太白县</w:t>
      </w:r>
      <w:r>
        <w:rPr>
          <w:rFonts w:hint="eastAsia" w:eastAsia="仿宋_GB2312" w:cs="Times New Roman"/>
          <w:b/>
          <w:bCs/>
          <w:vanish w:val="0"/>
          <w:color w:val="000000" w:themeColor="text1"/>
          <w:sz w:val="36"/>
          <w:szCs w:val="36"/>
          <w:u w:val="single"/>
          <w:lang w:val="en-US" w:eastAsia="zh-CN"/>
          <w14:textFill>
            <w14:solidFill>
              <w14:schemeClr w14:val="tx1"/>
            </w14:solidFill>
          </w14:textFill>
        </w:rPr>
        <w:t>水资源事务中心</w:t>
      </w:r>
      <w:r>
        <w:rPr>
          <w:rFonts w:hint="default" w:ascii="Times New Roman" w:hAnsi="Times New Roman" w:eastAsia="仿宋_GB2312" w:cs="Times New Roman"/>
          <w:b/>
          <w:bCs/>
          <w:vanish w:val="0"/>
          <w:color w:val="000000" w:themeColor="text1"/>
          <w:sz w:val="36"/>
          <w:szCs w:val="36"/>
          <w:u w:val="single"/>
          <w14:textFill>
            <w14:solidFill>
              <w14:schemeClr w14:val="tx1"/>
            </w14:solidFill>
          </w14:textFill>
        </w:rPr>
        <w:t xml:space="preserve">    </w:t>
      </w:r>
    </w:p>
    <w:p w14:paraId="30D78AB3">
      <w:pPr>
        <w:adjustRightInd w:val="0"/>
        <w:snapToGrid w:val="0"/>
        <w:spacing w:line="360" w:lineRule="auto"/>
        <w:ind w:firstLine="360" w:firstLineChars="100"/>
        <w:rPr>
          <w:rFonts w:hint="default" w:ascii="Times New Roman" w:hAnsi="Times New Roman" w:eastAsia="仿宋_GB2312" w:cs="Times New Roman"/>
          <w:vanish w:val="0"/>
          <w:color w:val="000000" w:themeColor="text1"/>
          <w:sz w:val="36"/>
          <w:szCs w:val="36"/>
          <w:u w:val="none"/>
          <w:lang w:val="en-US" w:eastAsia="zh-CN"/>
          <w14:textFill>
            <w14:solidFill>
              <w14:schemeClr w14:val="tx1"/>
            </w14:solidFill>
          </w14:textFill>
        </w:rPr>
      </w:pPr>
      <w:r>
        <w:rPr>
          <w:rFonts w:hint="default" w:ascii="Times New Roman" w:hAnsi="Times New Roman" w:eastAsia="仿宋_GB2312" w:cs="Times New Roman"/>
          <w:b/>
          <w:bCs/>
          <w:vanish w:val="0"/>
          <w:color w:val="000000" w:themeColor="text1"/>
          <w:sz w:val="36"/>
          <w:szCs w:val="36"/>
          <w14:textFill>
            <w14:solidFill>
              <w14:schemeClr w14:val="tx1"/>
            </w14:solidFill>
          </w14:textFill>
        </w:rPr>
        <w:t>编制日期：</w:t>
      </w:r>
      <w:r>
        <w:rPr>
          <w:rFonts w:hint="default" w:ascii="Times New Roman" w:hAnsi="Times New Roman" w:eastAsia="仿宋_GB2312" w:cs="Times New Roman"/>
          <w:b/>
          <w:bCs/>
          <w:vanish w:val="0"/>
          <w:color w:val="000000" w:themeColor="text1"/>
          <w:sz w:val="36"/>
          <w:szCs w:val="36"/>
          <w:u w:val="none"/>
          <w14:textFill>
            <w14:solidFill>
              <w14:schemeClr w14:val="tx1"/>
            </w14:solidFill>
          </w14:textFill>
        </w:rPr>
        <w:t xml:space="preserve"> </w:t>
      </w:r>
      <w:r>
        <w:rPr>
          <w:rFonts w:hint="default" w:ascii="Times New Roman" w:hAnsi="Times New Roman" w:eastAsia="仿宋_GB2312" w:cs="Times New Roman"/>
          <w:b/>
          <w:bCs/>
          <w:vanish w:val="0"/>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202</w:t>
      </w:r>
      <w:r>
        <w:rPr>
          <w:rFonts w:hint="eastAsia"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6</w:t>
      </w:r>
      <w:r>
        <w:rPr>
          <w:rFonts w:hint="default"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年</w:t>
      </w:r>
      <w:r>
        <w:rPr>
          <w:rFonts w:hint="eastAsia"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7</w:t>
      </w:r>
      <w:r>
        <w:rPr>
          <w:rFonts w:hint="default"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月</w:t>
      </w:r>
      <w:r>
        <w:rPr>
          <w:rFonts w:hint="default" w:ascii="Times New Roman" w:hAnsi="Times New Roman" w:eastAsia="仿宋_GB2312" w:cs="Times New Roman"/>
          <w:b/>
          <w:bCs/>
          <w:vanish w:val="0"/>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b/>
          <w:bCs/>
          <w:vanish w:val="0"/>
          <w:color w:val="000000" w:themeColor="text1"/>
          <w:sz w:val="36"/>
          <w:szCs w:val="36"/>
          <w:u w:val="single"/>
          <w:lang w:val="en-US" w:eastAsia="zh-CN"/>
          <w14:textFill>
            <w14:solidFill>
              <w14:schemeClr w14:val="tx1"/>
            </w14:solidFill>
          </w14:textFill>
        </w:rPr>
        <w:t xml:space="preserve">  </w:t>
      </w:r>
    </w:p>
    <w:p w14:paraId="28EA8BF3">
      <w:pPr>
        <w:adjustRightInd w:val="0"/>
        <w:snapToGrid w:val="0"/>
        <w:spacing w:line="360" w:lineRule="auto"/>
        <w:ind w:firstLine="1040"/>
        <w:rPr>
          <w:rFonts w:hint="default" w:ascii="Times New Roman" w:hAnsi="Times New Roman" w:eastAsia="仿宋_GB2312" w:cs="Times New Roman"/>
          <w:vanish w:val="0"/>
          <w:color w:val="000000" w:themeColor="text1"/>
          <w:sz w:val="36"/>
          <w:szCs w:val="36"/>
          <w:u w:val="single"/>
          <w14:textFill>
            <w14:solidFill>
              <w14:schemeClr w14:val="tx1"/>
            </w14:solidFill>
          </w14:textFill>
        </w:rPr>
      </w:pPr>
      <w:bookmarkStart w:id="0" w:name="_Hlk57884087"/>
    </w:p>
    <w:p w14:paraId="2FD87C3C">
      <w:pPr>
        <w:adjustRightInd w:val="0"/>
        <w:snapToGrid w:val="0"/>
        <w:spacing w:line="288" w:lineRule="auto"/>
        <w:ind w:firstLine="1040"/>
        <w:rPr>
          <w:rFonts w:hint="default" w:ascii="Times New Roman" w:hAnsi="Times New Roman" w:eastAsia="仿宋_GB2312" w:cs="Times New Roman"/>
          <w:vanish w:val="0"/>
          <w:color w:val="000000" w:themeColor="text1"/>
          <w:sz w:val="36"/>
          <w:szCs w:val="36"/>
          <w14:textFill>
            <w14:solidFill>
              <w14:schemeClr w14:val="tx1"/>
            </w14:solidFill>
          </w14:textFill>
        </w:rPr>
      </w:pPr>
    </w:p>
    <w:p w14:paraId="03E7DB49">
      <w:pPr>
        <w:pStyle w:val="22"/>
        <w:rPr>
          <w:rFonts w:hint="default" w:ascii="Times New Roman" w:hAnsi="Times New Roman" w:cs="Times New Roman"/>
          <w:vanish w:val="0"/>
          <w:color w:val="000000" w:themeColor="text1"/>
          <w14:textFill>
            <w14:solidFill>
              <w14:schemeClr w14:val="tx1"/>
            </w14:solidFill>
          </w14:textFill>
        </w:rPr>
      </w:pPr>
    </w:p>
    <w:p w14:paraId="08C8F8D8">
      <w:pPr>
        <w:rPr>
          <w:rFonts w:hint="default" w:ascii="Times New Roman" w:hAnsi="Times New Roman" w:cs="Times New Roman"/>
          <w:vanish w:val="0"/>
          <w:color w:val="000000" w:themeColor="text1"/>
          <w14:textFill>
            <w14:solidFill>
              <w14:schemeClr w14:val="tx1"/>
            </w14:solidFill>
          </w14:textFill>
        </w:rPr>
      </w:pPr>
    </w:p>
    <w:p w14:paraId="48F8914C">
      <w:pPr>
        <w:pStyle w:val="22"/>
        <w:rPr>
          <w:rFonts w:hint="default"/>
          <w:vanish w:val="0"/>
          <w:color w:val="000000" w:themeColor="text1"/>
          <w14:textFill>
            <w14:solidFill>
              <w14:schemeClr w14:val="tx1"/>
            </w14:solidFill>
          </w14:textFill>
        </w:rPr>
      </w:pPr>
    </w:p>
    <w:bookmarkEnd w:id="0"/>
    <w:p w14:paraId="4D4DCC0C">
      <w:pPr>
        <w:ind w:firstLine="560"/>
        <w:rPr>
          <w:rFonts w:hint="default" w:ascii="Times New Roman" w:hAnsi="Times New Roman" w:eastAsia="宋体" w:cs="Times New Roman"/>
          <w:vanish w:val="0"/>
          <w:color w:val="000000" w:themeColor="text1"/>
          <w:lang w:eastAsia="zh-CN"/>
          <w14:textFill>
            <w14:solidFill>
              <w14:schemeClr w14:val="tx1"/>
            </w14:solidFill>
          </w14:textFill>
        </w:rPr>
      </w:pPr>
      <w:r>
        <w:rPr>
          <w:rFonts w:hint="default" w:ascii="Times New Roman" w:hAnsi="Times New Roman" w:eastAsia="宋体" w:cs="Times New Roman"/>
          <w:vanish w:val="0"/>
          <w:color w:val="000000" w:themeColor="text1"/>
          <w:lang w:eastAsia="zh-CN"/>
          <w14:textFill>
            <w14:solidFill>
              <w14:schemeClr w14:val="tx1"/>
            </w14:solidFill>
          </w14:textFill>
        </w:rPr>
        <w:drawing>
          <wp:inline distT="0" distB="0" distL="114300" distR="114300">
            <wp:extent cx="635" cy="0"/>
            <wp:effectExtent l="0" t="0" r="0" b="0"/>
            <wp:docPr id="8" name="图片 32" descr="4c16e1555cf1ba433419d2bbf7d0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descr="4c16e1555cf1ba433419d2bbf7d067e"/>
                    <pic:cNvPicPr>
                      <a:picLocks noChangeAspect="1"/>
                    </pic:cNvPicPr>
                  </pic:nvPicPr>
                  <pic:blipFill>
                    <a:blip r:embed="rId10"/>
                    <a:stretch>
                      <a:fillRect/>
                    </a:stretch>
                  </pic:blipFill>
                  <pic:spPr>
                    <a:xfrm>
                      <a:off x="0" y="0"/>
                      <a:ext cx="635" cy="0"/>
                    </a:xfrm>
                    <a:prstGeom prst="rect">
                      <a:avLst/>
                    </a:prstGeom>
                    <a:noFill/>
                    <a:ln>
                      <a:noFill/>
                    </a:ln>
                  </pic:spPr>
                </pic:pic>
              </a:graphicData>
            </a:graphic>
          </wp:inline>
        </w:drawing>
      </w:r>
    </w:p>
    <w:p w14:paraId="43AAD4D4">
      <w:pPr>
        <w:pStyle w:val="12"/>
        <w:rPr>
          <w:rFonts w:hint="default" w:ascii="Times New Roman" w:hAnsi="Times New Roman" w:cs="Times New Roman"/>
          <w:vanish w:val="0"/>
          <w:color w:val="000000" w:themeColor="text1"/>
          <w:lang w:eastAsia="zh-CN"/>
          <w14:textFill>
            <w14:solidFill>
              <w14:schemeClr w14:val="tx1"/>
            </w14:solidFill>
          </w14:textFill>
        </w:rPr>
        <w:sectPr>
          <w:headerReference r:id="rId3" w:type="default"/>
          <w:footerReference r:id="rId4" w:type="default"/>
          <w:pgSz w:w="11906" w:h="16838"/>
          <w:pgMar w:top="1417" w:right="1417" w:bottom="1417" w:left="1417" w:header="567" w:footer="567" w:gutter="0"/>
          <w:pgBorders>
            <w:top w:val="none" w:sz="0" w:space="0"/>
            <w:left w:val="none" w:sz="0" w:space="0"/>
            <w:bottom w:val="none" w:sz="0" w:space="0"/>
            <w:right w:val="none" w:sz="0" w:space="0"/>
          </w:pgBorders>
          <w:pgNumType w:start="1"/>
          <w:cols w:space="720" w:num="1"/>
          <w:docGrid w:type="linesAndChars" w:linePitch="336" w:charSpace="0"/>
        </w:sectPr>
      </w:pPr>
    </w:p>
    <w:p w14:paraId="28140BA2">
      <w:pPr>
        <w:pStyle w:val="20"/>
        <w:jc w:val="center"/>
        <w:outlineLvl w:val="0"/>
        <w:rPr>
          <w:rFonts w:hint="default" w:ascii="Times New Roman" w:hAnsi="Times New Roman" w:eastAsia="黑体" w:cs="Times New Roman"/>
          <w:snapToGrid w:val="0"/>
          <w:vanish w:val="0"/>
          <w:color w:val="000000" w:themeColor="text1"/>
          <w:sz w:val="30"/>
          <w:szCs w:val="30"/>
          <w14:textFill>
            <w14:solidFill>
              <w14:schemeClr w14:val="tx1"/>
            </w14:solidFill>
          </w14:textFill>
        </w:rPr>
      </w:pPr>
      <w:r>
        <w:rPr>
          <w:rFonts w:hint="default" w:ascii="Times New Roman" w:hAnsi="Times New Roman" w:eastAsia="黑体" w:cs="Times New Roman"/>
          <w:snapToGrid w:val="0"/>
          <w:vanish w:val="0"/>
          <w:color w:val="000000" w:themeColor="text1"/>
          <w:sz w:val="30"/>
          <w:szCs w:val="30"/>
          <w14:textFill>
            <w14:solidFill>
              <w14:schemeClr w14:val="tx1"/>
            </w14:solidFill>
          </w14:textFill>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64"/>
        <w:gridCol w:w="2255"/>
        <w:gridCol w:w="2212"/>
        <w:gridCol w:w="2621"/>
      </w:tblGrid>
      <w:tr w14:paraId="77F8A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jc w:val="center"/>
          <w:hidden/>
        </w:trPr>
        <w:tc>
          <w:tcPr>
            <w:tcW w:w="1764" w:type="dxa"/>
            <w:noWrap w:val="0"/>
            <w:tcMar>
              <w:top w:w="16" w:type="dxa"/>
              <w:left w:w="16" w:type="dxa"/>
              <w:right w:w="16" w:type="dxa"/>
            </w:tcMar>
            <w:vAlign w:val="center"/>
          </w:tcPr>
          <w:p w14:paraId="0EF32F8E">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建设项目名称</w:t>
            </w:r>
          </w:p>
        </w:tc>
        <w:tc>
          <w:tcPr>
            <w:tcW w:w="7088" w:type="dxa"/>
            <w:gridSpan w:val="3"/>
            <w:noWrap w:val="0"/>
            <w:vAlign w:val="center"/>
          </w:tcPr>
          <w:p w14:paraId="42CFF88B">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eastAsia="宋体" w:cs="Times New Roman"/>
                <w:vanish w:val="0"/>
                <w:color w:val="000000" w:themeColor="text1"/>
                <w:lang w:eastAsia="zh-CN"/>
                <w14:textFill>
                  <w14:solidFill>
                    <w14:schemeClr w14:val="tx1"/>
                  </w14:solidFill>
                </w14:textFill>
              </w:rPr>
              <w:t>太白县桃川镇集中供水工程</w:t>
            </w:r>
          </w:p>
        </w:tc>
      </w:tr>
      <w:tr w14:paraId="3BE66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hidden/>
        </w:trPr>
        <w:tc>
          <w:tcPr>
            <w:tcW w:w="1764" w:type="dxa"/>
            <w:noWrap w:val="0"/>
            <w:tcMar>
              <w:top w:w="16" w:type="dxa"/>
              <w:left w:w="16" w:type="dxa"/>
              <w:right w:w="16" w:type="dxa"/>
            </w:tcMar>
            <w:vAlign w:val="center"/>
          </w:tcPr>
          <w:p w14:paraId="61274584">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项目代码</w:t>
            </w:r>
          </w:p>
        </w:tc>
        <w:tc>
          <w:tcPr>
            <w:tcW w:w="7088" w:type="dxa"/>
            <w:gridSpan w:val="3"/>
            <w:noWrap w:val="0"/>
            <w:vAlign w:val="center"/>
          </w:tcPr>
          <w:p w14:paraId="57EB1E5C">
            <w:pPr>
              <w:adjustRightInd w:val="0"/>
              <w:snapToGrid w:val="0"/>
              <w:jc w:val="center"/>
              <w:rPr>
                <w:rFonts w:hint="default" w:ascii="Times New Roman" w:hAnsi="Times New Roman" w:cs="Times New Roman"/>
                <w:vanish w:val="0"/>
                <w:color w:val="000000" w:themeColor="text1"/>
                <w:szCs w:val="21"/>
                <w:lang w:val="en-US"/>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220</w:t>
            </w:r>
            <w:r>
              <w:rPr>
                <w:rFonts w:hint="eastAsia" w:ascii="Times New Roman" w:hAnsi="Times New Roman" w:eastAsia="宋体" w:cs="Times New Roman"/>
                <w:vanish w:val="0"/>
                <w:color w:val="000000" w:themeColor="text1"/>
                <w:lang w:val="en-US" w:eastAsia="zh-CN"/>
                <w14:textFill>
                  <w14:solidFill>
                    <w14:schemeClr w14:val="tx1"/>
                  </w14:solidFill>
                </w14:textFill>
              </w:rPr>
              <w:t>4</w:t>
            </w:r>
            <w:r>
              <w:rPr>
                <w:rFonts w:hint="default" w:ascii="Times New Roman" w:hAnsi="Times New Roman" w:eastAsia="宋体" w:cs="Times New Roman"/>
                <w:vanish w:val="0"/>
                <w:color w:val="000000" w:themeColor="text1"/>
                <w:lang w:val="en-US" w:eastAsia="zh-CN"/>
                <w14:textFill>
                  <w14:solidFill>
                    <w14:schemeClr w14:val="tx1"/>
                  </w14:solidFill>
                </w14:textFill>
              </w:rPr>
              <w:t>-610331-04-0</w:t>
            </w:r>
            <w:r>
              <w:rPr>
                <w:rFonts w:hint="eastAsia" w:ascii="Times New Roman" w:hAnsi="Times New Roman" w:eastAsia="宋体" w:cs="Times New Roman"/>
                <w:vanish w:val="0"/>
                <w:color w:val="000000" w:themeColor="text1"/>
                <w:lang w:val="en-US" w:eastAsia="zh-CN"/>
                <w14:textFill>
                  <w14:solidFill>
                    <w14:schemeClr w14:val="tx1"/>
                  </w14:solidFill>
                </w14:textFill>
              </w:rPr>
              <w:t>1</w:t>
            </w:r>
            <w:r>
              <w:rPr>
                <w:rFonts w:hint="default" w:ascii="Times New Roman" w:hAnsi="Times New Roman" w:eastAsia="宋体" w:cs="Times New Roman"/>
                <w:vanish w:val="0"/>
                <w:color w:val="000000" w:themeColor="text1"/>
                <w:lang w:val="en-US" w:eastAsia="zh-CN"/>
                <w14:textFill>
                  <w14:solidFill>
                    <w14:schemeClr w14:val="tx1"/>
                  </w14:solidFill>
                </w14:textFill>
              </w:rPr>
              <w:t>-</w:t>
            </w:r>
            <w:r>
              <w:rPr>
                <w:rFonts w:hint="eastAsia" w:ascii="Times New Roman" w:hAnsi="Times New Roman" w:eastAsia="宋体" w:cs="Times New Roman"/>
                <w:vanish w:val="0"/>
                <w:color w:val="000000" w:themeColor="text1"/>
                <w:lang w:val="en-US" w:eastAsia="zh-CN"/>
                <w14:textFill>
                  <w14:solidFill>
                    <w14:schemeClr w14:val="tx1"/>
                  </w14:solidFill>
                </w14:textFill>
              </w:rPr>
              <w:t>939045</w:t>
            </w:r>
          </w:p>
        </w:tc>
      </w:tr>
      <w:tr w14:paraId="71883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hidden/>
        </w:trPr>
        <w:tc>
          <w:tcPr>
            <w:tcW w:w="1764" w:type="dxa"/>
            <w:noWrap w:val="0"/>
            <w:tcMar>
              <w:top w:w="16" w:type="dxa"/>
              <w:left w:w="16" w:type="dxa"/>
              <w:right w:w="16" w:type="dxa"/>
            </w:tcMar>
            <w:vAlign w:val="center"/>
          </w:tcPr>
          <w:p w14:paraId="4CE0F9F9">
            <w:pPr>
              <w:adjustRightInd w:val="0"/>
              <w:snapToGrid w:val="0"/>
              <w:jc w:val="cente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建设单位联系人</w:t>
            </w:r>
          </w:p>
        </w:tc>
        <w:tc>
          <w:tcPr>
            <w:tcW w:w="2255" w:type="dxa"/>
            <w:noWrap w:val="0"/>
            <w:vAlign w:val="center"/>
          </w:tcPr>
          <w:p w14:paraId="1673282E">
            <w:pPr>
              <w:adjustRightInd w:val="0"/>
              <w:snapToGrid w:val="0"/>
              <w:jc w:val="cente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pPr>
          </w:p>
        </w:tc>
        <w:tc>
          <w:tcPr>
            <w:tcW w:w="2212" w:type="dxa"/>
            <w:noWrap w:val="0"/>
            <w:vAlign w:val="center"/>
          </w:tcPr>
          <w:p w14:paraId="099515D6">
            <w:pPr>
              <w:adjustRightInd w:val="0"/>
              <w:snapToGrid w:val="0"/>
              <w:jc w:val="cente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联系方式</w:t>
            </w:r>
          </w:p>
        </w:tc>
        <w:tc>
          <w:tcPr>
            <w:tcW w:w="2621" w:type="dxa"/>
            <w:noWrap w:val="0"/>
            <w:vAlign w:val="center"/>
          </w:tcPr>
          <w:p w14:paraId="1BB496FF">
            <w:pPr>
              <w:adjustRightInd w:val="0"/>
              <w:snapToGrid w:val="0"/>
              <w:jc w:val="center"/>
              <w:rPr>
                <w:rFonts w:hint="default" w:ascii="Times New Roman" w:hAnsi="Times New Roman" w:cs="Times New Roman"/>
                <w:vanish w:val="0"/>
                <w:color w:val="000000" w:themeColor="text1"/>
                <w:szCs w:val="21"/>
                <w:highlight w:val="none"/>
                <w14:textFill>
                  <w14:solidFill>
                    <w14:schemeClr w14:val="tx1"/>
                  </w14:solidFill>
                </w14:textFill>
              </w:rPr>
            </w:pPr>
          </w:p>
        </w:tc>
      </w:tr>
      <w:tr w14:paraId="49ADC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hidden/>
        </w:trPr>
        <w:tc>
          <w:tcPr>
            <w:tcW w:w="1764" w:type="dxa"/>
            <w:noWrap w:val="0"/>
            <w:tcMar>
              <w:top w:w="16" w:type="dxa"/>
              <w:left w:w="16" w:type="dxa"/>
              <w:right w:w="16" w:type="dxa"/>
            </w:tcMar>
            <w:vAlign w:val="center"/>
          </w:tcPr>
          <w:p w14:paraId="578AEC4B">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建设地点</w:t>
            </w:r>
          </w:p>
        </w:tc>
        <w:tc>
          <w:tcPr>
            <w:tcW w:w="7088" w:type="dxa"/>
            <w:gridSpan w:val="3"/>
            <w:noWrap w:val="0"/>
            <w:vAlign w:val="center"/>
          </w:tcPr>
          <w:p w14:paraId="74663FA5">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vanish w:val="0"/>
                <w:color w:val="000000" w:themeColor="text1"/>
                <w:sz w:val="21"/>
                <w:szCs w:val="21"/>
                <w:highlight w:val="none"/>
                <w:u w:val="single"/>
                <w14:textFill>
                  <w14:solidFill>
                    <w14:schemeClr w14:val="tx1"/>
                  </w14:solidFill>
                </w14:textFill>
              </w:rPr>
              <w:t>陕西</w:t>
            </w:r>
            <w:r>
              <w:rPr>
                <w:vanish w:val="0"/>
                <w:color w:val="000000" w:themeColor="text1"/>
                <w:sz w:val="21"/>
                <w:szCs w:val="21"/>
                <w:highlight w:val="none"/>
                <w14:textFill>
                  <w14:solidFill>
                    <w14:schemeClr w14:val="tx1"/>
                  </w14:solidFill>
                </w14:textFill>
              </w:rPr>
              <w:t>省</w:t>
            </w:r>
            <w:r>
              <w:rPr>
                <w:vanish w:val="0"/>
                <w:color w:val="000000" w:themeColor="text1"/>
                <w:sz w:val="21"/>
                <w:szCs w:val="21"/>
                <w:highlight w:val="none"/>
                <w:u w:val="single"/>
                <w14:textFill>
                  <w14:solidFill>
                    <w14:schemeClr w14:val="tx1"/>
                  </w14:solidFill>
                </w14:textFill>
              </w:rPr>
              <w:t>宝鸡</w:t>
            </w:r>
            <w:r>
              <w:rPr>
                <w:vanish w:val="0"/>
                <w:color w:val="000000" w:themeColor="text1"/>
                <w:sz w:val="21"/>
                <w:szCs w:val="21"/>
                <w:highlight w:val="none"/>
                <w14:textFill>
                  <w14:solidFill>
                    <w14:schemeClr w14:val="tx1"/>
                  </w14:solidFill>
                </w14:textFill>
              </w:rPr>
              <w:t>市</w:t>
            </w:r>
            <w:r>
              <w:rPr>
                <w:vanish w:val="0"/>
                <w:color w:val="000000" w:themeColor="text1"/>
                <w:sz w:val="21"/>
                <w:szCs w:val="21"/>
                <w:highlight w:val="none"/>
                <w:u w:val="single"/>
                <w14:textFill>
                  <w14:solidFill>
                    <w14:schemeClr w14:val="tx1"/>
                  </w14:solidFill>
                </w14:textFill>
              </w:rPr>
              <w:t>太白</w:t>
            </w:r>
            <w:r>
              <w:rPr>
                <w:vanish w:val="0"/>
                <w:color w:val="000000" w:themeColor="text1"/>
                <w:sz w:val="21"/>
                <w:szCs w:val="21"/>
                <w:highlight w:val="none"/>
                <w14:textFill>
                  <w14:solidFill>
                    <w14:schemeClr w14:val="tx1"/>
                  </w14:solidFill>
                </w14:textFill>
              </w:rPr>
              <w:t>县</w:t>
            </w:r>
            <w:r>
              <w:rPr>
                <w:rFonts w:hint="eastAsia"/>
                <w:vanish w:val="0"/>
                <w:color w:val="000000" w:themeColor="text1"/>
                <w:sz w:val="21"/>
                <w:szCs w:val="21"/>
                <w:highlight w:val="none"/>
                <w:u w:val="single"/>
                <w:lang w:val="en-US" w:eastAsia="zh-CN"/>
                <w14:textFill>
                  <w14:solidFill>
                    <w14:schemeClr w14:val="tx1"/>
                  </w14:solidFill>
                </w14:textFill>
              </w:rPr>
              <w:t>桃川</w:t>
            </w:r>
            <w:r>
              <w:rPr>
                <w:vanish w:val="0"/>
                <w:color w:val="000000" w:themeColor="text1"/>
                <w:sz w:val="21"/>
                <w:szCs w:val="21"/>
                <w:highlight w:val="none"/>
                <w14:textFill>
                  <w14:solidFill>
                    <w14:schemeClr w14:val="tx1"/>
                  </w14:solidFill>
                </w14:textFill>
              </w:rPr>
              <w:t>镇</w:t>
            </w:r>
          </w:p>
        </w:tc>
      </w:tr>
      <w:tr w14:paraId="0543A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hidden/>
        </w:trPr>
        <w:tc>
          <w:tcPr>
            <w:tcW w:w="1764" w:type="dxa"/>
            <w:noWrap w:val="0"/>
            <w:tcMar>
              <w:top w:w="16" w:type="dxa"/>
              <w:left w:w="16" w:type="dxa"/>
              <w:right w:w="16" w:type="dxa"/>
            </w:tcMar>
            <w:vAlign w:val="center"/>
          </w:tcPr>
          <w:p w14:paraId="1D91FBDA">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地理坐标</w:t>
            </w:r>
          </w:p>
        </w:tc>
        <w:tc>
          <w:tcPr>
            <w:tcW w:w="7088" w:type="dxa"/>
            <w:gridSpan w:val="3"/>
            <w:noWrap w:val="0"/>
            <w:vAlign w:val="center"/>
          </w:tcPr>
          <w:p w14:paraId="68E9E935">
            <w:pPr>
              <w:adjustRightInd w:val="0"/>
              <w:snapToGrid w:val="0"/>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1、净化水厂：107°26'45.2586"、34°02'53.1577"</w:t>
            </w:r>
          </w:p>
          <w:p w14:paraId="1BFD6A7C">
            <w:pPr>
              <w:adjustRightInd w:val="0"/>
              <w:snapToGrid w:val="0"/>
              <w:jc w:val="center"/>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2、输水管网：</w:t>
            </w:r>
          </w:p>
          <w:p w14:paraId="4A4C5175">
            <w:pPr>
              <w:adjustRightInd w:val="0"/>
              <w:snapToGrid w:val="0"/>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起点107°26'45.2586"、34°02'53.1577"</w:t>
            </w:r>
          </w:p>
          <w:p w14:paraId="20D2EB09">
            <w:pPr>
              <w:adjustRightInd w:val="0"/>
              <w:snapToGrid w:val="0"/>
              <w:jc w:val="center"/>
              <w:rPr>
                <w:rFonts w:hint="default"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终点107°35'12.5190"、34°03'21.1025"</w:t>
            </w:r>
          </w:p>
        </w:tc>
      </w:tr>
      <w:tr w14:paraId="68CCE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hidden/>
        </w:trPr>
        <w:tc>
          <w:tcPr>
            <w:tcW w:w="1764" w:type="dxa"/>
            <w:noWrap w:val="0"/>
            <w:tcMar>
              <w:top w:w="16" w:type="dxa"/>
              <w:left w:w="16" w:type="dxa"/>
              <w:right w:w="16" w:type="dxa"/>
            </w:tcMar>
            <w:vAlign w:val="center"/>
          </w:tcPr>
          <w:p w14:paraId="38B8A99A">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国民经济</w:t>
            </w:r>
          </w:p>
          <w:p w14:paraId="59B69DAF">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行业类别</w:t>
            </w:r>
          </w:p>
        </w:tc>
        <w:tc>
          <w:tcPr>
            <w:tcW w:w="2255" w:type="dxa"/>
            <w:noWrap w:val="0"/>
            <w:vAlign w:val="center"/>
          </w:tcPr>
          <w:p w14:paraId="47A1E8CA">
            <w:pPr>
              <w:adjustRightInd w:val="0"/>
              <w:snapToGrid w:val="0"/>
              <w:jc w:val="center"/>
              <w:rPr>
                <w:rFonts w:hint="eastAsia"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Cs w:val="21"/>
                <w:lang w:val="en-US" w:eastAsia="zh-CN"/>
                <w14:textFill>
                  <w14:solidFill>
                    <w14:schemeClr w14:val="tx1"/>
                  </w14:solidFill>
                </w14:textFill>
              </w:rPr>
              <w:t>D4610自来水生产和</w:t>
            </w:r>
          </w:p>
          <w:p w14:paraId="48C4B54D">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eastAsia="宋体" w:cs="Times New Roman"/>
                <w:vanish w:val="0"/>
                <w:color w:val="000000" w:themeColor="text1"/>
                <w:szCs w:val="21"/>
                <w:lang w:val="en-US" w:eastAsia="zh-CN"/>
                <w14:textFill>
                  <w14:solidFill>
                    <w14:schemeClr w14:val="tx1"/>
                  </w14:solidFill>
                </w14:textFill>
              </w:rPr>
              <w:t>供应</w:t>
            </w:r>
          </w:p>
        </w:tc>
        <w:tc>
          <w:tcPr>
            <w:tcW w:w="2212" w:type="dxa"/>
            <w:noWrap w:val="0"/>
            <w:vAlign w:val="center"/>
          </w:tcPr>
          <w:p w14:paraId="4A4913BD">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bookmarkStart w:id="1" w:name="_Hlk49843745"/>
            <w:r>
              <w:rPr>
                <w:rFonts w:hint="default" w:ascii="Times New Roman" w:hAnsi="Times New Roman" w:cs="Times New Roman"/>
                <w:vanish w:val="0"/>
                <w:color w:val="000000" w:themeColor="text1"/>
                <w:szCs w:val="21"/>
                <w14:textFill>
                  <w14:solidFill>
                    <w14:schemeClr w14:val="tx1"/>
                  </w14:solidFill>
                </w14:textFill>
              </w:rPr>
              <w:t>建设项目</w:t>
            </w:r>
          </w:p>
          <w:p w14:paraId="7BCF9187">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行业类别</w:t>
            </w:r>
            <w:bookmarkEnd w:id="1"/>
          </w:p>
        </w:tc>
        <w:tc>
          <w:tcPr>
            <w:tcW w:w="2621" w:type="dxa"/>
            <w:noWrap w:val="0"/>
            <w:vAlign w:val="center"/>
          </w:tcPr>
          <w:p w14:paraId="679C3824">
            <w:pPr>
              <w:adjustRightInd w:val="0"/>
              <w:snapToGrid w:val="0"/>
              <w:rPr>
                <w:rFonts w:hint="eastAsia" w:ascii="Times New Roman" w:hAnsi="Times New Roman" w:eastAsia="宋体" w:cs="Times New Roman"/>
                <w:vanish w:val="0"/>
                <w:color w:val="000000" w:themeColor="text1"/>
                <w:szCs w:val="21"/>
                <w:lang w:eastAsia="zh-CN"/>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四十三、水的生产和供应业9</w:t>
            </w:r>
            <w:r>
              <w:rPr>
                <w:rFonts w:hint="eastAsia" w:ascii="Times New Roman" w:hAnsi="Times New Roman" w:cs="Times New Roman"/>
                <w:vanish w:val="0"/>
                <w:color w:val="000000" w:themeColor="text1"/>
                <w:szCs w:val="21"/>
                <w:lang w:val="en-US" w:eastAsia="zh-CN"/>
                <w14:textFill>
                  <w14:solidFill>
                    <w14:schemeClr w14:val="tx1"/>
                  </w14:solidFill>
                </w14:textFill>
              </w:rPr>
              <w:t>4</w:t>
            </w:r>
            <w:r>
              <w:rPr>
                <w:rFonts w:hint="default" w:ascii="Times New Roman" w:hAnsi="Times New Roman" w:cs="Times New Roman"/>
                <w:vanish w:val="0"/>
                <w:color w:val="000000" w:themeColor="text1"/>
                <w:szCs w:val="21"/>
                <w14:textFill>
                  <w14:solidFill>
                    <w14:schemeClr w14:val="tx1"/>
                  </w14:solidFill>
                </w14:textFill>
              </w:rPr>
              <w:t>、</w:t>
            </w:r>
            <w:r>
              <w:rPr>
                <w:rFonts w:hint="eastAsia" w:ascii="Times New Roman" w:hAnsi="Times New Roman" w:cs="Times New Roman"/>
                <w:vanish w:val="0"/>
                <w:color w:val="000000" w:themeColor="text1"/>
                <w:szCs w:val="21"/>
                <w:lang w:val="en-US" w:eastAsia="zh-CN"/>
                <w14:textFill>
                  <w14:solidFill>
                    <w14:schemeClr w14:val="tx1"/>
                  </w14:solidFill>
                </w14:textFill>
              </w:rPr>
              <w:t>自来水生产和供应</w:t>
            </w:r>
            <w:r>
              <w:rPr>
                <w:rFonts w:hint="default" w:ascii="Times New Roman" w:hAnsi="Times New Roman" w:cs="Times New Roman"/>
                <w:vanish w:val="0"/>
                <w:color w:val="000000" w:themeColor="text1"/>
                <w:szCs w:val="21"/>
                <w14:textFill>
                  <w14:solidFill>
                    <w14:schemeClr w14:val="tx1"/>
                  </w14:solidFill>
                </w14:textFill>
              </w:rPr>
              <w:t>（不含</w:t>
            </w:r>
            <w:r>
              <w:rPr>
                <w:rFonts w:hint="eastAsia" w:ascii="Times New Roman" w:hAnsi="Times New Roman" w:cs="Times New Roman"/>
                <w:vanish w:val="0"/>
                <w:color w:val="000000" w:themeColor="text1"/>
                <w:szCs w:val="21"/>
                <w:lang w:val="en-US" w:eastAsia="zh-CN"/>
                <w14:textFill>
                  <w14:solidFill>
                    <w14:schemeClr w14:val="tx1"/>
                  </w14:solidFill>
                </w14:textFill>
              </w:rPr>
              <w:t>供应工程；不含村庄供应工程</w:t>
            </w:r>
            <w:r>
              <w:rPr>
                <w:rFonts w:hint="eastAsia" w:ascii="Times New Roman" w:hAnsi="Times New Roman" w:cs="Times New Roman"/>
                <w:vanish w:val="0"/>
                <w:color w:val="000000" w:themeColor="text1"/>
                <w:szCs w:val="21"/>
                <w:lang w:eastAsia="zh-CN"/>
                <w14:textFill>
                  <w14:solidFill>
                    <w14:schemeClr w14:val="tx1"/>
                  </w14:solidFill>
                </w14:textFill>
              </w:rPr>
              <w:t>）</w:t>
            </w:r>
          </w:p>
        </w:tc>
      </w:tr>
      <w:tr w14:paraId="2CE08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hidden/>
        </w:trPr>
        <w:tc>
          <w:tcPr>
            <w:tcW w:w="1764" w:type="dxa"/>
            <w:noWrap w:val="0"/>
            <w:tcMar>
              <w:top w:w="16" w:type="dxa"/>
              <w:left w:w="16" w:type="dxa"/>
              <w:right w:w="16" w:type="dxa"/>
            </w:tcMar>
            <w:vAlign w:val="center"/>
          </w:tcPr>
          <w:p w14:paraId="1EDB43EF">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建设性质</w:t>
            </w:r>
          </w:p>
        </w:tc>
        <w:tc>
          <w:tcPr>
            <w:tcW w:w="2255" w:type="dxa"/>
            <w:noWrap w:val="0"/>
            <w:vAlign w:val="center"/>
          </w:tcPr>
          <w:p w14:paraId="1AAC1B09">
            <w:pPr>
              <w:jc w:val="left"/>
              <w:rPr>
                <w:rFonts w:hint="eastAsia" w:ascii="Times New Roman" w:hAnsi="Times New Roman" w:eastAsia="宋体" w:cs="Times New Roman"/>
                <w:vanish w:val="0"/>
                <w:color w:val="000000" w:themeColor="text1"/>
                <w:szCs w:val="21"/>
                <w:lang w:eastAsia="zh-CN"/>
                <w14:textFill>
                  <w14:solidFill>
                    <w14:schemeClr w14:val="tx1"/>
                  </w14:solidFill>
                </w14:textFill>
              </w:rPr>
            </w:pP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新建（迁建</w:t>
            </w:r>
            <w:r>
              <w:rPr>
                <w:rFonts w:hint="eastAsia" w:ascii="Times New Roman" w:hAnsi="Times New Roman" w:cs="Times New Roman"/>
                <w:vanish w:val="0"/>
                <w:color w:val="000000" w:themeColor="text1"/>
                <w:szCs w:val="21"/>
                <w:lang w:eastAsia="zh-CN"/>
                <w14:textFill>
                  <w14:solidFill>
                    <w14:schemeClr w14:val="tx1"/>
                  </w14:solidFill>
                </w14:textFill>
              </w:rPr>
              <w:t>）</w:t>
            </w:r>
          </w:p>
          <w:p w14:paraId="2EB815A1">
            <w:pPr>
              <w:jc w:val="left"/>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改建</w:t>
            </w:r>
          </w:p>
          <w:p w14:paraId="7598309B">
            <w:pPr>
              <w:jc w:val="left"/>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扩建</w:t>
            </w:r>
          </w:p>
          <w:p w14:paraId="1BD9DA24">
            <w:pPr>
              <w:jc w:val="left"/>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技术改造</w:t>
            </w:r>
          </w:p>
        </w:tc>
        <w:tc>
          <w:tcPr>
            <w:tcW w:w="2212" w:type="dxa"/>
            <w:noWrap w:val="0"/>
            <w:vAlign w:val="center"/>
          </w:tcPr>
          <w:p w14:paraId="1A27421F">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建设项目</w:t>
            </w:r>
          </w:p>
          <w:p w14:paraId="286C9BBD">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申报情形</w:t>
            </w:r>
          </w:p>
        </w:tc>
        <w:tc>
          <w:tcPr>
            <w:tcW w:w="2621" w:type="dxa"/>
            <w:noWrap w:val="0"/>
            <w:vAlign w:val="center"/>
          </w:tcPr>
          <w:p w14:paraId="51F78893">
            <w:pPr>
              <w:jc w:val="left"/>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 xml:space="preserve">首次申报项目             </w:t>
            </w:r>
          </w:p>
          <w:p w14:paraId="66B439FB">
            <w:pPr>
              <w:jc w:val="left"/>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不予批准后再次申报项目</w:t>
            </w:r>
          </w:p>
          <w:p w14:paraId="063DAEC6">
            <w:pPr>
              <w:jc w:val="left"/>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 xml:space="preserve">超五年重新审核项目     </w:t>
            </w:r>
          </w:p>
          <w:p w14:paraId="52C832EF">
            <w:pPr>
              <w:jc w:val="left"/>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重大变动重新报批项目</w:t>
            </w:r>
          </w:p>
        </w:tc>
      </w:tr>
      <w:tr w14:paraId="08C56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hidden/>
        </w:trPr>
        <w:tc>
          <w:tcPr>
            <w:tcW w:w="1764" w:type="dxa"/>
            <w:noWrap w:val="0"/>
            <w:tcMar>
              <w:top w:w="16" w:type="dxa"/>
              <w:left w:w="16" w:type="dxa"/>
              <w:right w:w="16" w:type="dxa"/>
            </w:tcMar>
            <w:vAlign w:val="center"/>
          </w:tcPr>
          <w:p w14:paraId="5919D352">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项目审批（核准/</w:t>
            </w:r>
          </w:p>
          <w:p w14:paraId="5F11DEE5">
            <w:pPr>
              <w:adjustRightInd w:val="0"/>
              <w:snapToGrid w:val="0"/>
              <w:jc w:val="center"/>
              <w:rPr>
                <w:rFonts w:hint="eastAsia" w:ascii="Times New Roman" w:hAnsi="Times New Roman" w:eastAsia="宋体" w:cs="Times New Roman"/>
                <w:vanish w:val="0"/>
                <w:color w:val="000000" w:themeColor="text1"/>
                <w:szCs w:val="21"/>
                <w:lang w:eastAsia="zh-CN"/>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备案</w:t>
            </w: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部门（选填</w:t>
            </w:r>
            <w:r>
              <w:rPr>
                <w:rFonts w:hint="eastAsia" w:ascii="Times New Roman" w:hAnsi="Times New Roman" w:cs="Times New Roman"/>
                <w:vanish w:val="0"/>
                <w:color w:val="000000" w:themeColor="text1"/>
                <w:szCs w:val="21"/>
                <w:lang w:eastAsia="zh-CN"/>
                <w14:textFill>
                  <w14:solidFill>
                    <w14:schemeClr w14:val="tx1"/>
                  </w14:solidFill>
                </w14:textFill>
              </w:rPr>
              <w:t>）</w:t>
            </w:r>
          </w:p>
        </w:tc>
        <w:tc>
          <w:tcPr>
            <w:tcW w:w="2255" w:type="dxa"/>
            <w:noWrap w:val="0"/>
            <w:vAlign w:val="center"/>
          </w:tcPr>
          <w:p w14:paraId="07E3E2E6">
            <w:pPr>
              <w:adjustRightInd w:val="0"/>
              <w:snapToGrid w:val="0"/>
              <w:jc w:val="center"/>
              <w:rPr>
                <w:rFonts w:hint="default"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太白县行政审批服务局</w:t>
            </w:r>
          </w:p>
        </w:tc>
        <w:tc>
          <w:tcPr>
            <w:tcW w:w="2212" w:type="dxa"/>
            <w:noWrap w:val="0"/>
            <w:vAlign w:val="center"/>
          </w:tcPr>
          <w:p w14:paraId="79A98021">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项目审批（核准/</w:t>
            </w:r>
          </w:p>
          <w:p w14:paraId="3F94BF6D">
            <w:pPr>
              <w:adjustRightInd w:val="0"/>
              <w:snapToGrid w:val="0"/>
              <w:jc w:val="center"/>
              <w:rPr>
                <w:rFonts w:hint="eastAsia" w:ascii="Times New Roman" w:hAnsi="Times New Roman" w:eastAsia="宋体" w:cs="Times New Roman"/>
                <w:vanish w:val="0"/>
                <w:color w:val="000000" w:themeColor="text1"/>
                <w:szCs w:val="21"/>
                <w:lang w:eastAsia="zh-CN"/>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备案</w:t>
            </w: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文号（选填</w:t>
            </w:r>
            <w:r>
              <w:rPr>
                <w:rFonts w:hint="eastAsia" w:ascii="Times New Roman" w:hAnsi="Times New Roman" w:cs="Times New Roman"/>
                <w:vanish w:val="0"/>
                <w:color w:val="000000" w:themeColor="text1"/>
                <w:szCs w:val="21"/>
                <w:lang w:eastAsia="zh-CN"/>
                <w14:textFill>
                  <w14:solidFill>
                    <w14:schemeClr w14:val="tx1"/>
                  </w14:solidFill>
                </w14:textFill>
              </w:rPr>
              <w:t>）</w:t>
            </w:r>
          </w:p>
        </w:tc>
        <w:tc>
          <w:tcPr>
            <w:tcW w:w="2621" w:type="dxa"/>
            <w:noWrap w:val="0"/>
            <w:vAlign w:val="center"/>
          </w:tcPr>
          <w:p w14:paraId="28060990">
            <w:pPr>
              <w:adjustRightInd w:val="0"/>
              <w:snapToGrid w:val="0"/>
              <w:jc w:val="center"/>
              <w:rPr>
                <w:rFonts w:hint="default"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太审批项目发</w:t>
            </w:r>
            <w:r>
              <w:rPr>
                <w:rFonts w:hint="eastAsia" w:cs="Times New Roman"/>
                <w:vanish w:val="0"/>
                <w:color w:val="000000" w:themeColor="text1"/>
                <w:szCs w:val="21"/>
                <w:lang w:val="en-US" w:eastAsia="zh-CN"/>
                <w14:textFill>
                  <w14:solidFill>
                    <w14:schemeClr w14:val="tx1"/>
                  </w14:solidFill>
                </w14:textFill>
              </w:rPr>
              <w:t>〔2024〕289号</w:t>
            </w:r>
          </w:p>
        </w:tc>
      </w:tr>
      <w:tr w14:paraId="0E6AB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hidden/>
        </w:trPr>
        <w:tc>
          <w:tcPr>
            <w:tcW w:w="1764" w:type="dxa"/>
            <w:noWrap w:val="0"/>
            <w:tcMar>
              <w:top w:w="16" w:type="dxa"/>
              <w:left w:w="16" w:type="dxa"/>
              <w:right w:w="16" w:type="dxa"/>
            </w:tcMar>
            <w:vAlign w:val="center"/>
          </w:tcPr>
          <w:p w14:paraId="314C87B5">
            <w:pPr>
              <w:adjustRightInd w:val="0"/>
              <w:snapToGrid w:val="0"/>
              <w:jc w:val="center"/>
              <w:rPr>
                <w:rFonts w:hint="eastAsia" w:ascii="Times New Roman" w:hAnsi="Times New Roman" w:eastAsia="宋体" w:cs="Times New Roman"/>
                <w:vanish w:val="0"/>
                <w:color w:val="000000" w:themeColor="text1"/>
                <w:szCs w:val="21"/>
                <w:lang w:eastAsia="zh-CN"/>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总投资（万元</w:t>
            </w:r>
            <w:r>
              <w:rPr>
                <w:rFonts w:hint="eastAsia" w:ascii="Times New Roman" w:hAnsi="Times New Roman" w:cs="Times New Roman"/>
                <w:vanish w:val="0"/>
                <w:color w:val="000000" w:themeColor="text1"/>
                <w:szCs w:val="21"/>
                <w:lang w:eastAsia="zh-CN"/>
                <w14:textFill>
                  <w14:solidFill>
                    <w14:schemeClr w14:val="tx1"/>
                  </w14:solidFill>
                </w14:textFill>
              </w:rPr>
              <w:t>）</w:t>
            </w:r>
          </w:p>
        </w:tc>
        <w:tc>
          <w:tcPr>
            <w:tcW w:w="2255" w:type="dxa"/>
            <w:noWrap w:val="0"/>
            <w:vAlign w:val="center"/>
          </w:tcPr>
          <w:p w14:paraId="0BBAFC89">
            <w:pPr>
              <w:adjustRightInd w:val="0"/>
              <w:snapToGrid w:val="0"/>
              <w:jc w:val="center"/>
              <w:rPr>
                <w:rFonts w:hint="default" w:ascii="Times New Roman" w:hAnsi="Times New Roman" w:cs="Times New Roman"/>
                <w:vanish w:val="0"/>
                <w:color w:val="000000" w:themeColor="text1"/>
                <w:szCs w:val="21"/>
                <w:lang w:val="en-US"/>
                <w14:textFill>
                  <w14:solidFill>
                    <w14:schemeClr w14:val="tx1"/>
                  </w14:solidFill>
                </w14:textFill>
              </w:rPr>
            </w:pPr>
            <w:r>
              <w:rPr>
                <w:rFonts w:hint="eastAsia" w:ascii="Times New Roman" w:hAnsi="Times New Roman" w:eastAsia="宋体" w:cs="Times New Roman"/>
                <w:vanish w:val="0"/>
                <w:color w:val="000000" w:themeColor="text1"/>
                <w:szCs w:val="21"/>
                <w:lang w:val="en-US" w:eastAsia="zh-CN"/>
                <w14:textFill>
                  <w14:solidFill>
                    <w14:schemeClr w14:val="tx1"/>
                  </w14:solidFill>
                </w14:textFill>
              </w:rPr>
              <w:t>2128.05</w:t>
            </w:r>
          </w:p>
        </w:tc>
        <w:tc>
          <w:tcPr>
            <w:tcW w:w="2212" w:type="dxa"/>
            <w:noWrap w:val="0"/>
            <w:tcMar>
              <w:top w:w="16" w:type="dxa"/>
              <w:left w:w="16" w:type="dxa"/>
              <w:right w:w="16" w:type="dxa"/>
            </w:tcMar>
            <w:vAlign w:val="center"/>
          </w:tcPr>
          <w:p w14:paraId="2F8F1C88">
            <w:pPr>
              <w:adjustRightInd w:val="0"/>
              <w:snapToGrid w:val="0"/>
              <w:jc w:val="center"/>
              <w:rPr>
                <w:rFonts w:hint="eastAsia" w:ascii="Times New Roman" w:hAnsi="Times New Roman" w:eastAsia="宋体" w:cs="Times New Roman"/>
                <w:vanish w:val="0"/>
                <w:color w:val="000000" w:themeColor="text1"/>
                <w:szCs w:val="21"/>
                <w:lang w:eastAsia="zh-CN"/>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环保投资（万元</w:t>
            </w:r>
            <w:r>
              <w:rPr>
                <w:rFonts w:hint="eastAsia" w:ascii="Times New Roman" w:hAnsi="Times New Roman" w:cs="Times New Roman"/>
                <w:vanish w:val="0"/>
                <w:color w:val="000000" w:themeColor="text1"/>
                <w:szCs w:val="21"/>
                <w:lang w:eastAsia="zh-CN"/>
                <w14:textFill>
                  <w14:solidFill>
                    <w14:schemeClr w14:val="tx1"/>
                  </w14:solidFill>
                </w14:textFill>
              </w:rPr>
              <w:t>）</w:t>
            </w:r>
          </w:p>
        </w:tc>
        <w:tc>
          <w:tcPr>
            <w:tcW w:w="2621" w:type="dxa"/>
            <w:noWrap w:val="0"/>
            <w:vAlign w:val="center"/>
          </w:tcPr>
          <w:p w14:paraId="5FB811DE">
            <w:pPr>
              <w:adjustRightInd w:val="0"/>
              <w:snapToGrid w:val="0"/>
              <w:jc w:val="center"/>
              <w:rPr>
                <w:rFonts w:hint="default"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73.6</w:t>
            </w:r>
          </w:p>
        </w:tc>
      </w:tr>
      <w:tr w14:paraId="5985A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hidden/>
        </w:trPr>
        <w:tc>
          <w:tcPr>
            <w:tcW w:w="1764" w:type="dxa"/>
            <w:noWrap w:val="0"/>
            <w:tcMar>
              <w:top w:w="16" w:type="dxa"/>
              <w:left w:w="16" w:type="dxa"/>
              <w:right w:w="16" w:type="dxa"/>
            </w:tcMar>
            <w:vAlign w:val="center"/>
          </w:tcPr>
          <w:p w14:paraId="24451B17">
            <w:pPr>
              <w:adjustRightInd w:val="0"/>
              <w:snapToGrid w:val="0"/>
              <w:jc w:val="center"/>
              <w:rPr>
                <w:rFonts w:hint="eastAsia" w:ascii="Times New Roman" w:hAnsi="Times New Roman" w:eastAsia="宋体" w:cs="Times New Roman"/>
                <w:vanish w:val="0"/>
                <w:color w:val="000000" w:themeColor="text1"/>
                <w:szCs w:val="21"/>
                <w:lang w:eastAsia="zh-CN"/>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环保投资占比（%</w:t>
            </w:r>
            <w:r>
              <w:rPr>
                <w:rFonts w:hint="eastAsia" w:ascii="Times New Roman" w:hAnsi="Times New Roman" w:cs="Times New Roman"/>
                <w:vanish w:val="0"/>
                <w:color w:val="000000" w:themeColor="text1"/>
                <w:szCs w:val="21"/>
                <w:lang w:eastAsia="zh-CN"/>
                <w14:textFill>
                  <w14:solidFill>
                    <w14:schemeClr w14:val="tx1"/>
                  </w14:solidFill>
                </w14:textFill>
              </w:rPr>
              <w:t>）</w:t>
            </w:r>
          </w:p>
        </w:tc>
        <w:tc>
          <w:tcPr>
            <w:tcW w:w="2255" w:type="dxa"/>
            <w:noWrap w:val="0"/>
            <w:vAlign w:val="center"/>
          </w:tcPr>
          <w:p w14:paraId="7B72150A">
            <w:pPr>
              <w:adjustRightInd w:val="0"/>
              <w:snapToGrid w:val="0"/>
              <w:jc w:val="center"/>
              <w:rPr>
                <w:rFonts w:hint="default"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3.46</w:t>
            </w:r>
          </w:p>
        </w:tc>
        <w:tc>
          <w:tcPr>
            <w:tcW w:w="2212" w:type="dxa"/>
            <w:noWrap w:val="0"/>
            <w:tcMar>
              <w:top w:w="16" w:type="dxa"/>
              <w:left w:w="16" w:type="dxa"/>
              <w:right w:w="16" w:type="dxa"/>
            </w:tcMar>
            <w:vAlign w:val="center"/>
          </w:tcPr>
          <w:p w14:paraId="458449FC">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施工工期</w:t>
            </w:r>
          </w:p>
        </w:tc>
        <w:tc>
          <w:tcPr>
            <w:tcW w:w="2621" w:type="dxa"/>
            <w:noWrap w:val="0"/>
            <w:vAlign w:val="center"/>
          </w:tcPr>
          <w:p w14:paraId="6512D5CA">
            <w:pPr>
              <w:adjustRightInd w:val="0"/>
              <w:snapToGrid w:val="0"/>
              <w:jc w:val="center"/>
              <w:rPr>
                <w:rFonts w:hint="default"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8个月</w:t>
            </w:r>
          </w:p>
        </w:tc>
      </w:tr>
      <w:tr w14:paraId="15FB1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hidden/>
        </w:trPr>
        <w:tc>
          <w:tcPr>
            <w:tcW w:w="1764" w:type="dxa"/>
            <w:noWrap w:val="0"/>
            <w:tcMar>
              <w:top w:w="16" w:type="dxa"/>
              <w:left w:w="16" w:type="dxa"/>
              <w:right w:w="16" w:type="dxa"/>
            </w:tcMar>
            <w:vAlign w:val="center"/>
          </w:tcPr>
          <w:p w14:paraId="617CA8CA">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是否开工建设</w:t>
            </w:r>
          </w:p>
        </w:tc>
        <w:tc>
          <w:tcPr>
            <w:tcW w:w="2255" w:type="dxa"/>
            <w:noWrap w:val="0"/>
            <w:vAlign w:val="center"/>
          </w:tcPr>
          <w:p w14:paraId="03E500AD">
            <w:pPr>
              <w:adjustRightInd w:val="0"/>
              <w:snapToGrid w:val="0"/>
              <w:rPr>
                <w:rFonts w:hint="default" w:ascii="Times New Roman" w:hAnsi="Times New Roman" w:cs="Times New Roman"/>
                <w:vanish w:val="0"/>
                <w:color w:val="000000" w:themeColor="text1"/>
                <w:szCs w:val="21"/>
                <w14:textFill>
                  <w14:solidFill>
                    <w14:schemeClr w14:val="tx1"/>
                  </w14:solidFill>
                </w14:textFill>
              </w:rPr>
            </w:pPr>
            <w:r>
              <w:rPr>
                <w:rFonts w:hint="eastAsia"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否</w:t>
            </w:r>
          </w:p>
          <w:p w14:paraId="3E406A05">
            <w:pPr>
              <w:adjustRightInd w:val="0"/>
              <w:snapToGrid w:val="0"/>
              <w:rPr>
                <w:rFonts w:hint="default" w:ascii="Times New Roman" w:hAnsi="Times New Roman" w:cs="Times New Roman"/>
                <w:vanish w:val="0"/>
                <w:color w:val="000000" w:themeColor="text1"/>
                <w:szCs w:val="21"/>
                <w14:textFill>
                  <w14:solidFill>
                    <w14:schemeClr w14:val="tx1"/>
                  </w14:solidFill>
                </w14:textFill>
              </w:rPr>
            </w:pPr>
            <w:r>
              <w:rPr>
                <w:rFonts w:hint="eastAsia"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是：宝鸡市生态环境局太白分局不予行政处罚决定书</w:t>
            </w:r>
            <w:r>
              <w:rPr>
                <w:rFonts w:hint="eastAsia" w:cs="Times New Roman"/>
                <w:vanish w:val="0"/>
                <w:color w:val="000000" w:themeColor="text1"/>
                <w:szCs w:val="21"/>
                <w:lang w:eastAsia="zh-CN"/>
                <w14:textFill>
                  <w14:solidFill>
                    <w14:schemeClr w14:val="tx1"/>
                  </w14:solidFill>
                </w14:textFill>
              </w:rPr>
              <w:t>（</w:t>
            </w:r>
            <w:r>
              <w:rPr>
                <w:rFonts w:hint="eastAsia" w:cs="Times New Roman"/>
                <w:vanish w:val="0"/>
                <w:color w:val="000000" w:themeColor="text1"/>
                <w:szCs w:val="21"/>
                <w:lang w:val="en-US" w:eastAsia="zh-CN"/>
                <w14:textFill>
                  <w14:solidFill>
                    <w14:schemeClr w14:val="tx1"/>
                  </w14:solidFill>
                </w14:textFill>
              </w:rPr>
              <w:t>陕C太白环不罚【2026号】</w:t>
            </w:r>
            <w:r>
              <w:rPr>
                <w:rFonts w:hint="eastAsia" w:cs="Times New Roman"/>
                <w:vanish w:val="0"/>
                <w:color w:val="000000" w:themeColor="text1"/>
                <w:szCs w:val="21"/>
                <w:lang w:eastAsia="zh-CN"/>
                <w14:textFill>
                  <w14:solidFill>
                    <w14:schemeClr w14:val="tx1"/>
                  </w14:solidFill>
                </w14:textFill>
              </w:rPr>
              <w:t>）</w:t>
            </w:r>
          </w:p>
        </w:tc>
        <w:tc>
          <w:tcPr>
            <w:tcW w:w="2212" w:type="dxa"/>
            <w:noWrap w:val="0"/>
            <w:tcMar>
              <w:top w:w="16" w:type="dxa"/>
              <w:left w:w="16" w:type="dxa"/>
              <w:right w:w="16" w:type="dxa"/>
            </w:tcMar>
            <w:vAlign w:val="center"/>
          </w:tcPr>
          <w:p w14:paraId="3FC111E1">
            <w:pPr>
              <w:adjustRightInd w:val="0"/>
              <w:snapToGrid w:val="0"/>
              <w:jc w:val="center"/>
              <w:rPr>
                <w:rFonts w:hint="eastAsia" w:ascii="Times New Roman" w:hAnsi="Times New Roman" w:eastAsia="宋体" w:cs="Times New Roman"/>
                <w:vanish w:val="0"/>
                <w:color w:val="000000" w:themeColor="text1"/>
                <w:spacing w:val="-6"/>
                <w:szCs w:val="21"/>
                <w:lang w:eastAsia="zh-CN"/>
                <w14:textFill>
                  <w14:solidFill>
                    <w14:schemeClr w14:val="tx1"/>
                  </w14:solidFill>
                </w14:textFill>
              </w:rPr>
            </w:pPr>
            <w:r>
              <w:rPr>
                <w:rFonts w:hint="default" w:ascii="Times New Roman" w:hAnsi="Times New Roman" w:cs="Times New Roman"/>
                <w:vanish w:val="0"/>
                <w:color w:val="000000" w:themeColor="text1"/>
                <w:spacing w:val="-6"/>
                <w:szCs w:val="21"/>
                <w14:textFill>
                  <w14:solidFill>
                    <w14:schemeClr w14:val="tx1"/>
                  </w14:solidFill>
                </w14:textFill>
              </w:rPr>
              <w:t>用地（用海</w:t>
            </w:r>
            <w:r>
              <w:rPr>
                <w:rFonts w:hint="eastAsia" w:ascii="Times New Roman" w:hAnsi="Times New Roman" w:cs="Times New Roman"/>
                <w:vanish w:val="0"/>
                <w:color w:val="000000" w:themeColor="text1"/>
                <w:spacing w:val="-6"/>
                <w:szCs w:val="21"/>
                <w:lang w:eastAsia="zh-CN"/>
                <w14:textFill>
                  <w14:solidFill>
                    <w14:schemeClr w14:val="tx1"/>
                  </w14:solidFill>
                </w14:textFill>
              </w:rPr>
              <w:t>）</w:t>
            </w:r>
          </w:p>
          <w:p w14:paraId="31ED6F52">
            <w:pPr>
              <w:adjustRightInd w:val="0"/>
              <w:snapToGrid w:val="0"/>
              <w:jc w:val="center"/>
              <w:rPr>
                <w:rFonts w:hint="eastAsia" w:ascii="Times New Roman" w:hAnsi="Times New Roman" w:eastAsia="宋体" w:cs="Times New Roman"/>
                <w:vanish w:val="0"/>
                <w:color w:val="000000" w:themeColor="text1"/>
                <w:szCs w:val="21"/>
                <w:lang w:eastAsia="zh-CN"/>
                <w14:textFill>
                  <w14:solidFill>
                    <w14:schemeClr w14:val="tx1"/>
                  </w14:solidFill>
                </w14:textFill>
              </w:rPr>
            </w:pPr>
            <w:r>
              <w:rPr>
                <w:rFonts w:hint="default" w:ascii="Times New Roman" w:hAnsi="Times New Roman" w:cs="Times New Roman"/>
                <w:vanish w:val="0"/>
                <w:color w:val="000000" w:themeColor="text1"/>
                <w:spacing w:val="-6"/>
                <w:szCs w:val="21"/>
                <w14:textFill>
                  <w14:solidFill>
                    <w14:schemeClr w14:val="tx1"/>
                  </w14:solidFill>
                </w14:textFill>
              </w:rPr>
              <w:t>面积（m</w:t>
            </w:r>
            <w:r>
              <w:rPr>
                <w:rFonts w:hint="default" w:ascii="Times New Roman" w:hAnsi="Times New Roman" w:cs="Times New Roman"/>
                <w:vanish w:val="0"/>
                <w:color w:val="000000" w:themeColor="text1"/>
                <w:spacing w:val="-6"/>
                <w:szCs w:val="21"/>
                <w:vertAlign w:val="superscript"/>
                <w14:textFill>
                  <w14:solidFill>
                    <w14:schemeClr w14:val="tx1"/>
                  </w14:solidFill>
                </w14:textFill>
              </w:rPr>
              <w:t>2</w:t>
            </w:r>
            <w:r>
              <w:rPr>
                <w:rFonts w:hint="eastAsia" w:ascii="Times New Roman" w:hAnsi="Times New Roman" w:cs="Times New Roman"/>
                <w:vanish w:val="0"/>
                <w:color w:val="000000" w:themeColor="text1"/>
                <w:spacing w:val="-6"/>
                <w:szCs w:val="21"/>
                <w:lang w:eastAsia="zh-CN"/>
                <w14:textFill>
                  <w14:solidFill>
                    <w14:schemeClr w14:val="tx1"/>
                  </w14:solidFill>
                </w14:textFill>
              </w:rPr>
              <w:t>）</w:t>
            </w:r>
          </w:p>
        </w:tc>
        <w:tc>
          <w:tcPr>
            <w:tcW w:w="2621" w:type="dxa"/>
            <w:noWrap w:val="0"/>
            <w:vAlign w:val="center"/>
          </w:tcPr>
          <w:p w14:paraId="79C133E5">
            <w:pPr>
              <w:adjustRightInd w:val="0"/>
              <w:snapToGrid w:val="0"/>
              <w:ind w:firstLine="1260" w:firstLineChars="600"/>
              <w:jc w:val="left"/>
              <w:rPr>
                <w:rFonts w:hint="default"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cs="Times New Roman"/>
                <w:vanish w:val="0"/>
                <w:color w:val="000000" w:themeColor="text1"/>
                <w:szCs w:val="21"/>
                <w:lang w:val="en-US" w:eastAsia="zh-CN"/>
                <w14:textFill>
                  <w14:solidFill>
                    <w14:schemeClr w14:val="tx1"/>
                  </w14:solidFill>
                </w14:textFill>
              </w:rPr>
              <w:t>1600</w:t>
            </w:r>
          </w:p>
        </w:tc>
      </w:tr>
      <w:tr w14:paraId="61F16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hidden/>
        </w:trPr>
        <w:tc>
          <w:tcPr>
            <w:tcW w:w="1764" w:type="dxa"/>
            <w:noWrap w:val="0"/>
            <w:vAlign w:val="center"/>
          </w:tcPr>
          <w:p w14:paraId="7E49A78C">
            <w:pPr>
              <w:autoSpaceDE w:val="0"/>
              <w:autoSpaceDN w:val="0"/>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专项评价设置</w:t>
            </w:r>
          </w:p>
          <w:p w14:paraId="6F9B0D10">
            <w:pPr>
              <w:autoSpaceDE w:val="0"/>
              <w:autoSpaceDN w:val="0"/>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情况</w:t>
            </w:r>
          </w:p>
        </w:tc>
        <w:tc>
          <w:tcPr>
            <w:tcW w:w="7088" w:type="dxa"/>
            <w:gridSpan w:val="3"/>
            <w:noWrap w:val="0"/>
            <w:vAlign w:val="center"/>
          </w:tcPr>
          <w:p w14:paraId="16695454">
            <w:pPr>
              <w:spacing w:line="360" w:lineRule="auto"/>
              <w:jc w:val="center"/>
              <w:rPr>
                <w:rFonts w:hint="default" w:ascii="Times New Roman" w:hAnsi="Times New Roman" w:eastAsia="宋体" w:cs="Times New Roman"/>
                <w:vanish w:val="0"/>
                <w:color w:val="000000" w:themeColor="text1"/>
                <w:kern w:val="0"/>
                <w:szCs w:val="21"/>
                <w:lang w:eastAsia="zh-CN"/>
                <w14:textFill>
                  <w14:solidFill>
                    <w14:schemeClr w14:val="tx1"/>
                  </w14:solidFill>
                </w14:textFill>
              </w:rPr>
            </w:pPr>
            <w:r>
              <w:rPr>
                <w:rFonts w:hint="default" w:ascii="Times New Roman" w:hAnsi="Times New Roman" w:eastAsia="宋体" w:cs="Times New Roman"/>
                <w:vanish w:val="0"/>
                <w:color w:val="000000" w:themeColor="text1"/>
                <w:lang w:eastAsia="zh-CN"/>
                <w14:textFill>
                  <w14:solidFill>
                    <w14:schemeClr w14:val="tx1"/>
                  </w14:solidFill>
                </w14:textFill>
              </w:rPr>
              <w:t>无</w:t>
            </w:r>
          </w:p>
        </w:tc>
      </w:tr>
      <w:tr w14:paraId="10520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hidden/>
        </w:trPr>
        <w:tc>
          <w:tcPr>
            <w:tcW w:w="1764" w:type="dxa"/>
            <w:noWrap w:val="0"/>
            <w:vAlign w:val="center"/>
          </w:tcPr>
          <w:p w14:paraId="32740BEA">
            <w:pPr>
              <w:autoSpaceDE w:val="0"/>
              <w:autoSpaceDN w:val="0"/>
              <w:adjustRightInd w:val="0"/>
              <w:snapToGrid w:val="0"/>
              <w:jc w:val="center"/>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规划情况</w:t>
            </w:r>
          </w:p>
        </w:tc>
        <w:tc>
          <w:tcPr>
            <w:tcW w:w="7088" w:type="dxa"/>
            <w:gridSpan w:val="3"/>
            <w:noWrap w:val="0"/>
            <w:vAlign w:val="center"/>
          </w:tcPr>
          <w:p w14:paraId="71F2107B">
            <w:pPr>
              <w:autoSpaceDE w:val="0"/>
              <w:autoSpaceDN w:val="0"/>
              <w:adjustRightInd w:val="0"/>
              <w:snapToGrid w:val="0"/>
              <w:jc w:val="center"/>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无</w:t>
            </w:r>
          </w:p>
        </w:tc>
      </w:tr>
      <w:tr w14:paraId="05092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hidden/>
        </w:trPr>
        <w:tc>
          <w:tcPr>
            <w:tcW w:w="1764" w:type="dxa"/>
            <w:noWrap w:val="0"/>
            <w:vAlign w:val="center"/>
          </w:tcPr>
          <w:p w14:paraId="0DA43C55">
            <w:pPr>
              <w:autoSpaceDE w:val="0"/>
              <w:autoSpaceDN w:val="0"/>
              <w:adjustRightInd w:val="0"/>
              <w:snapToGrid w:val="0"/>
              <w:jc w:val="cente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规划环境影响</w:t>
            </w:r>
          </w:p>
          <w:p w14:paraId="221B99F6">
            <w:pPr>
              <w:autoSpaceDE w:val="0"/>
              <w:autoSpaceDN w:val="0"/>
              <w:adjustRightInd w:val="0"/>
              <w:snapToGrid w:val="0"/>
              <w:jc w:val="center"/>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评价情况</w:t>
            </w:r>
          </w:p>
        </w:tc>
        <w:tc>
          <w:tcPr>
            <w:tcW w:w="7088" w:type="dxa"/>
            <w:gridSpan w:val="3"/>
            <w:noWrap w:val="0"/>
            <w:vAlign w:val="center"/>
          </w:tcPr>
          <w:p w14:paraId="79F3E076">
            <w:pPr>
              <w:pStyle w:val="4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center"/>
              <w:textAlignment w:val="auto"/>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pPr>
            <w:r>
              <w:rPr>
                <w:rFonts w:hint="eastAsia" w:ascii="Times New Roman" w:hAnsi="Times New Roman" w:cs="Times New Roman"/>
                <w:bCs/>
                <w:vanish w:val="0"/>
                <w:color w:val="000000" w:themeColor="text1"/>
                <w:kern w:val="2"/>
                <w:sz w:val="21"/>
                <w:szCs w:val="21"/>
                <w:u w:val="none"/>
                <w:shd w:val="clear" w:color="auto" w:fill="auto"/>
                <w:lang w:val="en-US" w:eastAsia="zh-CN" w:bidi="ar-SA"/>
                <w14:textFill>
                  <w14:solidFill>
                    <w14:schemeClr w14:val="tx1"/>
                  </w14:solidFill>
                </w14:textFill>
              </w:rPr>
              <w:t>无</w:t>
            </w:r>
          </w:p>
        </w:tc>
      </w:tr>
      <w:tr w14:paraId="30008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hidden/>
        </w:trPr>
        <w:tc>
          <w:tcPr>
            <w:tcW w:w="1764" w:type="dxa"/>
            <w:noWrap w:val="0"/>
            <w:vAlign w:val="center"/>
          </w:tcPr>
          <w:p w14:paraId="1D1FE597">
            <w:pPr>
              <w:autoSpaceDE w:val="0"/>
              <w:autoSpaceDN w:val="0"/>
              <w:adjustRightInd w:val="0"/>
              <w:snapToGrid w:val="0"/>
              <w:jc w:val="cente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规划及规划环境</w:t>
            </w:r>
          </w:p>
          <w:p w14:paraId="0120F394">
            <w:pPr>
              <w:autoSpaceDE w:val="0"/>
              <w:autoSpaceDN w:val="0"/>
              <w:adjustRightInd w:val="0"/>
              <w:snapToGrid w:val="0"/>
              <w:jc w:val="center"/>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影响评价符合性分析</w:t>
            </w:r>
          </w:p>
        </w:tc>
        <w:tc>
          <w:tcPr>
            <w:tcW w:w="7088" w:type="dxa"/>
            <w:gridSpan w:val="3"/>
            <w:noWrap w:val="0"/>
            <w:vAlign w:val="center"/>
          </w:tcPr>
          <w:p w14:paraId="67A06416">
            <w:pPr>
              <w:pStyle w:val="4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center"/>
              <w:textAlignment w:val="auto"/>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无</w:t>
            </w:r>
          </w:p>
        </w:tc>
      </w:tr>
      <w:tr w14:paraId="59CBD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hidden/>
        </w:trPr>
        <w:tc>
          <w:tcPr>
            <w:tcW w:w="1764" w:type="dxa"/>
            <w:noWrap w:val="0"/>
            <w:vAlign w:val="center"/>
          </w:tcPr>
          <w:p w14:paraId="40C4384E">
            <w:pPr>
              <w:autoSpaceDE w:val="0"/>
              <w:autoSpaceDN w:val="0"/>
              <w:adjustRightInd w:val="0"/>
              <w:snapToGrid w:val="0"/>
              <w:jc w:val="center"/>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其他符合性分析</w:t>
            </w:r>
          </w:p>
        </w:tc>
        <w:tc>
          <w:tcPr>
            <w:tcW w:w="7088" w:type="dxa"/>
            <w:gridSpan w:val="3"/>
            <w:noWrap w:val="0"/>
            <w:vAlign w:val="center"/>
          </w:tcPr>
          <w:p w14:paraId="2BE287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lang w:val="en-US" w:eastAsia="zh-CN"/>
                <w14:textFill>
                  <w14:solidFill>
                    <w14:schemeClr w14:val="tx1"/>
                  </w14:solidFill>
                </w14:textFill>
              </w:rPr>
              <w:t>一、产业政策符合性分析</w:t>
            </w:r>
          </w:p>
          <w:p w14:paraId="7E6389A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项目为</w:t>
            </w:r>
            <w:r>
              <w:rPr>
                <w:rFonts w:hint="eastAsia" w:ascii="Times New Roman" w:hAnsi="Times New Roman" w:eastAsia="宋体" w:cs="Times New Roman"/>
                <w:vanish w:val="0"/>
                <w:color w:val="000000" w:themeColor="text1"/>
                <w:lang w:eastAsia="zh-CN"/>
                <w14:textFill>
                  <w14:solidFill>
                    <w14:schemeClr w14:val="tx1"/>
                  </w14:solidFill>
                </w14:textFill>
              </w:rPr>
              <w:t>太白县桃川镇集中供水工程</w:t>
            </w:r>
            <w:r>
              <w:rPr>
                <w:rFonts w:hint="eastAsia" w:ascii="Times New Roman" w:hAnsi="Times New Roman" w:eastAsia="宋体" w:cs="Times New Roman"/>
                <w:vanish w:val="0"/>
                <w:color w:val="000000" w:themeColor="text1"/>
                <w:lang w:val="en-US" w:eastAsia="zh-CN"/>
                <w14:textFill>
                  <w14:solidFill>
                    <w14:schemeClr w14:val="tx1"/>
                  </w14:solidFill>
                </w14:textFill>
              </w:rPr>
              <w:t>，对照国家发展改革委发布的新版《产业结构调整指导目录（</w:t>
            </w:r>
            <w:r>
              <w:rPr>
                <w:rFonts w:hint="default" w:ascii="Times New Roman" w:hAnsi="Times New Roman" w:eastAsia="宋体" w:cs="Times New Roman"/>
                <w:vanish w:val="0"/>
                <w:color w:val="000000" w:themeColor="text1"/>
                <w:lang w:val="en-US" w:eastAsia="zh-CN"/>
                <w14:textFill>
                  <w14:solidFill>
                    <w14:schemeClr w14:val="tx1"/>
                  </w14:solidFill>
                </w14:textFill>
              </w:rPr>
              <w:t>20</w:t>
            </w:r>
            <w:r>
              <w:rPr>
                <w:rFonts w:hint="eastAsia" w:ascii="Times New Roman" w:hAnsi="Times New Roman" w:eastAsia="宋体" w:cs="Times New Roman"/>
                <w:vanish w:val="0"/>
                <w:color w:val="000000" w:themeColor="text1"/>
                <w:lang w:val="en-US" w:eastAsia="zh-CN"/>
                <w14:textFill>
                  <w14:solidFill>
                    <w14:schemeClr w14:val="tx1"/>
                  </w14:solidFill>
                </w14:textFill>
              </w:rPr>
              <w:t>24年本）》（修订版），项目属于鼓励类中</w:t>
            </w:r>
            <w:r>
              <w:rPr>
                <w:rFonts w:hint="eastAsia" w:cs="Times New Roman"/>
                <w:vanish w:val="0"/>
                <w:color w:val="000000" w:themeColor="text1"/>
                <w:lang w:val="en-US" w:eastAsia="zh-CN"/>
                <w14:textFill>
                  <w14:solidFill>
                    <w14:schemeClr w14:val="tx1"/>
                  </w14:solidFill>
                </w14:textFill>
              </w:rPr>
              <w:t>“</w:t>
            </w:r>
            <w:r>
              <w:rPr>
                <w:rFonts w:hint="eastAsia" w:ascii="Times New Roman" w:hAnsi="Times New Roman" w:eastAsia="宋体" w:cs="Times New Roman"/>
                <w:vanish w:val="0"/>
                <w:color w:val="000000" w:themeColor="text1"/>
                <w:lang w:val="en-US" w:eastAsia="zh-CN"/>
                <w14:textFill>
                  <w14:solidFill>
                    <w14:schemeClr w14:val="tx1"/>
                  </w14:solidFill>
                </w14:textFill>
              </w:rPr>
              <w:t>二、水利2.节水</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供水工程</w:t>
            </w:r>
            <w:r>
              <w:rPr>
                <w:rFonts w:hint="eastAsia" w:cs="Times New Roman"/>
                <w:vanish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中的</w:t>
            </w:r>
            <w:r>
              <w:rPr>
                <w:rFonts w:hint="eastAsia" w:cs="Times New Roman"/>
                <w:vanish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农村供水工程</w:t>
            </w:r>
            <w:r>
              <w:rPr>
                <w:rFonts w:hint="eastAsia" w:cs="Times New Roman"/>
                <w:vanish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，因此项目的建设符合国家产业政策；</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同时</w:t>
            </w:r>
            <w:r>
              <w:rPr>
                <w:rFonts w:hint="eastAsia" w:cs="Times New Roman"/>
                <w:vanish w:val="0"/>
                <w:color w:val="000000" w:themeColor="text1"/>
                <w:highlight w:val="none"/>
                <w:lang w:val="en-US" w:eastAsia="zh-CN"/>
                <w14:textFill>
                  <w14:solidFill>
                    <w14:schemeClr w14:val="tx1"/>
                  </w14:solidFill>
                </w14:textFill>
              </w:rPr>
              <w:t>于2024年12月4日</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项目取得了</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太白县行政审批服务局关于变更</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《太白县</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桃川</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镇</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供水</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工程可行性研究报告》</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有关内容的批复</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太审批项目发〔2024〕289号），</w:t>
            </w:r>
            <w:r>
              <w:rPr>
                <w:rFonts w:hint="eastAsia" w:cs="Times New Roman"/>
                <w:vanish w:val="0"/>
                <w:color w:val="000000" w:themeColor="text1"/>
                <w:highlight w:val="none"/>
                <w:lang w:val="en-US" w:eastAsia="zh-CN"/>
                <w14:textFill>
                  <w14:solidFill>
                    <w14:schemeClr w14:val="tx1"/>
                  </w14:solidFill>
                </w14:textFill>
              </w:rPr>
              <w:t>2024年12月13日</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并取得了太白县行政审批服务局</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关于</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太白县</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桃川</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镇</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供水</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工程</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初步设计的批复</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太审批项目发〔2024〕303号），因此项目的建设符合地方产业政策</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w:t>
            </w:r>
          </w:p>
          <w:p w14:paraId="5A7AFA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根据陕西省发展和改革委员会文件《关于印发〈陕西省国家重点生态功能区产业准入负面清单（试行）〉的通知》（陕发改规划〔2018〕213号），项目不在陕西省宝鸡市太白县国家重点生态功能区产业准入负面清单之列；</w:t>
            </w:r>
            <w:r>
              <w:rPr>
                <w:rFonts w:hint="default" w:ascii="Times New Roman" w:hAnsi="Times New Roman" w:eastAsia="宋体" w:cs="Times New Roman"/>
                <w:vanish w:val="0"/>
                <w:color w:val="000000" w:themeColor="text1"/>
                <w:lang w:val="en-US" w:eastAsia="zh-CN"/>
                <w14:textFill>
                  <w14:solidFill>
                    <w14:schemeClr w14:val="tx1"/>
                  </w14:solidFill>
                </w14:textFill>
              </w:rPr>
              <w:t>查阅《陕西省秦岭重点保护区 一般保护区产业准入清单》（陕发改秦岭</w:t>
            </w:r>
            <w:r>
              <w:rPr>
                <w:rFonts w:hint="eastAsia" w:ascii="Times New Roman" w:hAnsi="Times New Roman" w:eastAsia="宋体" w:cs="Times New Roman"/>
                <w:vanish w:val="0"/>
                <w:color w:val="000000" w:themeColor="text1"/>
                <w:lang w:val="en-US" w:eastAsia="zh-CN"/>
                <w14:textFill>
                  <w14:solidFill>
                    <w14:schemeClr w14:val="tx1"/>
                  </w14:solidFill>
                </w14:textFill>
              </w:rPr>
              <w:t>〔2023〕632号）</w:t>
            </w:r>
            <w:r>
              <w:rPr>
                <w:rFonts w:hint="default" w:ascii="Times New Roman" w:hAnsi="Times New Roman" w:eastAsia="宋体" w:cs="Times New Roman"/>
                <w:vanish w:val="0"/>
                <w:color w:val="000000" w:themeColor="text1"/>
                <w:lang w:val="en-US" w:eastAsia="zh-CN"/>
                <w14:textFill>
                  <w14:solidFill>
                    <w14:schemeClr w14:val="tx1"/>
                  </w14:solidFill>
                </w14:textFill>
              </w:rPr>
              <w:t>，项目为</w:t>
            </w:r>
            <w:r>
              <w:rPr>
                <w:rFonts w:hint="eastAsia"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46水的生产和供应1农村安全饮水工程、城乡饮用水水源工程</w:t>
            </w:r>
            <w:r>
              <w:rPr>
                <w:rFonts w:hint="eastAsia"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，项目在秦岭重点保护区产业允许目录之内</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p>
          <w:p w14:paraId="2D3F6B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综上所述，项目的建设符合国家和地方产业政策。</w:t>
            </w:r>
          </w:p>
          <w:p w14:paraId="3580EF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200" w:right="0" w:rightChars="0"/>
              <w:textAlignment w:val="auto"/>
              <w:rPr>
                <w:rFonts w:hint="eastAsia" w:ascii="Times New Roman" w:hAnsi="Times New Roman" w:eastAsia="宋体"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pPr>
            <w:r>
              <w:rPr>
                <w:rFonts w:hint="eastAsia" w:ascii="Times New Roman" w:hAnsi="Times New Roman" w:eastAsia="宋体"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二、项目与</w:t>
            </w:r>
            <w:r>
              <w:rPr>
                <w:rFonts w:hint="eastAsia"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w:t>
            </w:r>
            <w:r>
              <w:rPr>
                <w:rFonts w:hint="eastAsia" w:ascii="Times New Roman" w:hAnsi="Times New Roman" w:eastAsia="宋体"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三线一单</w:t>
            </w:r>
            <w:r>
              <w:rPr>
                <w:rFonts w:hint="eastAsia"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w:t>
            </w:r>
            <w:r>
              <w:rPr>
                <w:rFonts w:hint="eastAsia" w:ascii="Times New Roman" w:hAnsi="Times New Roman" w:eastAsia="宋体"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符合性分析</w:t>
            </w:r>
          </w:p>
          <w:p w14:paraId="5794B7CB">
            <w:pPr>
              <w:keepNext w:val="0"/>
              <w:keepLines w:val="0"/>
              <w:pageBreakBefore w:val="0"/>
              <w:widowControl w:val="0"/>
              <w:kinsoku/>
              <w:wordWrap/>
              <w:overflowPunct/>
              <w:topLinePunct w:val="0"/>
              <w:bidi w:val="0"/>
              <w:spacing w:line="360" w:lineRule="auto"/>
              <w:ind w:firstLine="480"/>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根据《陕西省生态环境厅办公室关于印发〈陕西省“三线一单”生态环境分区管控应用技术指南：环境影响评价（试行）〉的通知》（陕环办发〔2022〕76号），环评文件规范化要求中的规定：环评文件涉及“三线一单”生态环境分区管控符合性分析应采取“一图一表一说明”的表达方式，在对照分析结果右侧加列相关内容，并论证规划或建设项目的符合性。</w:t>
            </w:r>
          </w:p>
          <w:p w14:paraId="218DEF4F">
            <w:pPr>
              <w:keepNext w:val="0"/>
              <w:keepLines w:val="0"/>
              <w:pageBreakBefore w:val="0"/>
              <w:widowControl w:val="0"/>
              <w:numPr>
                <w:ilvl w:val="0"/>
                <w:numId w:val="1"/>
              </w:numPr>
              <w:kinsoku/>
              <w:wordWrap/>
              <w:overflowPunct/>
              <w:topLinePunct w:val="0"/>
              <w:bidi w:val="0"/>
              <w:spacing w:line="360" w:lineRule="auto"/>
              <w:ind w:firstLine="480"/>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一图：指的是规划或建设项目与环境管控单元对照分析示意图。</w:t>
            </w:r>
          </w:p>
          <w:p w14:paraId="0BBC3356">
            <w:pPr>
              <w:keepNext w:val="0"/>
              <w:keepLines w:val="0"/>
              <w:pageBreakBefore w:val="0"/>
              <w:widowControl w:val="0"/>
              <w:kinsoku/>
              <w:wordWrap/>
              <w:overflowPunct/>
              <w:topLinePunct w:val="0"/>
              <w:bidi w:val="0"/>
              <w:spacing w:line="360" w:lineRule="auto"/>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项目用地涉及太白县重点管控单元和一般管控单元，不涉及优先保护单元，在实施过程中应落实</w:t>
            </w:r>
            <w:r>
              <w:rPr>
                <w:rFonts w:hint="eastAsia"/>
                <w:vanish w:val="0"/>
                <w:color w:val="000000" w:themeColor="text1"/>
                <w:highlight w:val="none"/>
                <w14:textFill>
                  <w14:solidFill>
                    <w14:schemeClr w14:val="tx1"/>
                  </w14:solidFill>
                </w14:textFill>
              </w:rPr>
              <w:t>《</w:t>
            </w:r>
            <w:r>
              <w:rPr>
                <w:rFonts w:hint="eastAsia"/>
                <w:vanish w:val="0"/>
                <w:color w:val="000000" w:themeColor="text1"/>
                <w:highlight w:val="none"/>
                <w:lang w:val="en-US" w:eastAsia="zh-CN"/>
                <w14:textFill>
                  <w14:solidFill>
                    <w14:schemeClr w14:val="tx1"/>
                  </w14:solidFill>
                </w14:textFill>
              </w:rPr>
              <w:t>宝鸡市</w:t>
            </w:r>
            <w:r>
              <w:rPr>
                <w:rFonts w:hint="eastAsia"/>
                <w:vanish w:val="0"/>
                <w:color w:val="000000" w:themeColor="text1"/>
                <w:highlight w:val="none"/>
                <w:lang w:eastAsia="zh-CN"/>
                <w14:textFill>
                  <w14:solidFill>
                    <w14:schemeClr w14:val="tx1"/>
                  </w14:solidFill>
                </w14:textFill>
              </w:rPr>
              <w:t>“</w:t>
            </w:r>
            <w:r>
              <w:rPr>
                <w:rFonts w:hint="eastAsia"/>
                <w:vanish w:val="0"/>
                <w:color w:val="000000" w:themeColor="text1"/>
                <w:highlight w:val="none"/>
                <w14:textFill>
                  <w14:solidFill>
                    <w14:schemeClr w14:val="tx1"/>
                  </w14:solidFill>
                </w14:textFill>
              </w:rPr>
              <w:t>三线一单</w:t>
            </w:r>
            <w:r>
              <w:rPr>
                <w:rFonts w:hint="eastAsia"/>
                <w:vanish w:val="0"/>
                <w:color w:val="000000" w:themeColor="text1"/>
                <w:highlight w:val="none"/>
                <w:lang w:eastAsia="zh-CN"/>
                <w14:textFill>
                  <w14:solidFill>
                    <w14:schemeClr w14:val="tx1"/>
                  </w14:solidFill>
                </w14:textFill>
              </w:rPr>
              <w:t>”</w:t>
            </w:r>
            <w:r>
              <w:rPr>
                <w:rFonts w:hint="eastAsia"/>
                <w:vanish w:val="0"/>
                <w:color w:val="000000" w:themeColor="text1"/>
                <w:highlight w:val="none"/>
                <w14:textFill>
                  <w14:solidFill>
                    <w14:schemeClr w14:val="tx1"/>
                  </w14:solidFill>
                </w14:textFill>
              </w:rPr>
              <w:t>生态环境分区管控方案》</w:t>
            </w:r>
            <w:r>
              <w:rPr>
                <w:rFonts w:hint="eastAsia"/>
                <w:vanish w:val="0"/>
                <w:color w:val="000000" w:themeColor="text1"/>
                <w:highlight w:val="none"/>
                <w:lang w:val="en-US" w:eastAsia="zh-CN"/>
                <w14:textFill>
                  <w14:solidFill>
                    <w14:schemeClr w14:val="tx1"/>
                  </w14:solidFill>
                </w14:textFill>
              </w:rPr>
              <w:t>中相关规定。项目与宝鸡市生态环境管控单元对比示意图见图1-1。</w:t>
            </w:r>
          </w:p>
          <w:p w14:paraId="343AF759">
            <w:pPr>
              <w:bidi w:val="0"/>
              <w:ind w:left="0" w:leftChars="0" w:right="0" w:rightChars="0" w:firstLine="0" w:firstLineChars="0"/>
              <w:jc w:val="center"/>
              <w:rPr>
                <w:vanish w:val="0"/>
                <w:color w:val="000000" w:themeColor="text1"/>
                <w:sz w:val="24"/>
                <w14:textFill>
                  <w14:solidFill>
                    <w14:schemeClr w14:val="tx1"/>
                  </w14:solidFill>
                </w14:textFill>
              </w:rPr>
            </w:pPr>
          </w:p>
          <w:p w14:paraId="6E489F80">
            <w:pPr>
              <w:bidi w:val="0"/>
              <w:ind w:left="0" w:leftChars="0" w:right="0" w:rightChars="0" w:firstLine="0" w:firstLineChars="0"/>
              <w:jc w:val="center"/>
              <w:rPr>
                <w:vanish w:val="0"/>
                <w:color w:val="000000" w:themeColor="text1"/>
                <w:sz w:val="24"/>
                <w14:textFill>
                  <w14:solidFill>
                    <w14:schemeClr w14:val="tx1"/>
                  </w14:solidFill>
                </w14:textFill>
              </w:rPr>
            </w:pPr>
          </w:p>
          <w:p w14:paraId="73C15D1A">
            <w:pPr>
              <w:bidi w:val="0"/>
              <w:ind w:left="0" w:leftChars="0" w:right="0" w:rightChars="0" w:firstLine="0" w:firstLineChars="0"/>
              <w:jc w:val="center"/>
              <w:rPr>
                <w:vanish w:val="0"/>
                <w:color w:val="000000" w:themeColor="text1"/>
                <w:sz w:val="24"/>
                <w14:textFill>
                  <w14:solidFill>
                    <w14:schemeClr w14:val="tx1"/>
                  </w14:solidFill>
                </w14:textFill>
              </w:rPr>
            </w:pPr>
          </w:p>
          <w:p w14:paraId="4E5FD83A">
            <w:pPr>
              <w:bidi w:val="0"/>
              <w:ind w:left="0" w:leftChars="0" w:right="0" w:rightChars="0" w:firstLine="0" w:firstLineChars="0"/>
              <w:jc w:val="center"/>
              <w:rPr>
                <w:vanish w:val="0"/>
                <w:color w:val="000000" w:themeColor="text1"/>
                <w:sz w:val="24"/>
                <w14:textFill>
                  <w14:solidFill>
                    <w14:schemeClr w14:val="tx1"/>
                  </w14:solidFill>
                </w14:textFill>
              </w:rPr>
            </w:pPr>
          </w:p>
          <w:p w14:paraId="69FFA991">
            <w:pPr>
              <w:bidi w:val="0"/>
              <w:ind w:left="0" w:leftChars="0" w:right="0" w:rightChars="0" w:firstLine="0" w:firstLineChars="0"/>
              <w:jc w:val="center"/>
              <w:rPr>
                <w:vanish w:val="0"/>
                <w:color w:val="000000" w:themeColor="text1"/>
                <w:sz w:val="24"/>
                <w14:textFill>
                  <w14:solidFill>
                    <w14:schemeClr w14:val="tx1"/>
                  </w14:solidFill>
                </w14:textFill>
              </w:rPr>
            </w:pPr>
          </w:p>
          <w:p w14:paraId="63F8FACD">
            <w:pPr>
              <w:bidi w:val="0"/>
              <w:ind w:left="0" w:leftChars="0" w:right="0" w:rightChars="0" w:firstLine="0" w:firstLineChars="0"/>
              <w:jc w:val="center"/>
              <w:rPr>
                <w:vanish w:val="0"/>
                <w:color w:val="000000" w:themeColor="text1"/>
                <w:sz w:val="24"/>
                <w14:textFill>
                  <w14:solidFill>
                    <w14:schemeClr w14:val="tx1"/>
                  </w14:solidFill>
                </w14:textFill>
              </w:rPr>
            </w:pPr>
          </w:p>
          <w:tbl>
            <w:tblPr>
              <w:tblStyle w:val="24"/>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36"/>
              <w:gridCol w:w="3436"/>
            </w:tblGrid>
            <w:tr w14:paraId="5A3D6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3436" w:type="dxa"/>
                  <w:tcBorders>
                    <w:tl2br w:val="nil"/>
                    <w:tr2bl w:val="nil"/>
                  </w:tcBorders>
                </w:tcPr>
                <w:p w14:paraId="0A0A2A37">
                  <w:pPr>
                    <w:bidi w:val="0"/>
                    <w:ind w:right="0" w:rightChars="0"/>
                    <w:jc w:val="center"/>
                    <w:rPr>
                      <w:vanish w:val="0"/>
                      <w:color w:val="000000" w:themeColor="text1"/>
                      <w:sz w:val="24"/>
                      <w:vertAlign w:val="baseline"/>
                      <w14:textFill>
                        <w14:solidFill>
                          <w14:schemeClr w14:val="tx1"/>
                        </w14:solidFill>
                      </w14:textFill>
                    </w:rPr>
                  </w:pPr>
                  <w:r>
                    <w:drawing>
                      <wp:inline distT="0" distB="0" distL="114300" distR="114300">
                        <wp:extent cx="2041525" cy="2499360"/>
                        <wp:effectExtent l="0" t="0" r="15875" b="152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2041525" cy="2499360"/>
                                </a:xfrm>
                                <a:prstGeom prst="rect">
                                  <a:avLst/>
                                </a:prstGeom>
                                <a:noFill/>
                                <a:ln>
                                  <a:noFill/>
                                </a:ln>
                              </pic:spPr>
                            </pic:pic>
                          </a:graphicData>
                        </a:graphic>
                      </wp:inline>
                    </w:drawing>
                  </w:r>
                </w:p>
              </w:tc>
              <w:tc>
                <w:tcPr>
                  <w:tcW w:w="3436" w:type="dxa"/>
                  <w:tcBorders>
                    <w:tl2br w:val="nil"/>
                    <w:tr2bl w:val="nil"/>
                  </w:tcBorders>
                </w:tcPr>
                <w:p w14:paraId="14906BAC">
                  <w:pPr>
                    <w:bidi w:val="0"/>
                    <w:ind w:right="0" w:rightChars="0"/>
                    <w:jc w:val="center"/>
                    <w:rPr>
                      <w:vanish w:val="0"/>
                      <w:color w:val="000000" w:themeColor="text1"/>
                      <w:sz w:val="24"/>
                      <w:vertAlign w:val="baseline"/>
                      <w14:textFill>
                        <w14:solidFill>
                          <w14:schemeClr w14:val="tx1"/>
                        </w14:solidFill>
                      </w14:textFill>
                    </w:rPr>
                  </w:pPr>
                  <w:r>
                    <w:drawing>
                      <wp:inline distT="0" distB="0" distL="114300" distR="114300">
                        <wp:extent cx="2044065" cy="2481580"/>
                        <wp:effectExtent l="0" t="0" r="13335" b="139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tretch>
                                  <a:fillRect/>
                                </a:stretch>
                              </pic:blipFill>
                              <pic:spPr>
                                <a:xfrm>
                                  <a:off x="0" y="0"/>
                                  <a:ext cx="2044065" cy="2481580"/>
                                </a:xfrm>
                                <a:prstGeom prst="rect">
                                  <a:avLst/>
                                </a:prstGeom>
                                <a:noFill/>
                                <a:ln>
                                  <a:noFill/>
                                </a:ln>
                              </pic:spPr>
                            </pic:pic>
                          </a:graphicData>
                        </a:graphic>
                      </wp:inline>
                    </w:drawing>
                  </w:r>
                </w:p>
              </w:tc>
            </w:tr>
            <w:tr w14:paraId="5C630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hidden/>
              </w:trPr>
              <w:tc>
                <w:tcPr>
                  <w:tcW w:w="3436" w:type="dxa"/>
                  <w:tcBorders>
                    <w:tl2br w:val="nil"/>
                    <w:tr2bl w:val="nil"/>
                  </w:tcBorders>
                </w:tcPr>
                <w:p w14:paraId="32D865C0">
                  <w:pPr>
                    <w:bidi w:val="0"/>
                    <w:ind w:right="0" w:rightChars="0"/>
                    <w:jc w:val="center"/>
                    <w:rPr>
                      <w:rFonts w:hint="default" w:eastAsia="宋体"/>
                      <w:vanish w:val="0"/>
                      <w:color w:val="000000" w:themeColor="text1"/>
                      <w:sz w:val="24"/>
                      <w:vertAlign w:val="baseline"/>
                      <w:lang w:val="en-US" w:eastAsia="zh-CN"/>
                      <w14:textFill>
                        <w14:solidFill>
                          <w14:schemeClr w14:val="tx1"/>
                        </w14:solidFill>
                      </w14:textFill>
                    </w:rPr>
                  </w:pPr>
                  <w:r>
                    <w:rPr>
                      <w:rFonts w:hint="eastAsia" w:ascii="Times New Roman" w:hAnsi="Times New Roman" w:eastAsia="宋体" w:cs="宋体"/>
                      <w:b/>
                      <w:bCs/>
                      <w:vanish w:val="0"/>
                      <w:color w:val="000000" w:themeColor="text1"/>
                      <w:kern w:val="0"/>
                      <w:sz w:val="21"/>
                      <w:szCs w:val="20"/>
                      <w:lang w:val="en-US" w:eastAsia="zh-CN" w:bidi="zh-CN"/>
                      <w14:textFill>
                        <w14:solidFill>
                          <w14:schemeClr w14:val="tx1"/>
                        </w14:solidFill>
                      </w14:textFill>
                    </w:rPr>
                    <w:t>净化水厂</w:t>
                  </w:r>
                </w:p>
              </w:tc>
              <w:tc>
                <w:tcPr>
                  <w:tcW w:w="3436" w:type="dxa"/>
                  <w:tcBorders>
                    <w:tl2br w:val="nil"/>
                    <w:tr2bl w:val="nil"/>
                  </w:tcBorders>
                </w:tcPr>
                <w:p w14:paraId="69C7F2FD">
                  <w:pPr>
                    <w:bidi w:val="0"/>
                    <w:ind w:right="0" w:rightChars="0"/>
                    <w:jc w:val="center"/>
                    <w:rPr>
                      <w:rFonts w:hint="default" w:eastAsia="宋体"/>
                      <w:vanish w:val="0"/>
                      <w:color w:val="000000" w:themeColor="text1"/>
                      <w:sz w:val="24"/>
                      <w:vertAlign w:val="baseline"/>
                      <w:lang w:val="en-US" w:eastAsia="zh-CN"/>
                      <w14:textFill>
                        <w14:solidFill>
                          <w14:schemeClr w14:val="tx1"/>
                        </w14:solidFill>
                      </w14:textFill>
                    </w:rPr>
                  </w:pPr>
                  <w:r>
                    <w:rPr>
                      <w:rFonts w:hint="eastAsia" w:ascii="Times New Roman" w:hAnsi="Times New Roman" w:eastAsia="宋体" w:cs="宋体"/>
                      <w:b/>
                      <w:bCs/>
                      <w:vanish w:val="0"/>
                      <w:color w:val="000000" w:themeColor="text1"/>
                      <w:kern w:val="0"/>
                      <w:sz w:val="21"/>
                      <w:szCs w:val="20"/>
                      <w:lang w:val="en-US" w:eastAsia="zh-CN" w:bidi="zh-CN"/>
                      <w14:textFill>
                        <w14:solidFill>
                          <w14:schemeClr w14:val="tx1"/>
                        </w14:solidFill>
                      </w14:textFill>
                    </w:rPr>
                    <w:t>管网工程</w:t>
                  </w:r>
                </w:p>
              </w:tc>
            </w:tr>
          </w:tbl>
          <w:p w14:paraId="712D4310">
            <w:pPr>
              <w:pStyle w:val="53"/>
              <w:keepNext w:val="0"/>
              <w:keepLines w:val="0"/>
              <w:pageBreakBefore w:val="0"/>
              <w:widowControl/>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宋体"/>
                <w:vanish w:val="0"/>
                <w:color w:val="000000" w:themeColor="text1"/>
                <w:sz w:val="21"/>
                <w:szCs w:val="20"/>
                <w:lang w:val="en-US" w:eastAsia="zh-CN"/>
                <w14:textFill>
                  <w14:solidFill>
                    <w14:schemeClr w14:val="tx1"/>
                  </w14:solidFill>
                </w14:textFill>
              </w:rPr>
            </w:pPr>
            <w:r>
              <w:rPr>
                <w:rFonts w:hint="eastAsia"/>
                <w:vanish w:val="0"/>
                <w:color w:val="000000" w:themeColor="text1"/>
                <w:sz w:val="21"/>
                <w:szCs w:val="20"/>
                <w:lang w:val="en-US" w:eastAsia="zh-CN"/>
                <w14:textFill>
                  <w14:solidFill>
                    <w14:schemeClr w14:val="tx1"/>
                  </w14:solidFill>
                </w14:textFill>
              </w:rPr>
              <w:t xml:space="preserve">图1-1  </w:t>
            </w:r>
            <w:r>
              <w:rPr>
                <w:rFonts w:hint="eastAsia" w:ascii="Times New Roman" w:hAnsi="Times New Roman" w:eastAsia="宋体" w:cs="宋体"/>
                <w:vanish w:val="0"/>
                <w:color w:val="000000" w:themeColor="text1"/>
                <w:sz w:val="21"/>
                <w:szCs w:val="20"/>
                <w:lang w:val="en-US" w:eastAsia="zh-CN"/>
                <w14:textFill>
                  <w14:solidFill>
                    <w14:schemeClr w14:val="tx1"/>
                  </w14:solidFill>
                </w14:textFill>
              </w:rPr>
              <w:t>项目宝鸡</w:t>
            </w:r>
            <w:r>
              <w:rPr>
                <w:rFonts w:hint="default" w:ascii="Times New Roman" w:hAnsi="Times New Roman" w:eastAsia="宋体" w:cs="宋体"/>
                <w:vanish w:val="0"/>
                <w:color w:val="000000" w:themeColor="text1"/>
                <w:sz w:val="21"/>
                <w:szCs w:val="20"/>
                <w:lang w:val="en-US" w:eastAsia="zh-CN"/>
                <w14:textFill>
                  <w14:solidFill>
                    <w14:schemeClr w14:val="tx1"/>
                  </w14:solidFill>
                </w14:textFill>
              </w:rPr>
              <w:t>市</w:t>
            </w:r>
            <w:r>
              <w:rPr>
                <w:rFonts w:hint="eastAsia" w:cs="宋体"/>
                <w:vanish w:val="0"/>
                <w:color w:val="000000" w:themeColor="text1"/>
                <w:sz w:val="21"/>
                <w:szCs w:val="20"/>
                <w:lang w:val="en-US" w:eastAsia="zh-CN"/>
                <w14:textFill>
                  <w14:solidFill>
                    <w14:schemeClr w14:val="tx1"/>
                  </w14:solidFill>
                </w14:textFill>
              </w:rPr>
              <w:t>“</w:t>
            </w:r>
            <w:r>
              <w:rPr>
                <w:rFonts w:hint="default" w:ascii="Times New Roman" w:hAnsi="Times New Roman" w:eastAsia="宋体" w:cs="宋体"/>
                <w:vanish w:val="0"/>
                <w:color w:val="000000" w:themeColor="text1"/>
                <w:sz w:val="21"/>
                <w:szCs w:val="20"/>
                <w:lang w:val="en-US" w:eastAsia="zh-CN"/>
                <w14:textFill>
                  <w14:solidFill>
                    <w14:schemeClr w14:val="tx1"/>
                  </w14:solidFill>
                </w14:textFill>
              </w:rPr>
              <w:t>三线一单</w:t>
            </w:r>
            <w:r>
              <w:rPr>
                <w:rFonts w:hint="eastAsia" w:cs="宋体"/>
                <w:vanish w:val="0"/>
                <w:color w:val="000000" w:themeColor="text1"/>
                <w:sz w:val="21"/>
                <w:szCs w:val="20"/>
                <w:lang w:val="en-US" w:eastAsia="zh-CN"/>
                <w14:textFill>
                  <w14:solidFill>
                    <w14:schemeClr w14:val="tx1"/>
                  </w14:solidFill>
                </w14:textFill>
              </w:rPr>
              <w:t>”</w:t>
            </w:r>
            <w:r>
              <w:rPr>
                <w:rFonts w:hint="default" w:ascii="Times New Roman" w:hAnsi="Times New Roman" w:eastAsia="宋体" w:cs="宋体"/>
                <w:vanish w:val="0"/>
                <w:color w:val="000000" w:themeColor="text1"/>
                <w:sz w:val="21"/>
                <w:szCs w:val="20"/>
                <w:lang w:val="en-US" w:eastAsia="zh-CN"/>
                <w14:textFill>
                  <w14:solidFill>
                    <w14:schemeClr w14:val="tx1"/>
                  </w14:solidFill>
                </w14:textFill>
              </w:rPr>
              <w:t>生态环境分区管控方案</w:t>
            </w:r>
            <w:r>
              <w:rPr>
                <w:rFonts w:hint="eastAsia" w:cs="宋体"/>
                <w:vanish w:val="0"/>
                <w:color w:val="000000" w:themeColor="text1"/>
                <w:sz w:val="21"/>
                <w:szCs w:val="20"/>
                <w:lang w:val="en-US" w:eastAsia="zh-CN"/>
                <w14:textFill>
                  <w14:solidFill>
                    <w14:schemeClr w14:val="tx1"/>
                  </w14:solidFill>
                </w14:textFill>
              </w:rPr>
              <w:t>中的</w:t>
            </w:r>
            <w:r>
              <w:rPr>
                <w:rFonts w:hint="eastAsia" w:ascii="Times New Roman" w:hAnsi="Times New Roman" w:eastAsia="宋体" w:cs="宋体"/>
                <w:vanish w:val="0"/>
                <w:color w:val="000000" w:themeColor="text1"/>
                <w:sz w:val="21"/>
                <w:szCs w:val="20"/>
                <w:lang w:val="en-US" w:eastAsia="zh-CN"/>
                <w14:textFill>
                  <w14:solidFill>
                    <w14:schemeClr w14:val="tx1"/>
                  </w14:solidFill>
                </w14:textFill>
              </w:rPr>
              <w:t>位置</w:t>
            </w:r>
          </w:p>
          <w:p w14:paraId="110A37AD">
            <w:pPr>
              <w:keepNext w:val="0"/>
              <w:keepLines w:val="0"/>
              <w:pageBreakBefore w:val="0"/>
              <w:widowControl/>
              <w:suppressLineNumbers w:val="0"/>
              <w:kinsoku/>
              <w:wordWrap/>
              <w:overflowPunct/>
              <w:topLinePunct/>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一表：指</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的是项目或规划范围涉及的生态环境管控单元准入清单。</w:t>
            </w:r>
          </w:p>
          <w:p w14:paraId="36DE28D2">
            <w:pPr>
              <w:keepNext w:val="0"/>
              <w:keepLines w:val="0"/>
              <w:pageBreakBefore w:val="0"/>
              <w:widowControl/>
              <w:suppressLineNumbers w:val="0"/>
              <w:kinsoku/>
              <w:wordWrap/>
              <w:overflowPunct/>
              <w:topLinePunct/>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项目净化水厂以及管网工程用地涉及宝鸡石头河水库饮用水源保护区、陕西青峰峡国家级森林公园、陕西省宝鸡市秦岭重点保护区。</w:t>
            </w:r>
          </w:p>
          <w:p w14:paraId="5C4DC056">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cs="Times New Roman"/>
                <w:vanish w:val="0"/>
                <w:color w:val="000000" w:themeColor="text1"/>
                <w:highlight w:val="none"/>
                <w:lang w:val="en-US" w:eastAsia="zh-CN"/>
                <w14:textFill>
                  <w14:solidFill>
                    <w14:schemeClr w14:val="tx1"/>
                  </w14:solidFill>
                </w14:textFill>
              </w:rPr>
              <w:t>具体详见下表。</w:t>
            </w:r>
          </w:p>
          <w:p w14:paraId="250BDAB8">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1</w:t>
            </w:r>
            <w:r>
              <w:rPr>
                <w:rFonts w:hint="default" w:ascii="Times New Roman" w:hAnsi="Times New Roman" w:eastAsia="宋体" w:cs="Times New Roman"/>
                <w:b/>
                <w:bCs/>
                <w:color w:val="000000"/>
                <w:sz w:val="21"/>
                <w:szCs w:val="21"/>
                <w:lang w:val="en-US" w:eastAsia="zh-CN"/>
              </w:rPr>
              <w:t xml:space="preserve">  项目</w:t>
            </w:r>
            <w:r>
              <w:rPr>
                <w:rFonts w:hint="eastAsia" w:ascii="Times New Roman" w:hAnsi="Times New Roman" w:eastAsia="宋体" w:cs="Times New Roman"/>
                <w:b/>
                <w:bCs/>
                <w:color w:val="000000"/>
                <w:sz w:val="21"/>
                <w:szCs w:val="21"/>
                <w:lang w:val="en-US" w:eastAsia="zh-CN"/>
              </w:rPr>
              <w:t>（管网工程）</w:t>
            </w:r>
            <w:r>
              <w:rPr>
                <w:rFonts w:hint="default" w:ascii="Times New Roman" w:hAnsi="Times New Roman" w:eastAsia="宋体" w:cs="Times New Roman"/>
                <w:b/>
                <w:bCs/>
                <w:color w:val="000000"/>
                <w:sz w:val="21"/>
                <w:szCs w:val="21"/>
                <w:lang w:val="en-US" w:eastAsia="zh-CN"/>
              </w:rPr>
              <w:t>环境管控单元涉及情况一览表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2279"/>
              <w:gridCol w:w="2280"/>
            </w:tblGrid>
            <w:tr w14:paraId="75256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4E7F1AA8">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环境管控单元分类</w:t>
                  </w:r>
                </w:p>
              </w:tc>
              <w:tc>
                <w:tcPr>
                  <w:tcW w:w="1666" w:type="pct"/>
                  <w:noWrap w:val="0"/>
                  <w:vAlign w:val="top"/>
                </w:tcPr>
                <w:p w14:paraId="4E125147">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是否涉及</w:t>
                  </w:r>
                </w:p>
              </w:tc>
              <w:tc>
                <w:tcPr>
                  <w:tcW w:w="1667" w:type="pct"/>
                  <w:noWrap w:val="0"/>
                  <w:vAlign w:val="top"/>
                </w:tcPr>
                <w:p w14:paraId="30595361">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面积/长度</w:t>
                  </w:r>
                </w:p>
              </w:tc>
            </w:tr>
            <w:tr w14:paraId="62A31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666" w:type="pct"/>
                  <w:noWrap w:val="0"/>
                  <w:vAlign w:val="top"/>
                </w:tcPr>
                <w:p w14:paraId="1854EFE9">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优先保护单元</w:t>
                  </w:r>
                </w:p>
              </w:tc>
              <w:tc>
                <w:tcPr>
                  <w:tcW w:w="1666" w:type="pct"/>
                  <w:noWrap w:val="0"/>
                  <w:vAlign w:val="top"/>
                </w:tcPr>
                <w:p w14:paraId="12B3C96E">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是</w:t>
                  </w:r>
                </w:p>
              </w:tc>
              <w:tc>
                <w:tcPr>
                  <w:tcW w:w="1667" w:type="pct"/>
                  <w:noWrap w:val="0"/>
                  <w:vAlign w:val="top"/>
                </w:tcPr>
                <w:p w14:paraId="0ECED687">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23.96千</w:t>
                  </w:r>
                  <w:r>
                    <w:rPr>
                      <w:rFonts w:hint="default" w:ascii="Times New Roman" w:hAnsi="Times New Roman" w:eastAsia="宋体" w:cs="Times New Roman"/>
                      <w:b w:val="0"/>
                      <w:bCs/>
                      <w:color w:val="000000"/>
                      <w:sz w:val="21"/>
                      <w:szCs w:val="21"/>
                      <w:vertAlign w:val="baseline"/>
                      <w:lang w:val="en-US" w:eastAsia="zh-CN"/>
                    </w:rPr>
                    <w:t>米</w:t>
                  </w:r>
                </w:p>
              </w:tc>
            </w:tr>
            <w:tr w14:paraId="51C59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68B5EF9E">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重点管控单元</w:t>
                  </w:r>
                </w:p>
              </w:tc>
              <w:tc>
                <w:tcPr>
                  <w:tcW w:w="1666" w:type="pct"/>
                  <w:noWrap w:val="0"/>
                  <w:vAlign w:val="top"/>
                </w:tcPr>
                <w:p w14:paraId="6CE4B31B">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否</w:t>
                  </w:r>
                </w:p>
              </w:tc>
              <w:tc>
                <w:tcPr>
                  <w:tcW w:w="1667" w:type="pct"/>
                  <w:noWrap w:val="0"/>
                  <w:vAlign w:val="top"/>
                </w:tcPr>
                <w:p w14:paraId="074ABFF0">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0</w:t>
                  </w:r>
                  <w:r>
                    <w:rPr>
                      <w:rFonts w:hint="eastAsia" w:ascii="Times New Roman" w:hAnsi="Times New Roman" w:eastAsia="宋体" w:cs="Times New Roman"/>
                      <w:b w:val="0"/>
                      <w:bCs/>
                      <w:color w:val="000000"/>
                      <w:sz w:val="21"/>
                      <w:szCs w:val="21"/>
                      <w:vertAlign w:val="baseline"/>
                      <w:lang w:val="en-US" w:eastAsia="zh-CN"/>
                    </w:rPr>
                    <w:t>千</w:t>
                  </w:r>
                  <w:r>
                    <w:rPr>
                      <w:rFonts w:hint="default" w:ascii="Times New Roman" w:hAnsi="Times New Roman" w:eastAsia="宋体" w:cs="Times New Roman"/>
                      <w:b w:val="0"/>
                      <w:bCs/>
                      <w:color w:val="000000"/>
                      <w:sz w:val="21"/>
                      <w:szCs w:val="21"/>
                      <w:vertAlign w:val="baseline"/>
                      <w:lang w:val="en-US" w:eastAsia="zh-CN"/>
                    </w:rPr>
                    <w:t>米</w:t>
                  </w:r>
                </w:p>
              </w:tc>
            </w:tr>
            <w:tr w14:paraId="3CF75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111EF10F">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一般管控单元</w:t>
                  </w:r>
                </w:p>
              </w:tc>
              <w:tc>
                <w:tcPr>
                  <w:tcW w:w="1666" w:type="pct"/>
                  <w:noWrap w:val="0"/>
                  <w:vAlign w:val="top"/>
                </w:tcPr>
                <w:p w14:paraId="26BD606F">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否</w:t>
                  </w:r>
                </w:p>
              </w:tc>
              <w:tc>
                <w:tcPr>
                  <w:tcW w:w="1667" w:type="pct"/>
                  <w:noWrap w:val="0"/>
                  <w:vAlign w:val="top"/>
                </w:tcPr>
                <w:p w14:paraId="7FBA17C2">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0</w:t>
                  </w:r>
                  <w:r>
                    <w:rPr>
                      <w:rFonts w:hint="eastAsia" w:ascii="Times New Roman" w:hAnsi="Times New Roman" w:eastAsia="宋体" w:cs="Times New Roman"/>
                      <w:b w:val="0"/>
                      <w:bCs/>
                      <w:color w:val="000000"/>
                      <w:sz w:val="21"/>
                      <w:szCs w:val="21"/>
                      <w:vertAlign w:val="baseline"/>
                      <w:lang w:val="en-US" w:eastAsia="zh-CN"/>
                    </w:rPr>
                    <w:t>千</w:t>
                  </w:r>
                  <w:r>
                    <w:rPr>
                      <w:rFonts w:hint="default" w:ascii="Times New Roman" w:hAnsi="Times New Roman" w:eastAsia="宋体" w:cs="Times New Roman"/>
                      <w:b w:val="0"/>
                      <w:bCs/>
                      <w:color w:val="000000"/>
                      <w:sz w:val="21"/>
                      <w:szCs w:val="21"/>
                      <w:vertAlign w:val="baseline"/>
                      <w:lang w:val="en-US" w:eastAsia="zh-CN"/>
                    </w:rPr>
                    <w:t>米</w:t>
                  </w:r>
                </w:p>
              </w:tc>
            </w:tr>
          </w:tbl>
          <w:p w14:paraId="63BD482C">
            <w:pPr>
              <w:pStyle w:val="3"/>
              <w:keepNext/>
              <w:keepLines w:val="0"/>
              <w:pageBreakBefore w:val="0"/>
              <w:widowControl w:val="0"/>
              <w:kinsoku/>
              <w:wordWrap/>
              <w:overflowPunct/>
              <w:topLinePunct w:val="0"/>
              <w:autoSpaceDE/>
              <w:autoSpaceDN/>
              <w:bidi w:val="0"/>
              <w:adjustRightInd w:val="0"/>
              <w:snapToGrid w:val="0"/>
              <w:spacing w:before="0" w:after="0" w:line="440" w:lineRule="exact"/>
              <w:ind w:firstLine="0" w:firstLineChars="0"/>
              <w:jc w:val="center"/>
              <w:textAlignment w:val="auto"/>
              <w:outlineLvl w:val="1"/>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2</w:t>
            </w:r>
            <w:r>
              <w:rPr>
                <w:rFonts w:hint="default" w:ascii="Times New Roman" w:hAnsi="Times New Roman" w:eastAsia="宋体" w:cs="Times New Roman"/>
                <w:b/>
                <w:bCs/>
                <w:color w:val="000000"/>
                <w:sz w:val="21"/>
                <w:szCs w:val="21"/>
                <w:lang w:val="en-US" w:eastAsia="zh-CN"/>
              </w:rPr>
              <w:t xml:space="preserve">  项目</w:t>
            </w:r>
            <w:r>
              <w:rPr>
                <w:rFonts w:hint="eastAsia" w:ascii="Times New Roman" w:hAnsi="Times New Roman" w:eastAsia="宋体" w:cs="Times New Roman"/>
                <w:b/>
                <w:bCs/>
                <w:color w:val="000000"/>
                <w:sz w:val="21"/>
                <w:szCs w:val="21"/>
                <w:lang w:val="en-US" w:eastAsia="zh-CN"/>
              </w:rPr>
              <w:t>（净化水厂）</w:t>
            </w:r>
            <w:r>
              <w:rPr>
                <w:rFonts w:hint="default" w:ascii="Times New Roman" w:hAnsi="Times New Roman" w:eastAsia="宋体" w:cs="Times New Roman"/>
                <w:b/>
                <w:bCs/>
                <w:color w:val="000000"/>
                <w:sz w:val="21"/>
                <w:szCs w:val="21"/>
                <w:lang w:val="en-US" w:eastAsia="zh-CN"/>
              </w:rPr>
              <w:t>环境管控单元涉及情况一览表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2279"/>
              <w:gridCol w:w="2280"/>
            </w:tblGrid>
            <w:tr w14:paraId="6F094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227F7258">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环境管控单元分类</w:t>
                  </w:r>
                </w:p>
              </w:tc>
              <w:tc>
                <w:tcPr>
                  <w:tcW w:w="1666" w:type="pct"/>
                  <w:noWrap w:val="0"/>
                  <w:vAlign w:val="top"/>
                </w:tcPr>
                <w:p w14:paraId="62DC57D4">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是否涉及</w:t>
                  </w:r>
                </w:p>
              </w:tc>
              <w:tc>
                <w:tcPr>
                  <w:tcW w:w="1667" w:type="pct"/>
                  <w:noWrap w:val="0"/>
                  <w:vAlign w:val="top"/>
                </w:tcPr>
                <w:p w14:paraId="0B58E9EC">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面积/长度</w:t>
                  </w:r>
                </w:p>
              </w:tc>
            </w:tr>
            <w:tr w14:paraId="46EFB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666" w:type="pct"/>
                  <w:noWrap w:val="0"/>
                  <w:vAlign w:val="top"/>
                </w:tcPr>
                <w:p w14:paraId="4482B228">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优先保护单元</w:t>
                  </w:r>
                </w:p>
              </w:tc>
              <w:tc>
                <w:tcPr>
                  <w:tcW w:w="2279" w:type="dxa"/>
                  <w:noWrap w:val="0"/>
                  <w:vAlign w:val="top"/>
                </w:tcPr>
                <w:p w14:paraId="7514DE42">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是</w:t>
                  </w:r>
                </w:p>
              </w:tc>
              <w:tc>
                <w:tcPr>
                  <w:tcW w:w="1667" w:type="pct"/>
                  <w:noWrap w:val="0"/>
                  <w:vAlign w:val="top"/>
                </w:tcPr>
                <w:p w14:paraId="23C3584D">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1600</w:t>
                  </w:r>
                  <w:r>
                    <w:rPr>
                      <w:rFonts w:hint="default" w:ascii="Times New Roman" w:hAnsi="Times New Roman" w:eastAsia="宋体" w:cs="Times New Roman"/>
                      <w:b w:val="0"/>
                      <w:bCs/>
                      <w:color w:val="000000"/>
                      <w:sz w:val="21"/>
                      <w:szCs w:val="21"/>
                      <w:vertAlign w:val="baseline"/>
                      <w:lang w:val="en-US" w:eastAsia="zh-CN"/>
                    </w:rPr>
                    <w:t>平方米</w:t>
                  </w:r>
                </w:p>
              </w:tc>
            </w:tr>
            <w:tr w14:paraId="2E39B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62FECD1E">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重点管控单元</w:t>
                  </w:r>
                </w:p>
              </w:tc>
              <w:tc>
                <w:tcPr>
                  <w:tcW w:w="2279" w:type="dxa"/>
                  <w:noWrap w:val="0"/>
                  <w:vAlign w:val="top"/>
                </w:tcPr>
                <w:p w14:paraId="7539B88A">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否</w:t>
                  </w:r>
                </w:p>
              </w:tc>
              <w:tc>
                <w:tcPr>
                  <w:tcW w:w="1667" w:type="pct"/>
                  <w:noWrap w:val="0"/>
                  <w:vAlign w:val="top"/>
                </w:tcPr>
                <w:p w14:paraId="03274C91">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0平方米</w:t>
                  </w:r>
                </w:p>
              </w:tc>
            </w:tr>
            <w:tr w14:paraId="16764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666" w:type="pct"/>
                  <w:noWrap w:val="0"/>
                  <w:vAlign w:val="top"/>
                </w:tcPr>
                <w:p w14:paraId="1A4F96E1">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一般管控单元</w:t>
                  </w:r>
                </w:p>
              </w:tc>
              <w:tc>
                <w:tcPr>
                  <w:tcW w:w="2279" w:type="dxa"/>
                  <w:noWrap w:val="0"/>
                  <w:vAlign w:val="top"/>
                </w:tcPr>
                <w:p w14:paraId="7A861020">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否</w:t>
                  </w:r>
                </w:p>
              </w:tc>
              <w:tc>
                <w:tcPr>
                  <w:tcW w:w="1667" w:type="pct"/>
                  <w:noWrap w:val="0"/>
                  <w:vAlign w:val="top"/>
                </w:tcPr>
                <w:p w14:paraId="7B0F1265">
                  <w:pPr>
                    <w:pStyle w:val="3"/>
                    <w:keepNext/>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outlineLvl w:val="1"/>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0平方米</w:t>
                  </w:r>
                </w:p>
              </w:tc>
            </w:tr>
          </w:tbl>
          <w:p w14:paraId="6A87EA95">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eastAsia"/>
                <w:vanish w:val="0"/>
                <w:color w:val="000000" w:themeColor="text1"/>
                <w:highlight w:val="none"/>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项目与</w:t>
            </w:r>
            <w:r>
              <w:rPr>
                <w:rFonts w:hint="eastAsia"/>
                <w:vanish w:val="0"/>
                <w:color w:val="000000" w:themeColor="text1"/>
                <w:highlight w:val="none"/>
                <w:lang w:eastAsia="zh-CN"/>
                <w14:textFill>
                  <w14:solidFill>
                    <w14:schemeClr w14:val="tx1"/>
                  </w14:solidFill>
                </w14:textFill>
              </w:rPr>
              <w:t>“</w:t>
            </w:r>
            <w:r>
              <w:rPr>
                <w:rFonts w:hint="eastAsia"/>
                <w:vanish w:val="0"/>
                <w:color w:val="000000" w:themeColor="text1"/>
                <w:highlight w:val="none"/>
                <w14:textFill>
                  <w14:solidFill>
                    <w14:schemeClr w14:val="tx1"/>
                  </w14:solidFill>
                </w14:textFill>
              </w:rPr>
              <w:t>三线一单</w:t>
            </w:r>
            <w:r>
              <w:rPr>
                <w:rFonts w:hint="eastAsia"/>
                <w:vanish w:val="0"/>
                <w:color w:val="000000" w:themeColor="text1"/>
                <w:highlight w:val="none"/>
                <w:lang w:eastAsia="zh-CN"/>
                <w14:textFill>
                  <w14:solidFill>
                    <w14:schemeClr w14:val="tx1"/>
                  </w14:solidFill>
                </w14:textFill>
              </w:rPr>
              <w:t>”</w:t>
            </w:r>
            <w:r>
              <w:rPr>
                <w:rFonts w:hint="eastAsia"/>
                <w:vanish w:val="0"/>
                <w:color w:val="000000" w:themeColor="text1"/>
                <w:highlight w:val="none"/>
                <w14:textFill>
                  <w14:solidFill>
                    <w14:schemeClr w14:val="tx1"/>
                  </w14:solidFill>
                </w14:textFill>
              </w:rPr>
              <w:t>符合性分析</w:t>
            </w:r>
            <w:r>
              <w:rPr>
                <w:rFonts w:hint="eastAsia"/>
                <w:vanish w:val="0"/>
                <w:color w:val="000000" w:themeColor="text1"/>
                <w:highlight w:val="none"/>
                <w:lang w:val="en-US" w:eastAsia="zh-CN"/>
                <w14:textFill>
                  <w14:solidFill>
                    <w14:schemeClr w14:val="tx1"/>
                  </w14:solidFill>
                </w14:textFill>
              </w:rPr>
              <w:t>详</w:t>
            </w:r>
            <w:r>
              <w:rPr>
                <w:rFonts w:hint="eastAsia"/>
                <w:vanish w:val="0"/>
                <w:color w:val="000000" w:themeColor="text1"/>
                <w:highlight w:val="none"/>
                <w14:textFill>
                  <w14:solidFill>
                    <w14:schemeClr w14:val="tx1"/>
                  </w14:solidFill>
                </w14:textFill>
              </w:rPr>
              <w:t>见</w:t>
            </w:r>
            <w:r>
              <w:rPr>
                <w:rFonts w:hint="eastAsia"/>
                <w:vanish w:val="0"/>
                <w:color w:val="000000" w:themeColor="text1"/>
                <w:highlight w:val="none"/>
                <w:lang w:val="en-US" w:eastAsia="zh-CN"/>
                <w14:textFill>
                  <w14:solidFill>
                    <w14:schemeClr w14:val="tx1"/>
                  </w14:solidFill>
                </w14:textFill>
              </w:rPr>
              <w:t>下</w:t>
            </w:r>
            <w:r>
              <w:rPr>
                <w:rFonts w:hint="eastAsia"/>
                <w:vanish w:val="0"/>
                <w:color w:val="000000" w:themeColor="text1"/>
                <w:highlight w:val="none"/>
                <w14:textFill>
                  <w14:solidFill>
                    <w14:schemeClr w14:val="tx1"/>
                  </w14:solidFill>
                </w14:textFill>
              </w:rPr>
              <w:t>表。</w:t>
            </w:r>
          </w:p>
          <w:p w14:paraId="3DA0E075">
            <w:pPr>
              <w:pStyle w:val="53"/>
              <w:keepNext w:val="0"/>
              <w:keepLines w:val="0"/>
              <w:pageBreakBefore w:val="0"/>
              <w:widowControl/>
              <w:kinsoku/>
              <w:wordWrap/>
              <w:overflowPunct/>
              <w:topLinePunct/>
              <w:autoSpaceDE/>
              <w:autoSpaceDN/>
              <w:bidi w:val="0"/>
              <w:adjustRightInd w:val="0"/>
              <w:snapToGrid w:val="0"/>
              <w:spacing w:line="240" w:lineRule="auto"/>
              <w:ind w:firstLine="420" w:firstLineChars="200"/>
              <w:textAlignment w:val="auto"/>
              <w:rPr>
                <w:rFonts w:hint="eastAsia"/>
                <w:vanish w:val="0"/>
                <w:color w:val="000000" w:themeColor="text1"/>
                <w:sz w:val="21"/>
                <w:szCs w:val="21"/>
                <w:lang w:val="en-US" w:eastAsia="zh-CN"/>
                <w14:textFill>
                  <w14:solidFill>
                    <w14:schemeClr w14:val="tx1"/>
                  </w14:solidFill>
                </w14:textFill>
              </w:rPr>
            </w:pPr>
            <w:r>
              <w:rPr>
                <w:rFonts w:hint="eastAsia"/>
                <w:vanish w:val="0"/>
                <w:color w:val="000000" w:themeColor="text1"/>
                <w:sz w:val="21"/>
                <w:szCs w:val="21"/>
                <w:lang w:val="en-US" w:eastAsia="zh-CN"/>
                <w14:textFill>
                  <w14:solidFill>
                    <w14:schemeClr w14:val="tx1"/>
                  </w14:solidFill>
                </w14:textFill>
              </w:rPr>
              <w:t>表1-3  项目与宝鸡市“三线一单”符合性分析</w:t>
            </w:r>
          </w:p>
          <w:tbl>
            <w:tblPr>
              <w:tblStyle w:val="24"/>
              <w:tblW w:w="4919"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9"/>
              <w:gridCol w:w="702"/>
              <w:gridCol w:w="283"/>
              <w:gridCol w:w="400"/>
              <w:gridCol w:w="400"/>
              <w:gridCol w:w="358"/>
              <w:gridCol w:w="3500"/>
              <w:gridCol w:w="739"/>
            </w:tblGrid>
            <w:tr w14:paraId="4CF77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tblHeader/>
                <w:hidden/>
              </w:trPr>
              <w:tc>
                <w:tcPr>
                  <w:tcW w:w="259" w:type="pct"/>
                  <w:tcBorders>
                    <w:tl2br w:val="nil"/>
                    <w:tr2bl w:val="nil"/>
                  </w:tcBorders>
                  <w:noWrap w:val="0"/>
                  <w:vAlign w:val="center"/>
                </w:tcPr>
                <w:p w14:paraId="00080CFB">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序号</w:t>
                  </w:r>
                </w:p>
              </w:tc>
              <w:tc>
                <w:tcPr>
                  <w:tcW w:w="521" w:type="pct"/>
                  <w:tcBorders>
                    <w:tl2br w:val="nil"/>
                    <w:tr2bl w:val="nil"/>
                  </w:tcBorders>
                  <w:noWrap w:val="0"/>
                  <w:vAlign w:val="center"/>
                </w:tcPr>
                <w:p w14:paraId="7281E475">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环境管控单元名称</w:t>
                  </w:r>
                </w:p>
              </w:tc>
              <w:tc>
                <w:tcPr>
                  <w:tcW w:w="210" w:type="pct"/>
                  <w:tcBorders>
                    <w:tl2br w:val="nil"/>
                    <w:tr2bl w:val="nil"/>
                  </w:tcBorders>
                  <w:noWrap w:val="0"/>
                  <w:vAlign w:val="center"/>
                </w:tcPr>
                <w:p w14:paraId="1ABE5AF4">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市</w:t>
                  </w:r>
                </w:p>
              </w:tc>
              <w:tc>
                <w:tcPr>
                  <w:tcW w:w="297" w:type="pct"/>
                  <w:tcBorders>
                    <w:tl2br w:val="nil"/>
                    <w:tr2bl w:val="nil"/>
                  </w:tcBorders>
                  <w:noWrap w:val="0"/>
                  <w:vAlign w:val="center"/>
                </w:tcPr>
                <w:p w14:paraId="7DEAE7BA">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区县</w:t>
                  </w:r>
                </w:p>
              </w:tc>
              <w:tc>
                <w:tcPr>
                  <w:tcW w:w="297" w:type="pct"/>
                  <w:tcBorders>
                    <w:tl2br w:val="nil"/>
                    <w:tr2bl w:val="nil"/>
                  </w:tcBorders>
                  <w:noWrap w:val="0"/>
                  <w:vAlign w:val="center"/>
                </w:tcPr>
                <w:p w14:paraId="3DF14F75">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单元要素属性</w:t>
                  </w:r>
                </w:p>
              </w:tc>
              <w:tc>
                <w:tcPr>
                  <w:tcW w:w="265" w:type="pct"/>
                  <w:tcBorders>
                    <w:tl2br w:val="nil"/>
                    <w:tr2bl w:val="nil"/>
                  </w:tcBorders>
                  <w:noWrap w:val="0"/>
                  <w:vAlign w:val="center"/>
                </w:tcPr>
                <w:p w14:paraId="5751F89E">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管控</w:t>
                  </w: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要求</w:t>
                  </w:r>
                  <w:r>
                    <w:rPr>
                      <w:rFonts w:hint="default" w:ascii="Times New Roman" w:hAnsi="Times New Roman" w:cs="Times New Roman"/>
                      <w:b/>
                      <w:bCs/>
                      <w:vanish w:val="0"/>
                      <w:color w:val="000000" w:themeColor="text1"/>
                      <w:sz w:val="21"/>
                      <w:szCs w:val="21"/>
                      <w14:textFill>
                        <w14:solidFill>
                          <w14:schemeClr w14:val="tx1"/>
                        </w14:solidFill>
                      </w14:textFill>
                    </w:rPr>
                    <w:t>分类</w:t>
                  </w:r>
                </w:p>
              </w:tc>
              <w:tc>
                <w:tcPr>
                  <w:tcW w:w="2600" w:type="pct"/>
                  <w:tcBorders>
                    <w:tl2br w:val="nil"/>
                    <w:tr2bl w:val="nil"/>
                  </w:tcBorders>
                  <w:noWrap w:val="0"/>
                  <w:vAlign w:val="center"/>
                </w:tcPr>
                <w:p w14:paraId="67551B29">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管控要求</w:t>
                  </w:r>
                </w:p>
              </w:tc>
              <w:tc>
                <w:tcPr>
                  <w:tcW w:w="548" w:type="pct"/>
                  <w:tcBorders>
                    <w:tl2br w:val="nil"/>
                    <w:tr2bl w:val="nil"/>
                  </w:tcBorders>
                  <w:noWrap w:val="0"/>
                  <w:vAlign w:val="center"/>
                </w:tcPr>
                <w:p w14:paraId="5864BA9B">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符合性分析</w:t>
                  </w:r>
                </w:p>
              </w:tc>
            </w:tr>
            <w:tr w14:paraId="1FE8C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hidden/>
              </w:trPr>
              <w:tc>
                <w:tcPr>
                  <w:tcW w:w="259" w:type="pct"/>
                  <w:tcBorders>
                    <w:tl2br w:val="nil"/>
                    <w:tr2bl w:val="nil"/>
                  </w:tcBorders>
                  <w:noWrap w:val="0"/>
                  <w:vAlign w:val="center"/>
                </w:tcPr>
                <w:p w14:paraId="16DE2279">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1</w:t>
                  </w:r>
                </w:p>
              </w:tc>
              <w:tc>
                <w:tcPr>
                  <w:tcW w:w="521" w:type="pct"/>
                  <w:tcBorders>
                    <w:tl2br w:val="nil"/>
                    <w:tr2bl w:val="nil"/>
                  </w:tcBorders>
                  <w:noWrap w:val="0"/>
                  <w:vAlign w:val="center"/>
                </w:tcPr>
                <w:p w14:paraId="35A168C3">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宝鸡石头河水库饮用水源保护区</w:t>
                  </w:r>
                </w:p>
              </w:tc>
              <w:tc>
                <w:tcPr>
                  <w:tcW w:w="210" w:type="pct"/>
                  <w:tcBorders>
                    <w:tl2br w:val="nil"/>
                    <w:tr2bl w:val="nil"/>
                  </w:tcBorders>
                  <w:noWrap w:val="0"/>
                  <w:vAlign w:val="center"/>
                </w:tcPr>
                <w:p w14:paraId="514369C8">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vanish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lang w:eastAsia="zh-CN"/>
                      <w14:textFill>
                        <w14:solidFill>
                          <w14:schemeClr w14:val="tx1"/>
                        </w14:solidFill>
                      </w14:textFill>
                    </w:rPr>
                    <w:t>宝鸡市</w:t>
                  </w:r>
                </w:p>
              </w:tc>
              <w:tc>
                <w:tcPr>
                  <w:tcW w:w="297" w:type="pct"/>
                  <w:tcBorders>
                    <w:tl2br w:val="nil"/>
                    <w:tr2bl w:val="nil"/>
                  </w:tcBorders>
                  <w:noWrap w:val="0"/>
                  <w:vAlign w:val="center"/>
                </w:tcPr>
                <w:p w14:paraId="6270B76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vanish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lang w:eastAsia="zh-CN"/>
                      <w14:textFill>
                        <w14:solidFill>
                          <w14:schemeClr w14:val="tx1"/>
                        </w14:solidFill>
                      </w14:textFill>
                    </w:rPr>
                    <w:t>太白县</w:t>
                  </w:r>
                </w:p>
              </w:tc>
              <w:tc>
                <w:tcPr>
                  <w:tcW w:w="297" w:type="pct"/>
                  <w:tcBorders>
                    <w:tl2br w:val="nil"/>
                    <w:tr2bl w:val="nil"/>
                  </w:tcBorders>
                  <w:noWrap w:val="0"/>
                  <w:vAlign w:val="center"/>
                </w:tcPr>
                <w:p w14:paraId="37231577">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饮用</w:t>
                  </w:r>
                </w:p>
                <w:p w14:paraId="5FF273A2">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水水</w:t>
                  </w:r>
                </w:p>
                <w:p w14:paraId="58C283AC">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源保</w:t>
                  </w:r>
                </w:p>
                <w:p w14:paraId="3D2ECFEC">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护区、</w:t>
                  </w:r>
                </w:p>
                <w:p w14:paraId="3A80FE54">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水环</w:t>
                  </w:r>
                </w:p>
                <w:p w14:paraId="1FBD1DF2">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境优</w:t>
                  </w:r>
                </w:p>
                <w:p w14:paraId="5239D064">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先保</w:t>
                  </w:r>
                </w:p>
                <w:p w14:paraId="75806254">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护区、</w:t>
                  </w:r>
                </w:p>
                <w:p w14:paraId="751EBDCB">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一 般</w:t>
                  </w:r>
                </w:p>
                <w:p w14:paraId="3DC81DFA">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生态</w:t>
                  </w:r>
                </w:p>
                <w:p w14:paraId="30DDB557">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空间</w:t>
                  </w:r>
                </w:p>
                <w:p w14:paraId="1598F80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vanish w:val="0"/>
                      <w:color w:val="000000" w:themeColor="text1"/>
                      <w:sz w:val="21"/>
                      <w:szCs w:val="21"/>
                      <w:lang w:eastAsia="zh-CN"/>
                      <w14:textFill>
                        <w14:solidFill>
                          <w14:schemeClr w14:val="tx1"/>
                        </w14:solidFill>
                      </w14:textFill>
                    </w:rPr>
                  </w:pPr>
                </w:p>
              </w:tc>
              <w:tc>
                <w:tcPr>
                  <w:tcW w:w="265" w:type="pct"/>
                  <w:tcBorders>
                    <w:tl2br w:val="nil"/>
                    <w:tr2bl w:val="nil"/>
                  </w:tcBorders>
                  <w:noWrap w:val="0"/>
                  <w:vAlign w:val="center"/>
                </w:tcPr>
                <w:p w14:paraId="4B996A5B">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vanish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lang w:eastAsia="zh-CN"/>
                      <w14:textFill>
                        <w14:solidFill>
                          <w14:schemeClr w14:val="tx1"/>
                        </w14:solidFill>
                      </w14:textFill>
                    </w:rPr>
                    <w:t>空间布局约束</w:t>
                  </w:r>
                </w:p>
              </w:tc>
              <w:tc>
                <w:tcPr>
                  <w:tcW w:w="2600" w:type="pct"/>
                  <w:tcBorders>
                    <w:tl2br w:val="nil"/>
                    <w:tr2bl w:val="nil"/>
                  </w:tcBorders>
                  <w:noWrap w:val="0"/>
                  <w:vAlign w:val="center"/>
                </w:tcPr>
                <w:p w14:paraId="134D28CA">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b/>
                      <w:bCs/>
                      <w:vanish w:val="0"/>
                      <w:color w:val="000000" w:themeColor="text1"/>
                      <w:kern w:val="0"/>
                      <w:sz w:val="21"/>
                      <w:szCs w:val="21"/>
                      <w:lang w:val="en-US" w:eastAsia="zh-CN" w:bidi="ar"/>
                      <w14:textFill>
                        <w14:solidFill>
                          <w14:schemeClr w14:val="tx1"/>
                        </w14:solidFill>
                      </w14:textFill>
                    </w:rPr>
                    <w:t>饮用水水源保护区：</w:t>
                  </w:r>
                </w:p>
                <w:p w14:paraId="62CC318D">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按照《中华人民共和国水法》《中华人民共和国水污染防治法》《陕西省饮用水水源保护条例》《宝鸡市饮用水水源地保护条例》等相关规定进行管控。</w:t>
                  </w:r>
                </w:p>
                <w:p w14:paraId="3033E6C7">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
                      <w:bCs/>
                      <w:vanish w:val="0"/>
                      <w:color w:val="000000" w:themeColor="text1"/>
                      <w:kern w:val="0"/>
                      <w:sz w:val="21"/>
                      <w:szCs w:val="21"/>
                      <w:lang w:val="en-US" w:eastAsia="zh-CN" w:bidi="ar"/>
                      <w14:textFill>
                        <w14:solidFill>
                          <w14:schemeClr w14:val="tx1"/>
                        </w14:solidFill>
                      </w14:textFill>
                    </w:rPr>
                    <w:t>地表水饮用水水源保护区要求</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w:t>
                  </w:r>
                </w:p>
                <w:p w14:paraId="5B104C3E">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cs="Times New Roman"/>
                      <w:vanish w:val="0"/>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准保护区内：</w:t>
                  </w:r>
                </w:p>
                <w:p w14:paraId="59171DCD">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禁止新建、扩建对水体污染严重的建设项目，改建增加排污量的建设项目；禁止设置化工原料、危险废物和易溶性、有毒有害废弃物的暂存及转运站；禁止向水体倾倒危险废物、工业固体废物、生活垃圾、建筑垃圾、粪便及其他废弃物；禁止使用剧毒、高残留农药以及滥用化肥；禁止使用炸药、毒药捕杀鱼类和其他生物；禁止非更新采伐、破坏水源涵养林以及破坏与水源保护相关的植被；其他可能污染、破坏饮用水水源生态环境的行为。</w:t>
                  </w:r>
                </w:p>
                <w:p w14:paraId="20732A2A">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ind w:left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cs="Times New Roman"/>
                      <w:vanish w:val="0"/>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二级保护区内：</w:t>
                  </w:r>
                </w:p>
                <w:p w14:paraId="05110A45">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ind w:left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除第1条禁止的行为外，还禁止下列行为：禁止设置排污口；禁止新建、改建、扩建排放污染物的建设项目；禁止勘探、开采矿产资源，采砂；禁止堆放化工原料、危险化学品、矿物油类以及有毒有害矿产品；禁止设置畜禽养殖场、养殖小区；禁止新铺设输送有毒有害物品及石油、成品油的管道；禁止使用农药，丢弃农药、农药包装物或者清洗施药器械；禁止建造坟墓，丢弃或者掩埋动物尸体以及含病原体的其他废物；禁止使用不符合国家规定防污条件的运载工具，运载油类、粪便及其他有毒有害物品通过水源保护区。禁止运输危险化学品的船舶、车辆通过地表水饮用水水源保护区；对确需通过的危险化学品运输车辆，应当采取有效安全防护措施，依法报公安机关办理有关手续，并通知饮用水水源保护区管理机构。限制使用化肥；从事网箱养殖、旅游等活动的，应当按照规定采取措施，防止污染饮用水水体。已建成的排放污染物的建设项目，由县级以上人民政府责令拆除或者关闭；已有的输送石油、成品油的管道应当调整输油线路，逐步退出；对居民产生的生活污水和垃圾应当统一收集处置。</w:t>
                  </w:r>
                </w:p>
                <w:p w14:paraId="30948D3F">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3.一级保护区内：除第1、2条禁止的行为外，还禁止下列行为：新建、改建、扩建与供水设施和保护水源无关的建设项目；堆放、倾倒生活垃圾等其他废弃物；停靠与保护水源无关的机动船舶；从事畜禽养殖、网箱养殖；使用化肥；从事旅游、游泳、垂钓或者其他污染饮用水水体的活动。已建成的与供水设施和保护水源无关的建设项目，由县级以上人民政府责令拆除或关闭。</w:t>
                  </w:r>
                </w:p>
                <w:p w14:paraId="413AFCF3">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b/>
                      <w:bCs/>
                      <w:vanish w:val="0"/>
                      <w:color w:val="000000" w:themeColor="text1"/>
                      <w:kern w:val="0"/>
                      <w:sz w:val="21"/>
                      <w:szCs w:val="21"/>
                      <w:lang w:val="en-US" w:eastAsia="zh-CN" w:bidi="ar"/>
                      <w14:textFill>
                        <w14:solidFill>
                          <w14:schemeClr w14:val="tx1"/>
                        </w14:solidFill>
                      </w14:textFill>
                    </w:rPr>
                    <w:t>地下水饮用水水源保护区要求：</w:t>
                  </w:r>
                </w:p>
                <w:p w14:paraId="7FFC1705">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cs="Times New Roman"/>
                      <w:vanish w:val="0"/>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准保护区内：</w:t>
                  </w:r>
                </w:p>
                <w:p w14:paraId="5C68CC4A">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禁止新建、扩建对水体污染严重的建设项目，改建增加排污量的建设项目；禁止利用渗坑、渗井、深井、裂隙、溶洞等排放污水和其他有害废弃物；禁止利用透水层孔隙、裂隙、溶洞及废弃矿坑储存石油、天然气、放射性物质、有毒有害化工原料、农药等；禁止利用无防渗漏措施的沟渠、坑塘等输送或者存贮含有毒污染物的废水、含病原体的污水和其他废物；禁止设置化工原料、危险废物和易溶性、有毒有害废弃物的暂存及转运站；禁止毁林开荒、非更新采伐水源涵养林；禁止使用剧毒、高残留农药以及滥用化肥；禁止使用不符合国家农田灌溉水质标准的污水灌溉农田；禁止其他可能污染、破坏饮用水水源生态环境的行为。</w:t>
                  </w:r>
                </w:p>
                <w:p w14:paraId="3F15FCCA">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cs="Times New Roman"/>
                      <w:vanish w:val="0"/>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二级保护区内：</w:t>
                  </w:r>
                </w:p>
                <w:p w14:paraId="44C3D3D8">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除第1条禁止的行为外，还禁止下列行为：禁止设置排污口；禁止新建、改建、扩建排放污染物的建设项目；禁止勘探、开采矿产资源；禁止新铺设输送有毒有害物品及石油、成品油的管道；禁止堆放化工原料、危险化学品、矿物油类以及有毒有害矿产品；禁止擅自凿井取水</w:t>
                  </w:r>
                  <w:r>
                    <w:rPr>
                      <w:rFonts w:hint="eastAsia" w:cs="Times New Roman"/>
                      <w:vanish w:val="0"/>
                      <w:color w:val="000000" w:themeColor="text1"/>
                      <w:kern w:val="0"/>
                      <w:sz w:val="21"/>
                      <w:szCs w:val="21"/>
                      <w:lang w:val="en-US" w:eastAsia="zh-CN" w:bidi="ar"/>
                      <w14:textFill>
                        <w14:solidFill>
                          <w14:schemeClr w14:val="tx1"/>
                        </w14:solidFill>
                      </w14:textFill>
                    </w:rPr>
                    <w:t>，擅自</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混合开采承压水和潜水；禁止使用农药，丢弃农药、农药包装物或者清洗施药器械；禁止建造坟墓，丢弃或者掩埋动物尸体以及含病原体的其他废物。已建成的排放污染物的建设项目，由县级以上人民政府责令拆除或者关闭；已有的输送石油、成品油的管道应当调整输油线路，逐步退出；对居民产生的生活污水和垃圾应当统一收集处置。停止使用的取水口，有关单位应当及时封闭。</w:t>
                  </w:r>
                </w:p>
                <w:p w14:paraId="28D5DFFE">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cs="Times New Roman"/>
                      <w:vanish w:val="0"/>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一级保护区内：</w:t>
                  </w:r>
                </w:p>
                <w:p w14:paraId="4B1B1814">
                  <w:pPr>
                    <w:keepNext w:val="0"/>
                    <w:keepLines w:val="0"/>
                    <w:pageBreakBefore w:val="0"/>
                    <w:widowControl/>
                    <w:numPr>
                      <w:ilvl w:val="0"/>
                      <w:numId w:val="0"/>
                    </w:numPr>
                    <w:suppressLineNumbers w:val="0"/>
                    <w:kinsoku/>
                    <w:wordWrap/>
                    <w:overflowPunct/>
                    <w:topLinePunct/>
                    <w:autoSpaceDE/>
                    <w:autoSpaceDN/>
                    <w:bidi w:val="0"/>
                    <w:adjustRightInd w:val="0"/>
                    <w:snapToGrid w:val="0"/>
                    <w:spacing w:line="240" w:lineRule="auto"/>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除第1、2条禁止的行为外，还禁止下列行为：禁止新建、改建、扩建与供水设施和保护水源无关的建设项目；堆放、倾倒生活垃圾等其他废弃物；从事农牧业活动。已建成的与供水设施和保护水源无关的建设项目，由县级以上人民政府责令拆除或者关闭。</w:t>
                  </w:r>
                </w:p>
              </w:tc>
              <w:tc>
                <w:tcPr>
                  <w:tcW w:w="548" w:type="pct"/>
                  <w:tcBorders>
                    <w:tl2br w:val="nil"/>
                    <w:tr2bl w:val="nil"/>
                  </w:tcBorders>
                  <w:noWrap w:val="0"/>
                  <w:vAlign w:val="center"/>
                </w:tcPr>
                <w:p w14:paraId="0182AD0A">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项目供水线路</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及水厂</w:t>
                  </w:r>
                </w:p>
                <w:p w14:paraId="0F19CA70">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位于石头河水源二级保护区范围内，</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项目为新建供水设施项目，因此符合该空间布局约束要求。</w:t>
                  </w:r>
                </w:p>
                <w:p w14:paraId="4665375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lang w:eastAsia="zh-CN"/>
                      <w14:textFill>
                        <w14:solidFill>
                          <w14:schemeClr w14:val="tx1"/>
                        </w14:solidFill>
                      </w14:textFill>
                    </w:rPr>
                  </w:pPr>
                </w:p>
              </w:tc>
            </w:tr>
            <w:tr w14:paraId="75608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hidden/>
              </w:trPr>
              <w:tc>
                <w:tcPr>
                  <w:tcW w:w="259" w:type="pct"/>
                  <w:tcBorders>
                    <w:tl2br w:val="nil"/>
                    <w:tr2bl w:val="nil"/>
                  </w:tcBorders>
                  <w:noWrap w:val="0"/>
                  <w:vAlign w:val="center"/>
                </w:tcPr>
                <w:p w14:paraId="543656D7">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2</w:t>
                  </w:r>
                </w:p>
              </w:tc>
              <w:tc>
                <w:tcPr>
                  <w:tcW w:w="521" w:type="pct"/>
                  <w:tcBorders>
                    <w:tl2br w:val="nil"/>
                    <w:tr2bl w:val="nil"/>
                  </w:tcBorders>
                  <w:noWrap w:val="0"/>
                  <w:vAlign w:val="center"/>
                </w:tcPr>
                <w:p w14:paraId="78249779">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陕西青峰</w:t>
                  </w:r>
                </w:p>
                <w:p w14:paraId="4ED9B164">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峡国</w:t>
                  </w:r>
                </w:p>
                <w:p w14:paraId="1A179678">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家级森林公园</w:t>
                  </w:r>
                </w:p>
                <w:p w14:paraId="5F6FA08F">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p>
              </w:tc>
              <w:tc>
                <w:tcPr>
                  <w:tcW w:w="210" w:type="pct"/>
                  <w:tcBorders>
                    <w:tl2br w:val="nil"/>
                    <w:tr2bl w:val="nil"/>
                  </w:tcBorders>
                  <w:noWrap w:val="0"/>
                  <w:vAlign w:val="center"/>
                </w:tcPr>
                <w:p w14:paraId="731374D0">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宝鸡市</w:t>
                  </w:r>
                </w:p>
              </w:tc>
              <w:tc>
                <w:tcPr>
                  <w:tcW w:w="297" w:type="pct"/>
                  <w:tcBorders>
                    <w:tl2br w:val="nil"/>
                    <w:tr2bl w:val="nil"/>
                  </w:tcBorders>
                  <w:noWrap w:val="0"/>
                  <w:vAlign w:val="center"/>
                </w:tcPr>
                <w:p w14:paraId="3A89E6BB">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太白县</w:t>
                  </w:r>
                </w:p>
              </w:tc>
              <w:tc>
                <w:tcPr>
                  <w:tcW w:w="297" w:type="pct"/>
                  <w:tcBorders>
                    <w:tl2br w:val="nil"/>
                    <w:tr2bl w:val="nil"/>
                  </w:tcBorders>
                  <w:noWrap w:val="0"/>
                  <w:vAlign w:val="center"/>
                </w:tcPr>
                <w:p w14:paraId="0814766A">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饮用</w:t>
                  </w:r>
                </w:p>
                <w:p w14:paraId="178FB0D7">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水水</w:t>
                  </w:r>
                </w:p>
                <w:p w14:paraId="67C21280">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源保</w:t>
                  </w:r>
                </w:p>
                <w:p w14:paraId="229B56CF">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 xml:space="preserve">护区、 </w:t>
                  </w:r>
                </w:p>
                <w:p w14:paraId="7E2363C8">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森林</w:t>
                  </w:r>
                </w:p>
                <w:p w14:paraId="2551E471">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 xml:space="preserve">公园、 </w:t>
                  </w:r>
                </w:p>
                <w:p w14:paraId="3F9A44FD">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生</w:t>
                  </w:r>
                </w:p>
                <w:p w14:paraId="72CCA6CC">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保护</w:t>
                  </w:r>
                </w:p>
                <w:p w14:paraId="56E20D75">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 xml:space="preserve">红线、 </w:t>
                  </w:r>
                </w:p>
                <w:p w14:paraId="0FA9B232">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 xml:space="preserve">水 环 </w:t>
                  </w:r>
                </w:p>
                <w:p w14:paraId="5F44665D">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境优</w:t>
                  </w:r>
                </w:p>
                <w:p w14:paraId="545BB7E8">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先保</w:t>
                  </w:r>
                </w:p>
                <w:p w14:paraId="11035D19">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 xml:space="preserve">护区、 </w:t>
                  </w:r>
                </w:p>
                <w:p w14:paraId="7364A8CC">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秦 岭</w:t>
                  </w:r>
                </w:p>
                <w:p w14:paraId="5D9D9F58">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重点保护</w:t>
                  </w:r>
                </w:p>
                <w:p w14:paraId="0222EE8F">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区</w:t>
                  </w:r>
                </w:p>
                <w:p w14:paraId="0D290C90">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p>
              </w:tc>
              <w:tc>
                <w:tcPr>
                  <w:tcW w:w="265" w:type="pct"/>
                  <w:tcBorders>
                    <w:tl2br w:val="nil"/>
                    <w:tr2bl w:val="nil"/>
                  </w:tcBorders>
                  <w:noWrap w:val="0"/>
                  <w:vAlign w:val="center"/>
                </w:tcPr>
                <w:p w14:paraId="3D845AAC">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空间</w:t>
                  </w:r>
                </w:p>
                <w:p w14:paraId="60F1B88B">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布局</w:t>
                  </w:r>
                </w:p>
                <w:p w14:paraId="2381E815">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约束</w:t>
                  </w:r>
                </w:p>
              </w:tc>
              <w:tc>
                <w:tcPr>
                  <w:tcW w:w="2600" w:type="pct"/>
                  <w:tcBorders>
                    <w:tl2br w:val="nil"/>
                    <w:tr2bl w:val="nil"/>
                  </w:tcBorders>
                  <w:noWrap w:val="0"/>
                  <w:vAlign w:val="center"/>
                </w:tcPr>
                <w:p w14:paraId="72B12BE1">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b/>
                      <w:bCs/>
                      <w:color w:val="000000"/>
                      <w:kern w:val="0"/>
                      <w:sz w:val="21"/>
                      <w:szCs w:val="21"/>
                      <w:lang w:val="en-US" w:eastAsia="zh-CN" w:bidi="ar"/>
                    </w:rPr>
                    <w:t>饮用水水源保护区</w:t>
                  </w:r>
                  <w:r>
                    <w:rPr>
                      <w:rFonts w:hint="default" w:ascii="Times New Roman" w:hAnsi="Times New Roman" w:eastAsia="宋体" w:cs="Times New Roman"/>
                      <w:color w:val="000000"/>
                      <w:kern w:val="0"/>
                      <w:sz w:val="21"/>
                      <w:szCs w:val="21"/>
                      <w:lang w:val="en-US" w:eastAsia="zh-CN" w:bidi="ar"/>
                    </w:rPr>
                    <w:t xml:space="preserve">： </w:t>
                  </w:r>
                </w:p>
                <w:p w14:paraId="2AB73583">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按照《中华人民共和国水法》《中华人民共和国水污染防治法》《陕西 </w:t>
                  </w:r>
                </w:p>
                <w:p w14:paraId="0DB9372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省饮用水水源保护条例》《宝鸡市饮用水水源地保护条例》等相关规定 </w:t>
                  </w:r>
                </w:p>
                <w:p w14:paraId="458B9EE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进行管控。 </w:t>
                  </w:r>
                </w:p>
                <w:p w14:paraId="1192811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b/>
                      <w:bCs/>
                      <w:color w:val="000000"/>
                      <w:kern w:val="0"/>
                      <w:sz w:val="21"/>
                      <w:szCs w:val="21"/>
                      <w:lang w:val="en-US" w:eastAsia="zh-CN" w:bidi="ar"/>
                    </w:rPr>
                    <w:t>地表水饮用水水源保护区要求：</w:t>
                  </w:r>
                  <w:r>
                    <w:rPr>
                      <w:rFonts w:hint="default" w:ascii="Times New Roman" w:hAnsi="Times New Roman" w:eastAsia="宋体" w:cs="Times New Roman"/>
                      <w:color w:val="000000"/>
                      <w:kern w:val="0"/>
                      <w:sz w:val="21"/>
                      <w:szCs w:val="21"/>
                      <w:lang w:val="en-US" w:eastAsia="zh-CN" w:bidi="ar"/>
                    </w:rPr>
                    <w:t xml:space="preserve"> </w:t>
                  </w:r>
                </w:p>
                <w:p w14:paraId="5A699624">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准保护区内：</w:t>
                  </w:r>
                </w:p>
                <w:p w14:paraId="4B7521ED">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禁止新建、扩建对水体污染严重的建设项目，改建增加 </w:t>
                  </w:r>
                </w:p>
                <w:p w14:paraId="738BD29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排污量的建设项目；禁止设置化工原料、危险废物和易溶性、有毒有害 </w:t>
                  </w:r>
                </w:p>
                <w:p w14:paraId="427EB306">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废弃物的暂存及转运站；禁止向水体倾倒危险废物、工业固体废物、生 </w:t>
                  </w:r>
                </w:p>
                <w:p w14:paraId="1F7C9435">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活垃圾、建筑垃圾、粪便及其他废弃物；禁止使用剧毒、高残留农药以 </w:t>
                  </w:r>
                </w:p>
                <w:p w14:paraId="42EDEB1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及滥用化肥；禁止使用炸药、毒药捕杀鱼类和其他生物；禁止非更新采 </w:t>
                  </w:r>
                </w:p>
                <w:p w14:paraId="00D82D7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伐、破坏水源涵养林以及破坏与水源保护相关的植被；其他可能污染、 </w:t>
                  </w:r>
                </w:p>
                <w:p w14:paraId="75D7AD4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破坏饮用水水源生态环境的行为。 </w:t>
                  </w:r>
                </w:p>
                <w:p w14:paraId="6C8CC294">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2.二级保护区内：</w:t>
                  </w:r>
                </w:p>
                <w:p w14:paraId="23DAB627">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除第1条禁止的行为外，还禁止下列行为：禁止设置排污口；禁止新建、改建、扩建排放污染物的建设项目；禁止勘探、开采矿产资源，采砂；禁止堆放化工原料、危险化学品、矿物油类以及有毒有害矿产品；禁止设置畜禽养殖场、养殖小区；禁止新铺设输送有毒有害物品及石油、成品油的管道；禁止使用农药，丢弃农药、农药包装物或者清洗施药器械；禁止建造坟墓，丢弃或者掩埋动物尸体以及含病原体的其他废物；禁止使用不符合国家规定防污条件的运载工具，运载油类、粪便及其他有毒有害物品通过水源保护区。禁止运输危险化学品的船舶、车辆通过地表水饮用水水源保护区；对确需通过的危险化学品 </w:t>
                  </w:r>
                </w:p>
                <w:p w14:paraId="5F5B2C0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运输车辆，应当采取有效安全防护措施，依法报公安机关办理有关手续， </w:t>
                  </w:r>
                </w:p>
                <w:p w14:paraId="4521FFD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并通知饮用水水源保护区管理机构。限制使用化肥；从事网箱养殖、旅游等活动的，应当按照规定采取措施，防止污染饮用水水体。已建成的 </w:t>
                  </w:r>
                </w:p>
                <w:p w14:paraId="750F6DB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排放污染物的建设项目，由县级以上人民政府责令拆除或者关闭；已有的输送石油、成品油的管道应当调整输油线路，逐步退出；对居民产生 </w:t>
                  </w:r>
                </w:p>
                <w:p w14:paraId="5D6C10C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的生活污水和垃圾应当统一收集处置。 </w:t>
                  </w:r>
                </w:p>
                <w:p w14:paraId="06CB68B5">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val="en-US" w:eastAsia="zh-CN" w:bidi="ar"/>
                    </w:rPr>
                    <w:t>一级保护区内：</w:t>
                  </w:r>
                </w:p>
                <w:p w14:paraId="41AA1F68">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除第1、2条禁止的行为外，还禁止下列行为：新建、改建、扩建与供水设施和保护水源无关的建设项目；堆放、倾倒生活垃圾等其他废弃物；停靠与保护水源无关的机动船舶；从事畜禽养殖、网箱养殖；使用化肥；从事旅游、游泳、垂钓或者其他污染饮用水水体的活动。已建成的与供水设施和保护水源无关的建设项目，由县级以上人民政府责令拆除或关闭。 </w:t>
                  </w:r>
                </w:p>
                <w:p w14:paraId="7F90F14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b/>
                      <w:bCs/>
                      <w:sz w:val="21"/>
                      <w:szCs w:val="21"/>
                    </w:rPr>
                  </w:pPr>
                  <w:r>
                    <w:rPr>
                      <w:rFonts w:hint="default" w:ascii="Times New Roman" w:hAnsi="Times New Roman" w:eastAsia="宋体" w:cs="Times New Roman"/>
                      <w:b/>
                      <w:bCs/>
                      <w:color w:val="000000"/>
                      <w:kern w:val="0"/>
                      <w:sz w:val="21"/>
                      <w:szCs w:val="21"/>
                      <w:lang w:val="en-US" w:eastAsia="zh-CN" w:bidi="ar"/>
                    </w:rPr>
                    <w:t>地下水饮用水水源保护区要求：</w:t>
                  </w:r>
                </w:p>
                <w:p w14:paraId="2285DAC7">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准保护区内：</w:t>
                  </w:r>
                </w:p>
                <w:p w14:paraId="641B7871">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禁止新建、扩建对水体污染严重的建设项目，改建增加 </w:t>
                  </w:r>
                </w:p>
                <w:p w14:paraId="13774B9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排污量的建设项目；禁止利用渗坑、渗井、深井、裂隙、溶洞等排放污 </w:t>
                  </w:r>
                </w:p>
                <w:p w14:paraId="2F27C23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水和其他有害废弃物；禁止利用透水层孔隙、裂隙、溶洞及废弃矿坑储 </w:t>
                  </w:r>
                </w:p>
                <w:p w14:paraId="3A51043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存石油、天然气、放射性物质、有毒有害化工原料、农药等；禁止利用 </w:t>
                  </w:r>
                </w:p>
                <w:p w14:paraId="2629CDA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无防渗漏措施的沟渠、坑塘等输送或者存贮含有毒污染物的废水、含病 </w:t>
                  </w:r>
                </w:p>
                <w:p w14:paraId="28016E0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原体的污水和其他废物；禁止设置化工原料、危险废物和易溶性、有毒 </w:t>
                  </w:r>
                </w:p>
                <w:p w14:paraId="4884472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有害废弃物的暂存及转运站；禁止毁林开荒、非更新采伐水源涵养林； </w:t>
                  </w:r>
                </w:p>
                <w:p w14:paraId="107C264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禁止使用剧毒、高残留农药以及滥用化肥；禁止使用不符合国家农田灌 </w:t>
                  </w:r>
                </w:p>
                <w:p w14:paraId="6B6BA8D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溉水质标准的污水灌溉农田；禁止其他可能污染、破坏饮用水水源生态 </w:t>
                  </w:r>
                </w:p>
                <w:p w14:paraId="27D4F3E5">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环境的行为。</w:t>
                  </w:r>
                </w:p>
                <w:p w14:paraId="762CD879">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二级保护区内：</w:t>
                  </w:r>
                </w:p>
                <w:p w14:paraId="49033019">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除第1条禁止的行为外，还禁止下列行为：禁止设置排污口；禁止新建、改建、扩建排放污染物的建设项目；禁止勘探、开采矿产资源；禁止新铺设输送有毒有害物品及石油、成品油的管道；禁止堆放化工原料、危险化学品、矿物油类以及有毒有害矿产品；禁止擅自凿井取水，混合开采承压水和潜水；禁止使用农药，丢弃农药、农药包装物或者清洗施药器械；禁止建造坟墓，丢弃或者掩埋动物尸体以及含病原体的其他废物。已建成的排放污染物的建设项目，由县级以上人民政府责令拆除或者关闭；已有的输送石油、成品油的管道应当调整输油线路，逐步退出；对居民产生的生活污水和垃圾应当统一收集处置。 </w:t>
                  </w:r>
                </w:p>
                <w:p w14:paraId="55EF8295">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停止使用的取水口，有关单位应当及时封闭。 </w:t>
                  </w:r>
                </w:p>
                <w:p w14:paraId="4BC5C9D1">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val="en-US" w:eastAsia="zh-CN" w:bidi="ar"/>
                    </w:rPr>
                    <w:t>一级保护区内：</w:t>
                  </w:r>
                </w:p>
                <w:p w14:paraId="0481FEA6">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除第 1、2 条禁止的行为外，还禁止下列行为：禁止新建、改建、扩建与供水设施和保护水源无关的建设项目；堆放、倾倒生活垃圾等其他废弃物；从事农牧业活动。已建成的与供水设施和保护水源无关的建设项目，由县级以上人民政府责令拆除或者关闭。</w:t>
                  </w:r>
                </w:p>
                <w:p w14:paraId="27B075B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b/>
                      <w:bCs/>
                      <w:color w:val="000000"/>
                      <w:kern w:val="0"/>
                      <w:sz w:val="21"/>
                      <w:szCs w:val="21"/>
                      <w:lang w:val="en-US" w:eastAsia="zh-CN" w:bidi="ar"/>
                    </w:rPr>
                    <w:t>森林公园：</w:t>
                  </w:r>
                  <w:r>
                    <w:rPr>
                      <w:rFonts w:hint="default" w:ascii="Times New Roman" w:hAnsi="Times New Roman" w:eastAsia="宋体" w:cs="Times New Roman"/>
                      <w:color w:val="000000"/>
                      <w:kern w:val="0"/>
                      <w:sz w:val="21"/>
                      <w:szCs w:val="21"/>
                      <w:lang w:val="en-US" w:eastAsia="zh-CN" w:bidi="ar"/>
                    </w:rPr>
                    <w:t xml:space="preserve"> </w:t>
                  </w:r>
                </w:p>
                <w:p w14:paraId="4A49BBB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按照《国家级自然公园管理办法（试行）》《陕西省森林公园条例》相 </w:t>
                  </w:r>
                </w:p>
                <w:p w14:paraId="53FEA845">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关规定进行管控。 </w:t>
                  </w:r>
                </w:p>
                <w:p w14:paraId="01257C0E">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1.森林公园内不得从事下列活动：建设损害森林风景资源、妨碍游览、 </w:t>
                  </w:r>
                </w:p>
                <w:p w14:paraId="38335BEF">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污染环境的工程设施，设立各类开发区，修建别墅；在森林公园生态保 </w:t>
                  </w:r>
                </w:p>
                <w:p w14:paraId="4A786E9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护区和游览区内修建宾馆、疗养院以及与森林风景资源保护无关的其他 </w:t>
                  </w:r>
                </w:p>
                <w:p w14:paraId="33893CC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建筑物；擅自修建人造景观或者景点；其他损害森林风景资源的建设活 </w:t>
                  </w:r>
                </w:p>
                <w:p w14:paraId="7A53FE2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动。 </w:t>
                  </w:r>
                </w:p>
                <w:p w14:paraId="55AB8CD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2.森林公园内禁止下列行为：毁林开垦、采矿、采石、采砂、取土、放牧；填堵自然水系；在禁火区、森林防火戒严期用火；新建、改建坟墓； </w:t>
                  </w:r>
                </w:p>
                <w:p w14:paraId="560CDF3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采挖花草树根、攀折树枝、乱扔垃圾；在树木、建筑物、设施上刻画，损坏、移动园内设施、游览标志和标识；法律、法规禁止的其他行为。</w:t>
                  </w:r>
                </w:p>
                <w:p w14:paraId="3C3B4EC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3.建设单位、施工单位在森林公园内进行工程项目建设以及搭建临时设 </w:t>
                  </w:r>
                </w:p>
                <w:p w14:paraId="75D0A8C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施的，应当采取措施，避免对周围景物、景点、水体、地形地貌、林草 </w:t>
                  </w:r>
                </w:p>
                <w:p w14:paraId="0FD5CF6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植被造成破坏，竣工后及时清理现场，恢复原状。 </w:t>
                  </w:r>
                </w:p>
                <w:p w14:paraId="712D13D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4.在森林公园周边进行勘查、开采矿产资源等活动，可能损害森林公园风景资源的，有关行政主管部门批准前，应当征求省林业行政主管部门</w:t>
                  </w:r>
                </w:p>
                <w:p w14:paraId="622C848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的意见，并采取相应的保护措施。</w:t>
                  </w:r>
                </w:p>
                <w:p w14:paraId="2834BFC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5.在国家级自然公园内开展相关活动和设施建设，不得擅自改变其自然 </w:t>
                  </w:r>
                </w:p>
                <w:p w14:paraId="02D7266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状态和历史风貌。禁止擅自在国家级自然公园内从事采矿、房地产、开 </w:t>
                  </w:r>
                </w:p>
                <w:p w14:paraId="4D28BCC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发区、高尔夫球场、风力光伏电场等不符合管控要求的开发活动。禁止 </w:t>
                  </w:r>
                </w:p>
                <w:p w14:paraId="2D0C583E">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违规侵占国家级自然公园，排放不符合水污染物排放标准的工业废水、</w:t>
                  </w:r>
                </w:p>
                <w:p w14:paraId="4C66796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生活污水及其他的废水、污水，倾倒、堆放、丢弃、遗撒固体废物等污染生态环境的行为。 </w:t>
                  </w:r>
                </w:p>
                <w:p w14:paraId="38670D9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生态保护红线： </w:t>
                  </w:r>
                </w:p>
                <w:p w14:paraId="2CD3FC6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按照《中共中央办公厅 国务院办公厅关于在国土空间规划中统筹划定 </w:t>
                  </w:r>
                </w:p>
                <w:p w14:paraId="5CAB9A5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落实三条控制线的指导意见》《自然资源部 生态环境部 国家林业和草 </w:t>
                  </w:r>
                </w:p>
                <w:p w14:paraId="409BA3F4">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原局关于加强生态保护红线管理的通知（试行）》《陕西省自然资源厅 </w:t>
                  </w:r>
                </w:p>
                <w:p w14:paraId="68B18D8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陕西省生态环境厅陕西省林业局关于加强生态保护红线管理的通知（试 </w:t>
                  </w:r>
                </w:p>
                <w:p w14:paraId="3FC9B5F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行）》等相关规定进行管控。 </w:t>
                  </w:r>
                </w:p>
                <w:p w14:paraId="65DD0551">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一、加强人为活动管控 </w:t>
                  </w:r>
                </w:p>
                <w:p w14:paraId="5155348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（一）规范有限人为活动准入 </w:t>
                  </w:r>
                </w:p>
                <w:p w14:paraId="198B141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生态保护红线内自然保护地核心保护区外，禁止开发性、生产性建设活 </w:t>
                  </w:r>
                </w:p>
                <w:p w14:paraId="281CEFD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动，在符合法律法规的前提下，仅允许以下对生态功能不造成破坏的有 </w:t>
                  </w:r>
                </w:p>
                <w:p w14:paraId="2887B7DE">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限人为活动。 </w:t>
                  </w:r>
                </w:p>
                <w:p w14:paraId="326EAC44">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1.管护巡护、保护执法、科学研究、调查监测、测绘导航、防灾减灾救 </w:t>
                  </w:r>
                </w:p>
                <w:p w14:paraId="2AD108B1">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灾、军事国防、疫情防控、应急救援等活动及相关的必要设施修筑。 </w:t>
                  </w:r>
                </w:p>
                <w:p w14:paraId="5A1E3AB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2.原住居民和其他合法权益主体，允许在不扩大现有建设用地、耕地、 </w:t>
                  </w:r>
                </w:p>
                <w:p w14:paraId="3DC96594">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水产养殖规模和放牧强度的前提下，开展种植、放牧、捕捞、养殖等活动，修筑生产生活设施。 </w:t>
                  </w:r>
                </w:p>
                <w:p w14:paraId="383894FE">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3.经依法批准的考古调查勘探发掘、古生物化石调查发掘、标本采集和 </w:t>
                  </w:r>
                </w:p>
                <w:p w14:paraId="052BFCE1">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文物保护（工程）等活动。 </w:t>
                  </w:r>
                </w:p>
                <w:p w14:paraId="0CD84A9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4.按规定对人工商品林进行抚育采伐，或以提升森林质量、优化栖息地、 </w:t>
                  </w:r>
                </w:p>
                <w:p w14:paraId="1A0B5961">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建设生物防火隔离带等为目的的树种更新，依法开展的竹林采伐经营。 </w:t>
                  </w:r>
                </w:p>
                <w:p w14:paraId="2B3FCF2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5.不破坏生态功能的适度参观旅游、科普宣教及符合相关 规划的配套 </w:t>
                  </w:r>
                </w:p>
                <w:p w14:paraId="1C63E00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性服务设施和相关的必要公共设施建设及维护。 </w:t>
                  </w:r>
                </w:p>
                <w:p w14:paraId="4379C684">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6.必须且无法避让、符合县级以上国土空间规划的线性基础设施、通讯 </w:t>
                  </w:r>
                </w:p>
                <w:p w14:paraId="1F4CAEE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和防洪、供水、水文设施建设和船舶航行、航道疏浚清淤等活动；已有 </w:t>
                  </w:r>
                </w:p>
                <w:p w14:paraId="5D32481F">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的合法水利、交通运输等设施运行维护改造。 </w:t>
                  </w:r>
                </w:p>
                <w:p w14:paraId="16472D8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7.地质调查与矿产资源勘查开采。包括：基础地质调查和战略性矿产资 </w:t>
                  </w:r>
                </w:p>
                <w:p w14:paraId="5FAE6AD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源远景调查等公益性工作；铀矿勘查开采活动，可办理矿业权登记；巳 </w:t>
                  </w:r>
                </w:p>
                <w:p w14:paraId="41B8D61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依法设立的油气探矿权继续勘查活动，可办理探矿权延续变更（不含扩 </w:t>
                  </w:r>
                </w:p>
                <w:p w14:paraId="7C624D9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大勘查区块范围）、保留、注销，当发现可供开采油气资源并探明储量 </w:t>
                  </w:r>
                </w:p>
                <w:p w14:paraId="1E613B6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时，可将开采拟占用的地表范围依照国家相关规定调出生态保护红线； </w:t>
                  </w:r>
                </w:p>
                <w:p w14:paraId="344BDDD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已依法设立的油气采矿权不扩大用地范围，继续开采，可办理采矿权延续、变更（不含扩大矿区范围）、注销；已依法设立的矿泉水和地热采 </w:t>
                  </w:r>
                </w:p>
                <w:p w14:paraId="481E134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矿权，在不超出已经核定的生产规模、不新增生产设施的前提下继续开 </w:t>
                  </w:r>
                </w:p>
                <w:p w14:paraId="59F34DB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采，可办理采矿权延续，变更（不含扩大矿区范围）、注销；已依法设 </w:t>
                  </w:r>
                </w:p>
                <w:p w14:paraId="2EC0140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立和新立铬、铜、银、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 </w:t>
                  </w:r>
                </w:p>
                <w:p w14:paraId="30111B84">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8.依据县级以上国土空间规划和生态保护修复专项规划开展的生态修 </w:t>
                  </w:r>
                </w:p>
                <w:p w14:paraId="0E779AD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复。 </w:t>
                  </w:r>
                </w:p>
                <w:p w14:paraId="0B4D0F03">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9.法律法规规定允许的其他人为活动。 </w:t>
                  </w:r>
                </w:p>
                <w:p w14:paraId="26D3C34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生态保护红线内自然保护区、风景名胜区、饮用水水源保护区等区域， </w:t>
                  </w:r>
                </w:p>
                <w:p w14:paraId="17D41906">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依照法律法规执行。生态保护红线内允许的有限人为活动及涉及上述区 </w:t>
                  </w:r>
                </w:p>
                <w:p w14:paraId="1337C1A4">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域的，应当征求相关主管部门意见，涉及自然保护地的，应征求林业主 </w:t>
                  </w:r>
                </w:p>
                <w:p w14:paraId="15C450F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管部门或自然保护地管理机构意见。 </w:t>
                  </w:r>
                </w:p>
                <w:p w14:paraId="4FACDEC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（二）加强有限人为活动管理 </w:t>
                  </w:r>
                </w:p>
                <w:p w14:paraId="3FC13D7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1.有限人为活动不涉及新增建设用地审批的，应严格控制活动强度和规 </w:t>
                  </w:r>
                </w:p>
                <w:p w14:paraId="0A1D3E8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模，避免对生态功能造成破坏。其中，无具体建设活动的，由相关部门按规定做好管理；有具体建设活动的，由建设活动所在地县级政府组织 </w:t>
                  </w:r>
                </w:p>
                <w:p w14:paraId="46EE9DA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自然资源、生态环境、林业等主管部门进行审查，对符合要求的，形成</w:t>
                  </w:r>
                </w:p>
                <w:p w14:paraId="2834FEF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认定意见，明确建设活动符合生态保护红线内允许有限人为活动要求，作为有关部门做好建设活动管理的依据和办理有关手续的要件。原住居 </w:t>
                  </w:r>
                </w:p>
                <w:p w14:paraId="53A7717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民和其他合法权益主体在不扩大现有建设用地范围和规模前提下修筑 </w:t>
                  </w:r>
                </w:p>
                <w:p w14:paraId="61D92AE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生活设施的，可免于审查。 </w:t>
                  </w:r>
                </w:p>
                <w:p w14:paraId="16AAFFD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2.有限人为活动涉及新增建设用地审批的，在建设项目用地预审时，由 </w:t>
                  </w:r>
                </w:p>
                <w:p w14:paraId="78FD2636">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建设项目所在地市、县级政府逐级组织自然资源、生态环境、林业等主 </w:t>
                  </w:r>
                </w:p>
                <w:p w14:paraId="7E98292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管部门开展论证。符合要求的，由市、县分别提出初步认定意见，并明确</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建设活动符合生态保护红线内允许有限人为活动要求</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初步认定意见纳入预审材料中，同时逐级向省政府提出出具认定意见的申请。申请材料包括：①请示文件；②市、县级政府出具的符合允许有限人为活动的初步认定意见；③市、县级政府组织的专家论证有关材料。包括论证报告、专家意见等；④法律法规规定的其他材料。省自然资源厅按照省政府批办意见组织开展审查，并根据实际情况征求省生态环境厅、省林业局以及其他省级相关部门意见。符合要求的，报请省政府出具认定意见，明确</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建设活动符合生态保护红线内允许有限人为活动要求</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。省政府的认定意见在报批农用地转用和土地征收时，作为要件纳入用地报批材料中。 </w:t>
                  </w:r>
                </w:p>
                <w:p w14:paraId="5E96333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（三）妥善有序处理生态保护红线内的历史遗留问题 </w:t>
                  </w:r>
                </w:p>
                <w:p w14:paraId="1F9DBA16">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1.对生态保护红线内需逐步有序退出的矿业权等，由市级人民政府按照 </w:t>
                  </w:r>
                </w:p>
                <w:p w14:paraId="02D5480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尊重历史、实事求是的原则，结合实际制定退出方案，明确时序安排、 </w:t>
                  </w:r>
                </w:p>
                <w:p w14:paraId="0E5C92C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补偿安置、生态修复等要求，确保生态安全和社会稳定，退出实施方案 </w:t>
                  </w:r>
                </w:p>
                <w:p w14:paraId="0348262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报省政府备案。 </w:t>
                  </w:r>
                </w:p>
                <w:p w14:paraId="213A80C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2.鼓励有条件的地方通过租赁、置换、赎买等方式，取得生态保护红线 </w:t>
                  </w:r>
                </w:p>
                <w:p w14:paraId="6D58BD9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内的人工商品林所有权或者经营权，实施统一管护，按规定逐步将其调</w:t>
                  </w:r>
                </w:p>
                <w:p w14:paraId="33BCCA2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整为公益林。 </w:t>
                  </w:r>
                </w:p>
                <w:p w14:paraId="1FC63CA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3.零星分布的已有水电、风电、光伏设施按照相关法律法规规定进行管 </w:t>
                  </w:r>
                </w:p>
                <w:p w14:paraId="3071AB56">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理，严禁扩大现有规模与范围，项目到期后由建设单位负责做好生态修 </w:t>
                  </w:r>
                </w:p>
                <w:p w14:paraId="41A2EAEF">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复。 </w:t>
                  </w:r>
                </w:p>
                <w:p w14:paraId="01E9E73E">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二、严格生态保护红线占用审批 </w:t>
                  </w:r>
                </w:p>
                <w:p w14:paraId="04B5036E">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生态保护红线内允许有限人为活动之外，确需占用生态保护红线的国家 </w:t>
                  </w:r>
                </w:p>
                <w:p w14:paraId="4E4A9086">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重大项目，按照《陕西省自然资源厅 陕西省生态环境厅陕西省林业局 </w:t>
                  </w:r>
                </w:p>
                <w:p w14:paraId="1F400245">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关于加强生态保护红线管理的通知（试行）》要求办理用地审批。 </w:t>
                  </w:r>
                </w:p>
                <w:p w14:paraId="765962E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1.国家重大项目范围。党中央、国务院发布文件或批准规划中明确具体名称的项目和国务院批准的项目。</w:t>
                  </w:r>
                  <w:r>
                    <w:rPr>
                      <w:rFonts w:hint="eastAsia" w:cs="Times New Roman"/>
                      <w:color w:val="000000"/>
                      <w:kern w:val="0"/>
                      <w:sz w:val="21"/>
                      <w:szCs w:val="21"/>
                      <w:lang w:val="en-US" w:eastAsia="zh-CN" w:bidi="ar"/>
                    </w:rPr>
                    <w:t>中央军委</w:t>
                  </w:r>
                  <w:r>
                    <w:rPr>
                      <w:rFonts w:hint="default" w:ascii="Times New Roman" w:hAnsi="Times New Roman" w:eastAsia="宋体" w:cs="Times New Roman"/>
                      <w:color w:val="000000"/>
                      <w:kern w:val="0"/>
                      <w:sz w:val="21"/>
                      <w:szCs w:val="21"/>
                      <w:lang w:val="en-US" w:eastAsia="zh-CN" w:bidi="ar"/>
                    </w:rPr>
                    <w:t>及其有关部门批准的军事国防项目。国家级规划（指国务院及其有关部门正式颁布）明确的交通、</w:t>
                  </w:r>
                </w:p>
                <w:p w14:paraId="05C6FCC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水利项目。国家级规划明确的电网项目。国家级规划明确的且符合国家 </w:t>
                  </w:r>
                </w:p>
                <w:p w14:paraId="6C94FD53">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产业政策的能源矿产勘查开采、油气管线、水电、核电项目。为贯彻落实</w:t>
                  </w:r>
                  <w:r>
                    <w:rPr>
                      <w:rFonts w:hint="eastAsia" w:cs="Times New Roman"/>
                      <w:color w:val="000000"/>
                      <w:kern w:val="0"/>
                      <w:sz w:val="21"/>
                      <w:szCs w:val="21"/>
                      <w:lang w:val="en-US" w:eastAsia="zh-CN" w:bidi="ar"/>
                    </w:rPr>
                    <w:t>党中央</w:t>
                  </w:r>
                  <w:r>
                    <w:rPr>
                      <w:rFonts w:hint="default" w:ascii="Times New Roman" w:hAnsi="Times New Roman" w:eastAsia="宋体" w:cs="Times New Roman"/>
                      <w:color w:val="000000"/>
                      <w:kern w:val="0"/>
                      <w:sz w:val="21"/>
                      <w:szCs w:val="21"/>
                      <w:lang w:val="en-US" w:eastAsia="zh-CN" w:bidi="ar"/>
                    </w:rPr>
                    <w:t>、国务院重大决策部署，国务院投资主管部门或国务院投资主管部门会同有关部门确认的交通、能源、水利等基础设施项目。按照国家重大项目用地保障工作机制要求，国家发展改革委会同有关部门确认</w:t>
                  </w:r>
                  <w:r>
                    <w:rPr>
                      <w:rFonts w:hint="eastAsia" w:cs="Times New Roman"/>
                      <w:color w:val="000000"/>
                      <w:kern w:val="0"/>
                      <w:sz w:val="21"/>
                      <w:szCs w:val="21"/>
                      <w:lang w:val="en-US" w:eastAsia="zh-CN" w:bidi="ar"/>
                    </w:rPr>
                    <w:t>确</w:t>
                  </w:r>
                  <w:r>
                    <w:rPr>
                      <w:rFonts w:hint="default" w:ascii="Times New Roman" w:hAnsi="Times New Roman" w:eastAsia="宋体" w:cs="Times New Roman"/>
                      <w:color w:val="000000"/>
                      <w:kern w:val="0"/>
                      <w:sz w:val="21"/>
                      <w:szCs w:val="21"/>
                      <w:lang w:val="en-US" w:eastAsia="zh-CN" w:bidi="ar"/>
                    </w:rPr>
                    <w:t xml:space="preserve">需中央加大建设用地保障力度，确实难以避让的国家重大项目。 </w:t>
                  </w:r>
                </w:p>
                <w:p w14:paraId="5305DF2B">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水环境优先保护区： </w:t>
                  </w:r>
                </w:p>
                <w:p w14:paraId="235025E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1.强化江河源头和饮用水水源地保护。加强主要江河源头、重要水源涵 </w:t>
                  </w:r>
                </w:p>
                <w:p w14:paraId="106FC1F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养地的水环境保护，划定禁止开发范围。依法划定和保护饮用水水源保护区，加强水土流失和面源污染防治，严格管控入河排污口，严格河道采砂管理，维系江河湖库健康生命。 </w:t>
                  </w:r>
                </w:p>
                <w:p w14:paraId="4D4FAEBF">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秦岭重点保护区： </w:t>
                  </w:r>
                </w:p>
                <w:p w14:paraId="27F1164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按照《陕西省秦岭生态环境保护条例》《陕西省秦岭生态环境保护总体 </w:t>
                  </w:r>
                </w:p>
                <w:p w14:paraId="02BC890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规划》《陕西省秦岭重点保护区一般保护区产业准入清单》《宝鸡市秦岭生态环境保护规划》等相关要求进行管理。 </w:t>
                  </w:r>
                </w:p>
                <w:p w14:paraId="1288B390">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1.除《陕西省秦岭生态环境保护条例》另有规定外，不得进行与其保护 </w:t>
                  </w:r>
                </w:p>
                <w:p w14:paraId="679564F8">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功能不相符的开发建设活动；实施能源、交通、水利、国防等重大基础设施建设和战略性矿产资源勘查项目，应当依法进行环境影响评价，报省人民政府审定。在秦岭范围内的生产、生活和建设活动应当符合秦岭生态环境保护规划，依法采取相应生态环境保护措施，保证秦岭生态功能不降低。 </w:t>
                  </w:r>
                </w:p>
                <w:p w14:paraId="0A2042C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2.淘汰高污染、高耗能、高排放落后产能，鼓励发展绿色循环经济。 </w:t>
                  </w:r>
                </w:p>
                <w:p w14:paraId="3A8E384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3.不得新建水电站，已建成或者在建的水电站，由省水行政主管部门会</w:t>
                  </w:r>
                </w:p>
                <w:p w14:paraId="2BDFD6EC">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同省级有关行政主管部门制定评估整治标准及处置方案，由县级以上人</w:t>
                  </w:r>
                </w:p>
                <w:p w14:paraId="0330850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民政府依法组织限期整治或者退出、拆除，恢复生态。禁止房地产开发。 </w:t>
                  </w:r>
                </w:p>
                <w:p w14:paraId="407EDA65">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不得新建、扩建、异地重建宗教活动场所。 </w:t>
                  </w:r>
                </w:p>
                <w:p w14:paraId="35FB615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4.禁止勘探、开发矿产资源和开山采石，禁止在秦岭主梁以北的秦岭范 </w:t>
                  </w:r>
                </w:p>
                <w:p w14:paraId="392E29D9">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围内开山采石。已取得矿业权的企业和现有采石企业，由县级以上人民 </w:t>
                  </w:r>
                </w:p>
                <w:p w14:paraId="2F2B4BAE">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政府依法组织限期退出。 </w:t>
                  </w:r>
                </w:p>
                <w:p w14:paraId="449C4643">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5.重点保护区施行《陕西省秦岭重点保护区一般保护区产业准入清单》</w:t>
                  </w:r>
                </w:p>
                <w:p w14:paraId="3F1CB94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的</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允许目录</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，禁止允许目录之外产业、项目进入。</w:t>
                  </w:r>
                </w:p>
                <w:p w14:paraId="7E087C25">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6.秦岭范围内国家公园、自然保护区、自然公园、生态保护红线、饮用</w:t>
                  </w:r>
                </w:p>
                <w:p w14:paraId="11AC1337">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水水源保护区、天然林、不可移动文物等特定地理区域、空间的管控措</w:t>
                  </w:r>
                </w:p>
                <w:p w14:paraId="327F5902">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施，依照相关法律、法规和规定、规划执行。</w:t>
                  </w:r>
                </w:p>
                <w:p w14:paraId="07BB803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7.法律、行政法规对重点保护区的产业、项目有相关规定的，从其相关 </w:t>
                  </w:r>
                </w:p>
                <w:p w14:paraId="249E433D">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规定。县级以上人民政府对</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产业准入清单</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中的产业、项目，有更严格 </w:t>
                  </w:r>
                </w:p>
                <w:p w14:paraId="21E587D4">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准入规定的，从其规定。</w:t>
                  </w:r>
                </w:p>
              </w:tc>
              <w:tc>
                <w:tcPr>
                  <w:tcW w:w="548" w:type="pct"/>
                  <w:tcBorders>
                    <w:tl2br w:val="nil"/>
                    <w:tr2bl w:val="nil"/>
                  </w:tcBorders>
                  <w:noWrap w:val="0"/>
                  <w:vAlign w:val="center"/>
                </w:tcPr>
                <w:p w14:paraId="04B45847">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项目供水线路</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及水厂</w:t>
                  </w:r>
                </w:p>
                <w:p w14:paraId="62EE2D6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位于石头河水源二级保护区范围内，</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项目为新建供水设施项目，因此符合该空间布局约束要求。</w:t>
                  </w:r>
                  <w:r>
                    <w:rPr>
                      <w:rFonts w:hint="eastAsia" w:cs="Times New Roman"/>
                      <w:vanish w:val="0"/>
                      <w:color w:val="000000" w:themeColor="text1"/>
                      <w:kern w:val="0"/>
                      <w:sz w:val="21"/>
                      <w:szCs w:val="21"/>
                      <w:lang w:val="en-US" w:eastAsia="zh-CN" w:bidi="ar"/>
                      <w14:textFill>
                        <w14:solidFill>
                          <w14:schemeClr w14:val="tx1"/>
                        </w14:solidFill>
                      </w14:textFill>
                    </w:rPr>
                    <w:t>本项目所在区域不涉及生态保护红线</w:t>
                  </w:r>
                </w:p>
              </w:tc>
            </w:tr>
            <w:tr w14:paraId="188DF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hidden/>
              </w:trPr>
              <w:tc>
                <w:tcPr>
                  <w:tcW w:w="259" w:type="pct"/>
                  <w:tcBorders>
                    <w:tl2br w:val="nil"/>
                    <w:tr2bl w:val="nil"/>
                  </w:tcBorders>
                  <w:noWrap w:val="0"/>
                  <w:vAlign w:val="center"/>
                </w:tcPr>
                <w:p w14:paraId="4E758B0C">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3</w:t>
                  </w:r>
                </w:p>
              </w:tc>
              <w:tc>
                <w:tcPr>
                  <w:tcW w:w="521" w:type="pct"/>
                  <w:tcBorders>
                    <w:tl2br w:val="nil"/>
                    <w:tr2bl w:val="nil"/>
                  </w:tcBorders>
                  <w:noWrap w:val="0"/>
                  <w:vAlign w:val="center"/>
                </w:tcPr>
                <w:p w14:paraId="2C1CA8DC">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陕西 </w:t>
                  </w:r>
                </w:p>
                <w:p w14:paraId="30CBAEF3">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省宝 </w:t>
                  </w:r>
                </w:p>
                <w:p w14:paraId="609B0C33">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鸡市 </w:t>
                  </w:r>
                </w:p>
                <w:p w14:paraId="74EF873C">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秦岭 </w:t>
                  </w:r>
                </w:p>
                <w:p w14:paraId="129BE312">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重点 </w:t>
                  </w:r>
                </w:p>
                <w:p w14:paraId="36D20B8A">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保护 </w:t>
                  </w:r>
                </w:p>
                <w:p w14:paraId="15006696">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val="en-US" w:eastAsia="zh-CN" w:bidi="ar"/>
                    </w:rPr>
                    <w:t>区</w:t>
                  </w:r>
                </w:p>
              </w:tc>
              <w:tc>
                <w:tcPr>
                  <w:tcW w:w="210" w:type="pct"/>
                  <w:tcBorders>
                    <w:tl2br w:val="nil"/>
                    <w:tr2bl w:val="nil"/>
                  </w:tcBorders>
                  <w:noWrap w:val="0"/>
                  <w:vAlign w:val="center"/>
                </w:tcPr>
                <w:p w14:paraId="53213614">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vanish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lang w:eastAsia="zh-CN"/>
                      <w14:textFill>
                        <w14:solidFill>
                          <w14:schemeClr w14:val="tx1"/>
                        </w14:solidFill>
                      </w14:textFill>
                    </w:rPr>
                    <w:t>宝鸡市</w:t>
                  </w:r>
                </w:p>
              </w:tc>
              <w:tc>
                <w:tcPr>
                  <w:tcW w:w="297" w:type="pct"/>
                  <w:tcBorders>
                    <w:tl2br w:val="nil"/>
                    <w:tr2bl w:val="nil"/>
                  </w:tcBorders>
                  <w:noWrap w:val="0"/>
                  <w:vAlign w:val="center"/>
                </w:tcPr>
                <w:p w14:paraId="3D0F916A">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vanish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lang w:eastAsia="zh-CN"/>
                      <w14:textFill>
                        <w14:solidFill>
                          <w14:schemeClr w14:val="tx1"/>
                        </w14:solidFill>
                      </w14:textFill>
                    </w:rPr>
                    <w:t>太白县</w:t>
                  </w:r>
                </w:p>
              </w:tc>
              <w:tc>
                <w:tcPr>
                  <w:tcW w:w="297" w:type="pct"/>
                  <w:tcBorders>
                    <w:tl2br w:val="nil"/>
                    <w:tr2bl w:val="nil"/>
                  </w:tcBorders>
                  <w:noWrap w:val="0"/>
                  <w:vAlign w:val="center"/>
                </w:tcPr>
                <w:p w14:paraId="3BEE9871">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饮用</w:t>
                  </w:r>
                </w:p>
                <w:p w14:paraId="367CAC44">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水水</w:t>
                  </w:r>
                </w:p>
                <w:p w14:paraId="4E766C7C">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源保</w:t>
                  </w:r>
                </w:p>
                <w:p w14:paraId="621CBCF7">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护区、 </w:t>
                  </w:r>
                </w:p>
                <w:p w14:paraId="038008FA">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水环</w:t>
                  </w:r>
                </w:p>
                <w:p w14:paraId="08AC200F">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境优</w:t>
                  </w:r>
                </w:p>
                <w:p w14:paraId="0AD42E9D">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先保</w:t>
                  </w:r>
                </w:p>
                <w:p w14:paraId="4CA1CE46">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护区、 </w:t>
                  </w:r>
                </w:p>
                <w:p w14:paraId="758E838D">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一般</w:t>
                  </w:r>
                </w:p>
                <w:p w14:paraId="0A46C6B5">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生态</w:t>
                  </w:r>
                </w:p>
                <w:p w14:paraId="5EACA255">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空间、 </w:t>
                  </w:r>
                </w:p>
                <w:p w14:paraId="10CB3044">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秦岭</w:t>
                  </w:r>
                </w:p>
                <w:p w14:paraId="5B5AF234">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重点</w:t>
                  </w:r>
                </w:p>
                <w:p w14:paraId="5339C3A2">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保护</w:t>
                  </w:r>
                </w:p>
                <w:p w14:paraId="09F0CF4A">
                  <w:pPr>
                    <w:keepNext w:val="0"/>
                    <w:keepLines w:val="0"/>
                    <w:pageBreakBefore w:val="0"/>
                    <w:widowControl/>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区</w:t>
                  </w:r>
                </w:p>
              </w:tc>
              <w:tc>
                <w:tcPr>
                  <w:tcW w:w="265" w:type="pct"/>
                  <w:tcBorders>
                    <w:tl2br w:val="nil"/>
                    <w:tr2bl w:val="nil"/>
                  </w:tcBorders>
                  <w:noWrap w:val="0"/>
                  <w:vAlign w:val="center"/>
                </w:tcPr>
                <w:p w14:paraId="3F54196B">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空间</w:t>
                  </w:r>
                </w:p>
                <w:p w14:paraId="53F2283B">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布局</w:t>
                  </w:r>
                </w:p>
                <w:p w14:paraId="7AC3A4DF">
                  <w:pPr>
                    <w:keepNext w:val="0"/>
                    <w:keepLines w:val="0"/>
                    <w:pageBreakBefore w:val="0"/>
                    <w:widowControl/>
                    <w:suppressLineNumbers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约束</w:t>
                  </w:r>
                </w:p>
              </w:tc>
              <w:tc>
                <w:tcPr>
                  <w:tcW w:w="2600" w:type="pct"/>
                  <w:tcBorders>
                    <w:tl2br w:val="nil"/>
                    <w:tr2bl w:val="nil"/>
                  </w:tcBorders>
                  <w:noWrap w:val="0"/>
                  <w:vAlign w:val="center"/>
                </w:tcPr>
                <w:p w14:paraId="5EBDE1F2">
                  <w:pPr>
                    <w:keepNext w:val="0"/>
                    <w:keepLines w:val="0"/>
                    <w:pageBreakBefore w:val="0"/>
                    <w:widowControl/>
                    <w:suppressLineNumbers w:val="0"/>
                    <w:kinsoku/>
                    <w:wordWrap/>
                    <w:overflowPunct/>
                    <w:topLinePunct/>
                    <w:autoSpaceDE/>
                    <w:autoSpaceDN/>
                    <w:bidi w:val="0"/>
                    <w:adjustRightInd w:val="0"/>
                    <w:snapToGrid w:val="0"/>
                    <w:jc w:val="left"/>
                    <w:textAlignment w:val="auto"/>
                    <w:rPr>
                      <w:b/>
                      <w:bCs/>
                      <w:sz w:val="21"/>
                      <w:szCs w:val="21"/>
                    </w:rPr>
                  </w:pPr>
                  <w:r>
                    <w:rPr>
                      <w:rFonts w:hint="eastAsia" w:ascii="宋体" w:hAnsi="宋体" w:eastAsia="宋体" w:cs="宋体"/>
                      <w:b/>
                      <w:bCs/>
                      <w:color w:val="000000"/>
                      <w:kern w:val="0"/>
                      <w:sz w:val="21"/>
                      <w:szCs w:val="21"/>
                      <w:lang w:val="en-US" w:eastAsia="zh-CN" w:bidi="ar"/>
                    </w:rPr>
                    <w:t xml:space="preserve">饮用水水源保护区： </w:t>
                  </w:r>
                </w:p>
                <w:p w14:paraId="19ABE7AA">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按照《中华人民共和国水法》《中华人民共和国水污染防治法》《陕西 </w:t>
                  </w:r>
                </w:p>
                <w:p w14:paraId="74DDC571">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省饮用水水源保护条例》《宝鸡市饮用水水源地保护条例》等相关规定 </w:t>
                  </w:r>
                </w:p>
                <w:p w14:paraId="39471E2F">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进行管控。 </w:t>
                  </w:r>
                </w:p>
                <w:p w14:paraId="3C6775BE">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b/>
                      <w:bCs/>
                      <w:color w:val="000000"/>
                      <w:kern w:val="0"/>
                      <w:sz w:val="21"/>
                      <w:szCs w:val="21"/>
                      <w:lang w:val="en-US" w:eastAsia="zh-CN" w:bidi="ar"/>
                    </w:rPr>
                    <w:t>地表水饮用水水源保护区要求：</w:t>
                  </w:r>
                  <w:r>
                    <w:rPr>
                      <w:rFonts w:hint="eastAsia" w:ascii="宋体" w:hAnsi="宋体" w:eastAsia="宋体" w:cs="宋体"/>
                      <w:color w:val="000000"/>
                      <w:kern w:val="0"/>
                      <w:sz w:val="21"/>
                      <w:szCs w:val="21"/>
                      <w:lang w:val="en-US" w:eastAsia="zh-CN" w:bidi="ar"/>
                    </w:rPr>
                    <w:t xml:space="preserve"> </w:t>
                  </w:r>
                </w:p>
                <w:p w14:paraId="2B0DCCBC">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1.准保护区内：</w:t>
                  </w:r>
                </w:p>
                <w:p w14:paraId="1DA80006">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禁止新建、扩建对水体污染严重的建设项目，改建增加排污量的建设项目；禁止设置化工原料、危险废物和易溶性、有毒有害废弃物的暂存及转运站；禁止向水体倾倒危险废物、工业固体废物、生活垃圾、建筑垃圾、粪便及其他废弃物；禁止使用剧毒、高残留农药以及滥用化肥；禁止使用炸药、毒药捕杀鱼类和其他生物；禁止非更新采伐、破坏水源涵养林以及破坏与水源保护相关的植被；其他可能污染、破坏饮用水水源生态环境的行为。 </w:t>
                  </w:r>
                </w:p>
                <w:p w14:paraId="482C7A26">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2.二级</w:t>
                  </w:r>
                  <w:r>
                    <w:rPr>
                      <w:rFonts w:hint="eastAsia" w:ascii="宋体" w:hAnsi="宋体" w:eastAsia="宋体" w:cs="宋体"/>
                      <w:color w:val="000000"/>
                      <w:kern w:val="0"/>
                      <w:sz w:val="21"/>
                      <w:szCs w:val="21"/>
                      <w:lang w:val="en-US" w:eastAsia="zh-CN" w:bidi="ar"/>
                    </w:rPr>
                    <w:t>保护区内：</w:t>
                  </w:r>
                </w:p>
                <w:p w14:paraId="3960E0B1">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除第 </w:t>
                  </w:r>
                  <w:r>
                    <w:rPr>
                      <w:rFonts w:hint="default" w:ascii="Calibri" w:hAnsi="Calibri" w:eastAsia="宋体" w:cs="Calibri"/>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 xml:space="preserve">条禁止的行为外，还禁止下列行为：禁止设置排污口；禁止新建、改建、扩建排放污染物的建设项目；禁止勘探、开采矿产资源，采砂；禁止堆放化工原料、危险化学品、矿物油类以及有毒有害矿产品；禁止设置畜禽养殖场、养殖小区；禁止新铺设输送有毒有害物品及石油、成品油的管道；禁止使用农药，丢弃农药、农药包装物或者清洗施药器械；禁止建造坟墓，丢弃或者掩埋动物尸体以及含病原体的其他废物；禁止使用不符合国家规定防污条件的运载工具，运载油类、粪便及其他有毒有害物品通过水源保护区。禁止运输危险化学品 </w:t>
                  </w:r>
                </w:p>
                <w:p w14:paraId="265D1149">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的船舶、车辆通过地表水饮用水水源保护区；对确需通过的危险化学品</w:t>
                  </w:r>
                </w:p>
                <w:p w14:paraId="13475ABB">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运输车辆，应当采取有效安全防护措施，依法报公安机关办理有关手续， </w:t>
                  </w:r>
                </w:p>
                <w:p w14:paraId="1DC58FCB">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并通知饮用水水源保护区管理机构。限制使用化肥；从事网箱养殖、旅游等活动的，应当按照规定采取措施，防止污染饮用水水体。已建成的排放污染物的建设项目，由县级以上人民政府责令拆除或者关闭；已有的输送石油、成品油的管道应当调整输油线路，逐步退出；对居民产生的生活污水和垃圾应当统一收集处置。</w:t>
                  </w:r>
                </w:p>
                <w:p w14:paraId="1C225559">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3.一级保</w:t>
                  </w:r>
                  <w:r>
                    <w:rPr>
                      <w:rFonts w:hint="eastAsia" w:ascii="宋体" w:hAnsi="宋体" w:eastAsia="宋体" w:cs="宋体"/>
                      <w:color w:val="000000"/>
                      <w:kern w:val="0"/>
                      <w:sz w:val="21"/>
                      <w:szCs w:val="21"/>
                      <w:lang w:val="en-US" w:eastAsia="zh-CN" w:bidi="ar"/>
                    </w:rPr>
                    <w:t>护区内：</w:t>
                  </w:r>
                </w:p>
                <w:p w14:paraId="160D8487">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除第</w:t>
                  </w:r>
                  <w:r>
                    <w:rPr>
                      <w:rFonts w:hint="default" w:ascii="Calibri" w:hAnsi="Calibri" w:eastAsia="宋体" w:cs="Calibri"/>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w:t>
                  </w:r>
                  <w:r>
                    <w:rPr>
                      <w:rFonts w:hint="default" w:ascii="Calibri" w:hAnsi="Calibri" w:eastAsia="宋体" w:cs="Calibri"/>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条禁止的行为外，还禁止下列行为：新建、改建、扩建与供水设施和保护水源无关的建设项目；堆放、倾倒生活垃圾等其他废弃物；停靠与保护水源无关的机动船舶；从事畜禽养殖、网箱养殖；使用化肥；从事旅游、游泳、垂钓或者其他污染饮用水水体的活动。已建成的与供水设施和保护水源无关的建设项目，由县级以上人民政府责令拆除或关闭。 </w:t>
                  </w:r>
                </w:p>
                <w:p w14:paraId="4A1B09F1">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b/>
                      <w:bCs/>
                      <w:color w:val="000000"/>
                      <w:kern w:val="0"/>
                      <w:sz w:val="21"/>
                      <w:szCs w:val="21"/>
                      <w:lang w:val="en-US" w:eastAsia="zh-CN" w:bidi="ar"/>
                    </w:rPr>
                    <w:t>地下水饮用水水源保护区要求：</w:t>
                  </w:r>
                  <w:r>
                    <w:rPr>
                      <w:rFonts w:hint="eastAsia" w:ascii="宋体" w:hAnsi="宋体" w:eastAsia="宋体" w:cs="宋体"/>
                      <w:color w:val="000000"/>
                      <w:kern w:val="0"/>
                      <w:sz w:val="21"/>
                      <w:szCs w:val="21"/>
                      <w:lang w:val="en-US" w:eastAsia="zh-CN" w:bidi="ar"/>
                    </w:rPr>
                    <w:t xml:space="preserve"> </w:t>
                  </w:r>
                </w:p>
                <w:p w14:paraId="7DEEB2C1">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1.准保护区内</w:t>
                  </w:r>
                  <w:r>
                    <w:rPr>
                      <w:rFonts w:hint="eastAsia" w:ascii="宋体" w:hAnsi="宋体" w:eastAsia="宋体" w:cs="宋体"/>
                      <w:color w:val="000000"/>
                      <w:kern w:val="0"/>
                      <w:sz w:val="21"/>
                      <w:szCs w:val="21"/>
                      <w:lang w:val="en-US" w:eastAsia="zh-CN" w:bidi="ar"/>
                    </w:rPr>
                    <w:t>：</w:t>
                  </w:r>
                </w:p>
                <w:p w14:paraId="16E4CA31">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禁止新建、扩建对水体污染严重的建设项目，改建增加排污量的建设项目；禁止利用渗坑、渗井、深井、裂隙、溶洞等排放污水和其他有害废弃物；禁止利用透水层孔隙、裂隙、溶洞及废弃矿坑储存石油、天然气、放射性物质、有毒有害化工原料、农药等；禁止利用无防渗漏措施的沟渠、坑塘等输送或者存贮含有毒污染物的废水、含病原体的污水和其他废物；禁止设置化工原料、危险废物和易溶性、有毒有害废弃物的暂存及转运站；禁止毁林开荒、非更新采伐水源涵养林；禁止使用剧毒、高残留农药以及滥用化肥；禁止使用不符合国家农田灌溉水质标准的污水灌溉农田；禁止其他可能污染、破坏饮用水</w:t>
                  </w:r>
                  <w:r>
                    <w:rPr>
                      <w:rFonts w:hint="default" w:ascii="Times New Roman" w:hAnsi="Times New Roman" w:eastAsia="宋体" w:cs="Times New Roman"/>
                      <w:color w:val="000000"/>
                      <w:kern w:val="0"/>
                      <w:sz w:val="21"/>
                      <w:szCs w:val="21"/>
                      <w:lang w:val="en-US" w:eastAsia="zh-CN" w:bidi="ar"/>
                    </w:rPr>
                    <w:t xml:space="preserve">水源生态环境的行为。 </w:t>
                  </w:r>
                </w:p>
                <w:p w14:paraId="4B64A99F">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2.二级保护区内：</w:t>
                  </w:r>
                </w:p>
                <w:p w14:paraId="475297E2">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sz w:val="21"/>
                      <w:szCs w:val="21"/>
                    </w:rPr>
                  </w:pPr>
                  <w:r>
                    <w:rPr>
                      <w:rFonts w:hint="default" w:ascii="Times New Roman" w:hAnsi="Times New Roman" w:eastAsia="宋体" w:cs="Times New Roman"/>
                      <w:color w:val="000000"/>
                      <w:kern w:val="0"/>
                      <w:sz w:val="21"/>
                      <w:szCs w:val="21"/>
                      <w:lang w:val="en-US" w:eastAsia="zh-CN" w:bidi="ar"/>
                    </w:rPr>
                    <w:t>除第1条禁止的行为外，还禁止下列行</w:t>
                  </w:r>
                  <w:r>
                    <w:rPr>
                      <w:rFonts w:hint="eastAsia" w:ascii="宋体" w:hAnsi="宋体" w:eastAsia="宋体" w:cs="宋体"/>
                      <w:color w:val="000000"/>
                      <w:kern w:val="0"/>
                      <w:sz w:val="21"/>
                      <w:szCs w:val="21"/>
                      <w:lang w:val="en-US" w:eastAsia="zh-CN" w:bidi="ar"/>
                    </w:rPr>
                    <w:t xml:space="preserve">为：禁止设置排污口；禁止新建、改建、扩建排放污染物的建设项目；禁止勘探、开采矿产资源；禁止新铺设输送有毒有害物品及石油、成品油的管道；禁止堆放化工原料、危险化学品、矿物油类以及有毒有害矿产品；禁止擅自凿井取水，混合开采承压水和潜水；禁止使用农药，丢弃农药、农药包装物或者清洗施药器械；禁止建造坟墓，丢弃或者掩埋动物尸体以及含病原体的其他废物。已建成的排放污染物的建设项目，由县级以上人民政府责令拆除或者关闭；已有的输送石油、成品油的管道应当调整输油线路，逐步退出；对居民产生的生活污水和垃圾应当统一收集处置。 </w:t>
                  </w:r>
                </w:p>
                <w:p w14:paraId="4B3A112A">
                  <w:pPr>
                    <w:keepNext w:val="0"/>
                    <w:keepLines w:val="0"/>
                    <w:pageBreakBefore w:val="0"/>
                    <w:widowControl/>
                    <w:suppressLineNumbers w:val="0"/>
                    <w:kinsoku/>
                    <w:wordWrap/>
                    <w:overflowPunct/>
                    <w:topLinePunct/>
                    <w:autoSpaceDE/>
                    <w:autoSpaceDN/>
                    <w:bidi w:val="0"/>
                    <w:adjustRightInd w:val="0"/>
                    <w:snapToGrid w:val="0"/>
                    <w:jc w:val="left"/>
                    <w:textAlignment w:val="auto"/>
                    <w:rPr>
                      <w:sz w:val="21"/>
                      <w:szCs w:val="21"/>
                    </w:rPr>
                  </w:pPr>
                  <w:r>
                    <w:rPr>
                      <w:rFonts w:hint="eastAsia" w:ascii="宋体" w:hAnsi="宋体" w:eastAsia="宋体" w:cs="宋体"/>
                      <w:color w:val="000000"/>
                      <w:kern w:val="0"/>
                      <w:sz w:val="21"/>
                      <w:szCs w:val="21"/>
                      <w:lang w:val="en-US" w:eastAsia="zh-CN" w:bidi="ar"/>
                    </w:rPr>
                    <w:t xml:space="preserve">停止使用的取水口，有关单位应当及时封闭。 </w:t>
                  </w:r>
                </w:p>
                <w:p w14:paraId="77987484">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3.一级保护区内：</w:t>
                  </w:r>
                </w:p>
                <w:p w14:paraId="4B4D90F1">
                  <w:pPr>
                    <w:keepNext w:val="0"/>
                    <w:keepLines w:val="0"/>
                    <w:pageBreakBefore w:val="0"/>
                    <w:widowControl/>
                    <w:numPr>
                      <w:ilvl w:val="0"/>
                      <w:numId w:val="0"/>
                    </w:numPr>
                    <w:suppressLineNumbers w:val="0"/>
                    <w:kinsoku/>
                    <w:wordWrap/>
                    <w:overflowPunct/>
                    <w:topLinePunct/>
                    <w:autoSpaceDE/>
                    <w:autoSpaceDN/>
                    <w:bidi w:val="0"/>
                    <w:adjustRightInd w:val="0"/>
                    <w:snapToGrid w:val="0"/>
                    <w:jc w:val="left"/>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除第 1、2 条禁止的行为外，还禁止下</w:t>
                  </w:r>
                  <w:r>
                    <w:rPr>
                      <w:rFonts w:hint="eastAsia" w:ascii="宋体" w:hAnsi="宋体" w:eastAsia="宋体" w:cs="宋体"/>
                      <w:color w:val="000000"/>
                      <w:kern w:val="0"/>
                      <w:sz w:val="21"/>
                      <w:szCs w:val="21"/>
                      <w:lang w:val="en-US" w:eastAsia="zh-CN" w:bidi="ar"/>
                    </w:rPr>
                    <w:t>列行为：禁止新建、改建、扩建与供水设施和保护水源无关的建设项目；堆放、倾倒生活垃圾等其他废弃物；从事农牧业活动。已建成的与供水设施和保护水源无关的建设项目，由县级以上人民政府责令拆除或者关闭。</w:t>
                  </w:r>
                </w:p>
              </w:tc>
              <w:tc>
                <w:tcPr>
                  <w:tcW w:w="548" w:type="pct"/>
                  <w:tcBorders>
                    <w:tl2br w:val="nil"/>
                    <w:tr2bl w:val="nil"/>
                  </w:tcBorders>
                  <w:noWrap w:val="0"/>
                  <w:vAlign w:val="center"/>
                </w:tcPr>
                <w:p w14:paraId="470F605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项目供水线路</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及水厂</w:t>
                  </w:r>
                </w:p>
                <w:p w14:paraId="264A783B">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位于石头河水源二级保护区范围内，</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项目为新建供水设施项目，因此符合该空间布局约束要求。</w:t>
                  </w:r>
                </w:p>
              </w:tc>
            </w:tr>
          </w:tbl>
          <w:p w14:paraId="7046BF1A">
            <w:pPr>
              <w:numPr>
                <w:ilvl w:val="0"/>
                <w:numId w:val="1"/>
              </w:numPr>
              <w:spacing w:line="360" w:lineRule="auto"/>
              <w:ind w:left="0" w:leftChars="0" w:firstLine="420" w:firstLineChars="200"/>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一说明：指的是依据“一图”和“一表”结果，论证规划或建设项目符合性的说明。</w:t>
            </w:r>
          </w:p>
          <w:p w14:paraId="30374979">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cs="Times New Roman"/>
                <w:color w:val="000000"/>
                <w:szCs w:val="21"/>
              </w:rPr>
              <w:t>根据上文</w:t>
            </w:r>
            <w:r>
              <w:rPr>
                <w:rFonts w:hint="eastAsia" w:cs="Times New Roman"/>
                <w:color w:val="000000"/>
                <w:szCs w:val="21"/>
                <w:lang w:eastAsia="zh-CN"/>
              </w:rPr>
              <w:t>“</w:t>
            </w:r>
            <w:r>
              <w:rPr>
                <w:rFonts w:hint="default" w:ascii="Times New Roman" w:hAnsi="Times New Roman" w:cs="Times New Roman"/>
                <w:color w:val="000000"/>
                <w:szCs w:val="21"/>
              </w:rPr>
              <w:t>一图</w:t>
            </w:r>
            <w:r>
              <w:rPr>
                <w:rFonts w:hint="eastAsia" w:cs="Times New Roman"/>
                <w:color w:val="000000"/>
                <w:szCs w:val="21"/>
                <w:lang w:eastAsia="zh-CN"/>
              </w:rPr>
              <w:t>”“</w:t>
            </w:r>
            <w:r>
              <w:rPr>
                <w:rFonts w:hint="default" w:ascii="Times New Roman" w:hAnsi="Times New Roman" w:cs="Times New Roman"/>
                <w:color w:val="000000"/>
                <w:szCs w:val="21"/>
              </w:rPr>
              <w:t>一表</w:t>
            </w:r>
            <w:r>
              <w:rPr>
                <w:rFonts w:hint="eastAsia" w:cs="Times New Roman"/>
                <w:color w:val="000000"/>
                <w:szCs w:val="21"/>
                <w:lang w:eastAsia="zh-CN"/>
              </w:rPr>
              <w:t>”</w:t>
            </w:r>
            <w:r>
              <w:rPr>
                <w:rFonts w:hint="default" w:ascii="Times New Roman" w:hAnsi="Times New Roman" w:cs="Times New Roman"/>
                <w:color w:val="000000"/>
                <w:szCs w:val="21"/>
              </w:rPr>
              <w:t>的分析，</w:t>
            </w:r>
            <w:r>
              <w:rPr>
                <w:rFonts w:hint="default" w:ascii="Times New Roman" w:hAnsi="Times New Roman" w:eastAsia="宋体" w:cs="Times New Roman"/>
                <w:color w:val="000000"/>
                <w:szCs w:val="21"/>
              </w:rPr>
              <w:t>项目位于</w:t>
            </w:r>
            <w:r>
              <w:rPr>
                <w:rFonts w:hint="eastAsia" w:ascii="Times New Roman" w:hAnsi="Times New Roman" w:eastAsia="宋体" w:cs="Times New Roman"/>
                <w:color w:val="000000"/>
                <w:szCs w:val="21"/>
                <w:lang w:val="en-US" w:eastAsia="zh-CN"/>
              </w:rPr>
              <w:t>陕西省宝鸡市太白县优先保护</w:t>
            </w:r>
            <w:r>
              <w:rPr>
                <w:rFonts w:hint="default" w:ascii="Times New Roman" w:hAnsi="Times New Roman" w:eastAsia="宋体" w:cs="Times New Roman"/>
                <w:color w:val="000000"/>
                <w:szCs w:val="21"/>
              </w:rPr>
              <w:t>单元，符合</w:t>
            </w:r>
            <w:r>
              <w:rPr>
                <w:rFonts w:hint="default" w:ascii="Times New Roman" w:hAnsi="Times New Roman" w:eastAsia="宋体" w:cs="Times New Roman"/>
                <w:color w:val="000000"/>
                <w:szCs w:val="21"/>
                <w:lang w:val="en-US" w:eastAsia="zh-CN"/>
              </w:rPr>
              <w:t>管控</w:t>
            </w:r>
            <w:r>
              <w:rPr>
                <w:rFonts w:hint="default" w:ascii="Times New Roman" w:hAnsi="Times New Roman" w:eastAsia="宋体" w:cs="Times New Roman"/>
                <w:color w:val="000000"/>
                <w:szCs w:val="21"/>
              </w:rPr>
              <w:t>方案</w:t>
            </w:r>
            <w:r>
              <w:rPr>
                <w:rFonts w:hint="default" w:ascii="Times New Roman" w:hAnsi="Times New Roman" w:eastAsia="宋体" w:cs="Times New Roman"/>
                <w:color w:val="000000"/>
                <w:szCs w:val="21"/>
                <w:lang w:val="en-US" w:eastAsia="zh-CN"/>
              </w:rPr>
              <w:t>的相关</w:t>
            </w:r>
            <w:r>
              <w:rPr>
                <w:rFonts w:hint="default" w:ascii="Times New Roman" w:hAnsi="Times New Roman" w:eastAsia="宋体" w:cs="Times New Roman"/>
                <w:color w:val="000000"/>
                <w:szCs w:val="21"/>
              </w:rPr>
              <w:t>要求。</w:t>
            </w:r>
          </w:p>
          <w:p w14:paraId="3205F03F">
            <w:pPr>
              <w:pageBreakBefore w:val="0"/>
              <w:widowControl w:val="0"/>
              <w:tabs>
                <w:tab w:val="left" w:pos="540"/>
              </w:tabs>
              <w:kinsoku/>
              <w:wordWrap/>
              <w:overflowPunct/>
              <w:topLinePunct w:val="0"/>
              <w:autoSpaceDE w:val="0"/>
              <w:autoSpaceDN w:val="0"/>
              <w:bidi w:val="0"/>
              <w:adjustRightInd w:val="0"/>
              <w:spacing w:line="360" w:lineRule="auto"/>
              <w:ind w:firstLine="420" w:firstLineChars="200"/>
              <w:jc w:val="both"/>
              <w:textAlignment w:val="auto"/>
              <w:rPr>
                <w:rFonts w:hint="default" w:ascii="Times New Roman" w:hAnsi="Times New Roman" w:eastAsia="宋体"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pPr>
            <w:r>
              <w:rPr>
                <w:rFonts w:hint="eastAsia" w:ascii="Times New Roman" w:hAnsi="Times New Roman" w:eastAsia="宋体"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三</w:t>
            </w:r>
            <w:r>
              <w:rPr>
                <w:rFonts w:hint="default" w:ascii="Times New Roman" w:hAnsi="Times New Roman" w:eastAsia="宋体"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w:t>
            </w:r>
            <w:r>
              <w:rPr>
                <w:rFonts w:hint="default" w:ascii="Times New Roman" w:hAnsi="Times New Roman" w:eastAsia="宋体" w:cs="Times New Roman"/>
                <w:b/>
                <w:bCs w:val="0"/>
                <w:vanish w:val="0"/>
                <w:color w:val="000000" w:themeColor="text1"/>
                <w:kern w:val="2"/>
                <w:sz w:val="21"/>
                <w:szCs w:val="21"/>
                <w:u w:val="none"/>
                <w:shd w:val="clear" w:color="auto" w:fill="auto"/>
                <w:lang w:val="zh-CN" w:eastAsia="zh-CN" w:bidi="ar-SA"/>
                <w14:textFill>
                  <w14:solidFill>
                    <w14:schemeClr w14:val="tx1"/>
                  </w14:solidFill>
                </w14:textFill>
              </w:rPr>
              <w:t>相关</w:t>
            </w:r>
            <w:r>
              <w:rPr>
                <w:rFonts w:hint="eastAsia" w:ascii="Times New Roman" w:hAnsi="Times New Roman" w:eastAsia="宋体"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行业</w:t>
            </w:r>
            <w:r>
              <w:rPr>
                <w:rFonts w:hint="default" w:ascii="Times New Roman" w:hAnsi="Times New Roman" w:eastAsia="宋体" w:cs="Times New Roman"/>
                <w:b/>
                <w:bCs w:val="0"/>
                <w:vanish w:val="0"/>
                <w:color w:val="000000" w:themeColor="text1"/>
                <w:kern w:val="2"/>
                <w:sz w:val="21"/>
                <w:szCs w:val="21"/>
                <w:u w:val="none"/>
                <w:shd w:val="clear" w:color="auto" w:fill="auto"/>
                <w:lang w:val="zh-CN" w:eastAsia="zh-CN" w:bidi="ar-SA"/>
                <w14:textFill>
                  <w14:solidFill>
                    <w14:schemeClr w14:val="tx1"/>
                  </w14:solidFill>
                </w14:textFill>
              </w:rPr>
              <w:t>政策相符性分析</w:t>
            </w:r>
          </w:p>
          <w:p w14:paraId="028374DC">
            <w:pPr>
              <w:tabs>
                <w:tab w:val="left" w:pos="540"/>
              </w:tabs>
              <w:autoSpaceDE w:val="0"/>
              <w:autoSpaceDN w:val="0"/>
              <w:adjustRightInd w:val="0"/>
              <w:spacing w:line="360" w:lineRule="auto"/>
              <w:ind w:firstLine="420" w:firstLineChars="200"/>
              <w:jc w:val="both"/>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1、</w:t>
            </w:r>
            <w:r>
              <w:rPr>
                <w:rFonts w:hint="eastAsia"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本项目</w:t>
            </w: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与</w:t>
            </w:r>
            <w:r>
              <w:rPr>
                <w:rFonts w:hint="eastAsia"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相关水安全保障规划、水利发展规划符合性分析详</w:t>
            </w: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见</w:t>
            </w:r>
            <w:r>
              <w:rPr>
                <w:rFonts w:hint="eastAsia"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下</w:t>
            </w:r>
            <w:r>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t>表：</w:t>
            </w:r>
          </w:p>
          <w:p w14:paraId="6F5A8EC3">
            <w:pPr>
              <w:adjustRightInd w:val="0"/>
              <w:snapToGrid w:val="0"/>
              <w:jc w:val="center"/>
              <w:rPr>
                <w:rFonts w:hint="default" w:ascii="Times New Roman" w:hAnsi="Times New Roman" w:eastAsia="宋体" w:cs="Times New Roman"/>
                <w:b/>
                <w:bCs/>
                <w:vanish w:val="0"/>
                <w:color w:val="000000" w:themeColor="text1"/>
                <w:szCs w:val="21"/>
                <w:lang w:val="en-US" w:eastAsia="zh-CN"/>
                <w14:textFill>
                  <w14:solidFill>
                    <w14:schemeClr w14:val="tx1"/>
                  </w14:solidFill>
                </w14:textFill>
              </w:rPr>
            </w:pPr>
            <w:r>
              <w:rPr>
                <w:rFonts w:hint="default" w:ascii="Times New Roman" w:hAnsi="Times New Roman" w:eastAsia="宋体" w:cs="Times New Roman"/>
                <w:b/>
                <w:bCs/>
                <w:vanish w:val="0"/>
                <w:color w:val="000000" w:themeColor="text1"/>
                <w:szCs w:val="21"/>
                <w:lang w:val="en-US" w:eastAsia="zh-CN"/>
                <w14:textFill>
                  <w14:solidFill>
                    <w14:schemeClr w14:val="tx1"/>
                  </w14:solidFill>
                </w14:textFill>
              </w:rPr>
              <w:t>表1</w:t>
            </w:r>
            <w:r>
              <w:rPr>
                <w:rFonts w:hint="eastAsia" w:ascii="Times New Roman" w:hAnsi="Times New Roman" w:eastAsia="宋体" w:cs="Times New Roman"/>
                <w:b/>
                <w:bCs/>
                <w:vanish w:val="0"/>
                <w:color w:val="000000" w:themeColor="text1"/>
                <w:szCs w:val="21"/>
                <w:lang w:val="en-US" w:eastAsia="zh-CN"/>
                <w14:textFill>
                  <w14:solidFill>
                    <w14:schemeClr w14:val="tx1"/>
                  </w14:solidFill>
                </w14:textFill>
              </w:rPr>
              <w:t>-</w:t>
            </w:r>
            <w:r>
              <w:rPr>
                <w:rFonts w:hint="eastAsia" w:cs="Times New Roman"/>
                <w:b/>
                <w:bCs/>
                <w:vanish w:val="0"/>
                <w:color w:val="000000" w:themeColor="text1"/>
                <w:szCs w:val="21"/>
                <w:lang w:val="en-US" w:eastAsia="zh-CN"/>
                <w14:textFill>
                  <w14:solidFill>
                    <w14:schemeClr w14:val="tx1"/>
                  </w14:solidFill>
                </w14:textFill>
              </w:rPr>
              <w:t>4</w:t>
            </w:r>
            <w:r>
              <w:rPr>
                <w:rFonts w:hint="default" w:ascii="Times New Roman" w:hAnsi="Times New Roman" w:eastAsia="宋体" w:cs="Times New Roman"/>
                <w:b/>
                <w:bCs/>
                <w:vanish w:val="0"/>
                <w:color w:val="000000" w:themeColor="text1"/>
                <w:szCs w:val="21"/>
                <w:lang w:val="en-US" w:eastAsia="zh-CN"/>
                <w14:textFill>
                  <w14:solidFill>
                    <w14:schemeClr w14:val="tx1"/>
                  </w14:solidFill>
                </w14:textFill>
              </w:rPr>
              <w:t xml:space="preserve">  与</w:t>
            </w:r>
            <w:r>
              <w:rPr>
                <w:rFonts w:hint="eastAsia" w:ascii="Times New Roman" w:hAnsi="Times New Roman" w:eastAsia="宋体" w:cs="Times New Roman"/>
                <w:b/>
                <w:bCs/>
                <w:vanish w:val="0"/>
                <w:color w:val="000000" w:themeColor="text1"/>
                <w:szCs w:val="21"/>
                <w:lang w:val="en-US" w:eastAsia="zh-CN"/>
                <w14:textFill>
                  <w14:solidFill>
                    <w14:schemeClr w14:val="tx1"/>
                  </w14:solidFill>
                </w14:textFill>
              </w:rPr>
              <w:t>相关行业政策</w:t>
            </w:r>
            <w:r>
              <w:rPr>
                <w:rFonts w:hint="default" w:ascii="Times New Roman" w:hAnsi="Times New Roman" w:eastAsia="宋体" w:cs="Times New Roman"/>
                <w:b/>
                <w:bCs/>
                <w:vanish w:val="0"/>
                <w:color w:val="000000" w:themeColor="text1"/>
                <w:szCs w:val="21"/>
                <w:lang w:val="en-US" w:eastAsia="zh-CN"/>
                <w14:textFill>
                  <w14:solidFill>
                    <w14:schemeClr w14:val="tx1"/>
                  </w14:solidFill>
                </w14:textFill>
              </w:rPr>
              <w:t>符合性分析</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2496"/>
              <w:gridCol w:w="2101"/>
              <w:gridCol w:w="698"/>
            </w:tblGrid>
            <w:tr w14:paraId="69CCC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128" w:type="pct"/>
                  <w:tcBorders>
                    <w:tl2br w:val="nil"/>
                    <w:tr2bl w:val="nil"/>
                  </w:tcBorders>
                  <w:noWrap w:val="0"/>
                  <w:vAlign w:val="center"/>
                </w:tcPr>
                <w:p w14:paraId="1F16F25B">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default"/>
                      <w:b/>
                      <w:bCs/>
                      <w:vanish w:val="0"/>
                      <w:color w:val="000000" w:themeColor="text1"/>
                      <w:sz w:val="21"/>
                      <w:szCs w:val="21"/>
                      <w:lang w:val="en-US" w:eastAsia="zh-CN"/>
                      <w14:textFill>
                        <w14:solidFill>
                          <w14:schemeClr w14:val="tx1"/>
                        </w14:solidFill>
                      </w14:textFill>
                    </w:rPr>
                  </w:pPr>
                  <w:r>
                    <w:rPr>
                      <w:rFonts w:hint="eastAsia"/>
                      <w:b/>
                      <w:bCs/>
                      <w:vanish w:val="0"/>
                      <w:color w:val="000000" w:themeColor="text1"/>
                      <w:sz w:val="21"/>
                      <w:szCs w:val="21"/>
                      <w:lang w:val="en-US" w:eastAsia="zh-CN"/>
                      <w14:textFill>
                        <w14:solidFill>
                          <w14:schemeClr w14:val="tx1"/>
                        </w14:solidFill>
                      </w14:textFill>
                    </w:rPr>
                    <w:t>文件</w:t>
                  </w:r>
                </w:p>
              </w:tc>
              <w:tc>
                <w:tcPr>
                  <w:tcW w:w="1824" w:type="pct"/>
                  <w:tcBorders>
                    <w:tl2br w:val="nil"/>
                    <w:tr2bl w:val="nil"/>
                  </w:tcBorders>
                  <w:noWrap w:val="0"/>
                  <w:vAlign w:val="center"/>
                </w:tcPr>
                <w:p w14:paraId="34897712">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default"/>
                      <w:b/>
                      <w:bCs/>
                      <w:vanish w:val="0"/>
                      <w:color w:val="000000" w:themeColor="text1"/>
                      <w:sz w:val="21"/>
                      <w:szCs w:val="21"/>
                      <w:lang w:val="en-US" w:eastAsia="zh-CN"/>
                      <w14:textFill>
                        <w14:solidFill>
                          <w14:schemeClr w14:val="tx1"/>
                        </w14:solidFill>
                      </w14:textFill>
                    </w:rPr>
                  </w:pPr>
                  <w:r>
                    <w:rPr>
                      <w:rFonts w:hint="eastAsia"/>
                      <w:b/>
                      <w:bCs/>
                      <w:vanish w:val="0"/>
                      <w:color w:val="000000" w:themeColor="text1"/>
                      <w:sz w:val="21"/>
                      <w:szCs w:val="21"/>
                      <w:lang w:val="en-US" w:eastAsia="zh-CN"/>
                      <w14:textFill>
                        <w14:solidFill>
                          <w14:schemeClr w14:val="tx1"/>
                        </w14:solidFill>
                      </w14:textFill>
                    </w:rPr>
                    <w:t>政策要求</w:t>
                  </w:r>
                </w:p>
              </w:tc>
              <w:tc>
                <w:tcPr>
                  <w:tcW w:w="1535" w:type="pct"/>
                  <w:tcBorders>
                    <w:tl2br w:val="nil"/>
                    <w:tr2bl w:val="nil"/>
                  </w:tcBorders>
                  <w:noWrap w:val="0"/>
                  <w:vAlign w:val="center"/>
                </w:tcPr>
                <w:p w14:paraId="2925C2F1">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default"/>
                      <w:b/>
                      <w:bCs/>
                      <w:vanish w:val="0"/>
                      <w:color w:val="000000" w:themeColor="text1"/>
                      <w:sz w:val="21"/>
                      <w:szCs w:val="21"/>
                      <w:lang w:val="en-US" w:eastAsia="zh-CN"/>
                      <w14:textFill>
                        <w14:solidFill>
                          <w14:schemeClr w14:val="tx1"/>
                        </w14:solidFill>
                      </w14:textFill>
                    </w:rPr>
                  </w:pPr>
                  <w:r>
                    <w:rPr>
                      <w:rFonts w:hint="eastAsia"/>
                      <w:b/>
                      <w:bCs/>
                      <w:vanish w:val="0"/>
                      <w:color w:val="000000" w:themeColor="text1"/>
                      <w:sz w:val="21"/>
                      <w:szCs w:val="21"/>
                      <w:lang w:val="en-US" w:eastAsia="zh-CN"/>
                      <w14:textFill>
                        <w14:solidFill>
                          <w14:schemeClr w14:val="tx1"/>
                        </w14:solidFill>
                      </w14:textFill>
                    </w:rPr>
                    <w:t>本项目情况</w:t>
                  </w:r>
                </w:p>
              </w:tc>
              <w:tc>
                <w:tcPr>
                  <w:tcW w:w="510" w:type="pct"/>
                  <w:tcBorders>
                    <w:tl2br w:val="nil"/>
                    <w:tr2bl w:val="nil"/>
                  </w:tcBorders>
                  <w:noWrap w:val="0"/>
                  <w:vAlign w:val="center"/>
                </w:tcPr>
                <w:p w14:paraId="65CF33CB">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default"/>
                      <w:b/>
                      <w:bCs/>
                      <w:vanish w:val="0"/>
                      <w:color w:val="000000" w:themeColor="text1"/>
                      <w:sz w:val="21"/>
                      <w:szCs w:val="21"/>
                      <w:lang w:val="en-US" w:eastAsia="zh-CN"/>
                      <w14:textFill>
                        <w14:solidFill>
                          <w14:schemeClr w14:val="tx1"/>
                        </w14:solidFill>
                      </w14:textFill>
                    </w:rPr>
                  </w:pPr>
                  <w:r>
                    <w:rPr>
                      <w:rFonts w:hint="eastAsia"/>
                      <w:b/>
                      <w:bCs/>
                      <w:vanish w:val="0"/>
                      <w:color w:val="000000" w:themeColor="text1"/>
                      <w:sz w:val="21"/>
                      <w:szCs w:val="21"/>
                      <w:lang w:val="en-US" w:eastAsia="zh-CN"/>
                      <w14:textFill>
                        <w14:solidFill>
                          <w14:schemeClr w14:val="tx1"/>
                        </w14:solidFill>
                      </w14:textFill>
                    </w:rPr>
                    <w:t>符合性</w:t>
                  </w:r>
                </w:p>
              </w:tc>
            </w:tr>
            <w:tr w14:paraId="5514A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128" w:type="pct"/>
                  <w:tcBorders>
                    <w:tl2br w:val="nil"/>
                    <w:tr2bl w:val="nil"/>
                  </w:tcBorders>
                  <w:noWrap w:val="0"/>
                  <w:vAlign w:val="center"/>
                </w:tcPr>
                <w:p w14:paraId="5D418B83">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bCs/>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w:t>
                  </w:r>
                  <w:r>
                    <w:rPr>
                      <w:rFonts w:hint="eastAsia" w:cs="Times New Roman"/>
                      <w:vanish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十四五</w:t>
                  </w:r>
                  <w:r>
                    <w:rPr>
                      <w:rFonts w:hint="eastAsia" w:cs="Times New Roman"/>
                      <w:vanish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水安全保障规划》（</w:t>
                  </w:r>
                  <w:r>
                    <w:rPr>
                      <w:rFonts w:hint="default" w:ascii="Times New Roman" w:hAnsi="Times New Roman" w:eastAsia="宋体" w:cs="Times New Roman"/>
                      <w:i w:val="0"/>
                      <w:iCs w:val="0"/>
                      <w:caps w:val="0"/>
                      <w:vanish w:val="0"/>
                      <w:color w:val="000000" w:themeColor="text1"/>
                      <w:spacing w:val="0"/>
                      <w:sz w:val="21"/>
                      <w:szCs w:val="21"/>
                      <w:shd w:val="clear" w:color="auto" w:fill="FFFFFF"/>
                      <w14:textFill>
                        <w14:solidFill>
                          <w14:schemeClr w14:val="tx1"/>
                        </w14:solidFill>
                      </w14:textFill>
                    </w:rPr>
                    <w:t>国家发展改革委、水利部于2022年1月11日印发实施</w:t>
                  </w:r>
                  <w:r>
                    <w:rPr>
                      <w:rFonts w:hint="eastAsia" w:eastAsia="宋体" w:cs="Times New Roman"/>
                      <w:vanish w:val="0"/>
                      <w:color w:val="000000" w:themeColor="text1"/>
                      <w:kern w:val="0"/>
                      <w:sz w:val="21"/>
                      <w:szCs w:val="21"/>
                      <w:highlight w:val="none"/>
                      <w:lang w:val="en-US" w:eastAsia="zh-CN"/>
                      <w14:textFill>
                        <w14:solidFill>
                          <w14:schemeClr w14:val="tx1"/>
                        </w14:solidFill>
                      </w14:textFill>
                    </w:rPr>
                    <w:t>）</w:t>
                  </w:r>
                </w:p>
              </w:tc>
              <w:tc>
                <w:tcPr>
                  <w:tcW w:w="1824" w:type="pct"/>
                  <w:tcBorders>
                    <w:tl2br w:val="nil"/>
                    <w:tr2bl w:val="nil"/>
                  </w:tcBorders>
                  <w:noWrap w:val="0"/>
                  <w:vAlign w:val="center"/>
                </w:tcPr>
                <w:p w14:paraId="50FF08F5">
                  <w:pPr>
                    <w:keepNext w:val="0"/>
                    <w:keepLines w:val="0"/>
                    <w:pageBreakBefore w:val="0"/>
                    <w:widowControl w:val="0"/>
                    <w:kinsoku/>
                    <w:wordWrap/>
                    <w:overflowPunct/>
                    <w:topLinePunct w:val="0"/>
                    <w:bidi w:val="0"/>
                    <w:spacing w:line="300" w:lineRule="exact"/>
                    <w:textAlignment w:val="auto"/>
                    <w:rPr>
                      <w:rFonts w:hint="eastAsia" w:ascii="宋体" w:hAnsi="宋体" w:eastAsia="宋体" w:cs="宋体"/>
                      <w:vanish w:val="0"/>
                      <w:color w:val="000000" w:themeColor="text1"/>
                      <w:sz w:val="21"/>
                      <w:szCs w:val="21"/>
                      <w:lang w:eastAsia="zh-CN"/>
                      <w14:textFill>
                        <w14:solidFill>
                          <w14:schemeClr w14:val="tx1"/>
                        </w14:solidFill>
                      </w14:textFill>
                    </w:rPr>
                  </w:pPr>
                  <w:r>
                    <w:rPr>
                      <w:rFonts w:ascii="宋体" w:hAnsi="宋体" w:eastAsia="宋体" w:cs="宋体"/>
                      <w:vanish w:val="0"/>
                      <w:color w:val="000000" w:themeColor="text1"/>
                      <w:sz w:val="21"/>
                      <w:szCs w:val="21"/>
                      <w14:textFill>
                        <w14:solidFill>
                          <w14:schemeClr w14:val="tx1"/>
                        </w14:solidFill>
                      </w14:textFill>
                    </w:rPr>
                    <w:t>充分挖掘已有工程供水能力，继续提高工程性缺水地区蓄水能力，多措并举建设应急备用水源，提高供水系统的可靠性，增强特大干旱、持续干旱、突发水安全事件的应对能力，全面提升供水</w:t>
                  </w:r>
                  <w:r>
                    <w:rPr>
                      <w:rFonts w:hint="eastAsia" w:ascii="宋体" w:hAnsi="宋体" w:cs="宋体"/>
                      <w:vanish w:val="0"/>
                      <w:color w:val="000000" w:themeColor="text1"/>
                      <w:sz w:val="21"/>
                      <w:szCs w:val="21"/>
                      <w:lang w:eastAsia="zh-CN"/>
                      <w14:textFill>
                        <w14:solidFill>
                          <w14:schemeClr w14:val="tx1"/>
                        </w14:solidFill>
                      </w14:textFill>
                    </w:rPr>
                    <w:t>水源保障能力。</w:t>
                  </w:r>
                </w:p>
                <w:p w14:paraId="1AE6850B">
                  <w:pPr>
                    <w:keepNext w:val="0"/>
                    <w:keepLines w:val="0"/>
                    <w:pageBreakBefore w:val="0"/>
                    <w:widowControl w:val="0"/>
                    <w:kinsoku/>
                    <w:wordWrap/>
                    <w:overflowPunct/>
                    <w:topLinePunct w:val="0"/>
                    <w:bidi w:val="0"/>
                    <w:spacing w:line="300" w:lineRule="exact"/>
                    <w:textAlignment w:val="auto"/>
                    <w:rPr>
                      <w:rFonts w:ascii="宋体" w:hAnsi="宋体" w:eastAsia="宋体" w:cs="宋体"/>
                      <w:vanish w:val="0"/>
                      <w:color w:val="000000" w:themeColor="text1"/>
                      <w:sz w:val="21"/>
                      <w:szCs w:val="21"/>
                      <w14:textFill>
                        <w14:solidFill>
                          <w14:schemeClr w14:val="tx1"/>
                        </w14:solidFill>
                      </w14:textFill>
                    </w:rPr>
                  </w:pPr>
                  <w:r>
                    <w:rPr>
                      <w:rFonts w:ascii="宋体" w:hAnsi="宋体" w:eastAsia="宋体" w:cs="宋体"/>
                      <w:vanish w:val="0"/>
                      <w:color w:val="000000" w:themeColor="text1"/>
                      <w:sz w:val="21"/>
                      <w:szCs w:val="21"/>
                      <w14:textFill>
                        <w14:solidFill>
                          <w14:schemeClr w14:val="tx1"/>
                        </w14:solidFill>
                      </w14:textFill>
                    </w:rPr>
                    <w:t>提升现有工程供水能力。推进有条件的水库实施清淤疏浚或加高扩容，实施现有引提水泵站的更新改造，加快已建、在建工程的配套设施建设，提升工程效益的整体发挥。</w:t>
                  </w:r>
                </w:p>
                <w:p w14:paraId="1D5DD18E">
                  <w:pPr>
                    <w:keepNext w:val="0"/>
                    <w:keepLines w:val="0"/>
                    <w:pageBreakBefore w:val="0"/>
                    <w:widowControl w:val="0"/>
                    <w:kinsoku/>
                    <w:wordWrap/>
                    <w:overflowPunct/>
                    <w:topLinePunct w:val="0"/>
                    <w:bidi w:val="0"/>
                    <w:spacing w:line="300" w:lineRule="exact"/>
                    <w:textAlignment w:val="auto"/>
                    <w:rPr>
                      <w:rFonts w:ascii="宋体" w:hAnsi="宋体" w:eastAsia="宋体" w:cs="宋体"/>
                      <w:vanish w:val="0"/>
                      <w:color w:val="000000" w:themeColor="text1"/>
                      <w:sz w:val="21"/>
                      <w:szCs w:val="21"/>
                      <w14:textFill>
                        <w14:solidFill>
                          <w14:schemeClr w14:val="tx1"/>
                        </w14:solidFill>
                      </w14:textFill>
                    </w:rPr>
                  </w:pPr>
                  <w:r>
                    <w:rPr>
                      <w:rFonts w:ascii="宋体" w:hAnsi="宋体" w:eastAsia="宋体" w:cs="宋体"/>
                      <w:vanish w:val="0"/>
                      <w:color w:val="000000" w:themeColor="text1"/>
                      <w:sz w:val="21"/>
                      <w:szCs w:val="21"/>
                      <w14:textFill>
                        <w14:solidFill>
                          <w14:schemeClr w14:val="tx1"/>
                        </w14:solidFill>
                      </w14:textFill>
                    </w:rPr>
                    <w:t>加强重点水源工程建设。加快开展列入流域及区域规划，符合国家区域发展战略且不涉及生态保护红线等环境因素制约的重点水源工程前期工作，条件具备加快建设。</w:t>
                  </w:r>
                </w:p>
                <w:p w14:paraId="057F31AA">
                  <w:pPr>
                    <w:keepNext w:val="0"/>
                    <w:keepLines w:val="0"/>
                    <w:pageBreakBefore w:val="0"/>
                    <w:widowControl w:val="0"/>
                    <w:kinsoku/>
                    <w:wordWrap/>
                    <w:overflowPunct/>
                    <w:topLinePunct w:val="0"/>
                    <w:bidi w:val="0"/>
                    <w:spacing w:line="300" w:lineRule="exact"/>
                    <w:textAlignment w:val="auto"/>
                    <w:rPr>
                      <w:rFonts w:hint="eastAsia"/>
                      <w:b/>
                      <w:bCs/>
                      <w:vanish w:val="0"/>
                      <w:color w:val="000000" w:themeColor="text1"/>
                      <w:sz w:val="21"/>
                      <w:szCs w:val="21"/>
                      <w:lang w:val="en-US" w:eastAsia="zh-CN"/>
                      <w14:textFill>
                        <w14:solidFill>
                          <w14:schemeClr w14:val="tx1"/>
                        </w14:solidFill>
                      </w14:textFill>
                    </w:rPr>
                  </w:pPr>
                  <w:r>
                    <w:rPr>
                      <w:rFonts w:ascii="宋体" w:hAnsi="宋体" w:eastAsia="宋体" w:cs="宋体"/>
                      <w:vanish w:val="0"/>
                      <w:color w:val="000000" w:themeColor="text1"/>
                      <w:sz w:val="21"/>
                      <w:szCs w:val="21"/>
                      <w14:textFill>
                        <w14:solidFill>
                          <w14:schemeClr w14:val="tx1"/>
                        </w14:solidFill>
                      </w14:textFill>
                    </w:rPr>
                    <w:t xml:space="preserve">围绕全面推进乡村振兴、加快农业农村现代化建设要求，按照 </w:t>
                  </w:r>
                  <w:r>
                    <w:rPr>
                      <w:rFonts w:hint="eastAsia" w:ascii="宋体" w:hAnsi="宋体" w:cs="宋体"/>
                      <w:vanish w:val="0"/>
                      <w:color w:val="000000" w:themeColor="text1"/>
                      <w:sz w:val="21"/>
                      <w:szCs w:val="21"/>
                      <w:lang w:eastAsia="zh-CN"/>
                      <w14:textFill>
                        <w14:solidFill>
                          <w14:schemeClr w14:val="tx1"/>
                        </w14:solidFill>
                      </w14:textFill>
                    </w:rPr>
                    <w:t>“</w:t>
                  </w:r>
                  <w:r>
                    <w:rPr>
                      <w:rFonts w:ascii="宋体" w:hAnsi="宋体" w:eastAsia="宋体" w:cs="宋体"/>
                      <w:vanish w:val="0"/>
                      <w:color w:val="000000" w:themeColor="text1"/>
                      <w:sz w:val="21"/>
                      <w:szCs w:val="21"/>
                      <w14:textFill>
                        <w14:solidFill>
                          <w14:schemeClr w14:val="tx1"/>
                        </w14:solidFill>
                      </w14:textFill>
                    </w:rPr>
                    <w:t>保底线、提效能、促振兴</w:t>
                  </w:r>
                  <w:r>
                    <w:rPr>
                      <w:rFonts w:hint="eastAsia" w:ascii="宋体" w:hAnsi="宋体" w:cs="宋体"/>
                      <w:vanish w:val="0"/>
                      <w:color w:val="000000" w:themeColor="text1"/>
                      <w:sz w:val="21"/>
                      <w:szCs w:val="21"/>
                      <w:lang w:eastAsia="zh-CN"/>
                      <w14:textFill>
                        <w14:solidFill>
                          <w14:schemeClr w14:val="tx1"/>
                        </w14:solidFill>
                      </w14:textFill>
                    </w:rPr>
                    <w:t>”</w:t>
                  </w:r>
                  <w:r>
                    <w:rPr>
                      <w:rFonts w:ascii="宋体" w:hAnsi="宋体" w:eastAsia="宋体" w:cs="宋体"/>
                      <w:vanish w:val="0"/>
                      <w:color w:val="000000" w:themeColor="text1"/>
                      <w:sz w:val="21"/>
                      <w:szCs w:val="21"/>
                      <w14:textFill>
                        <w14:solidFill>
                          <w14:schemeClr w14:val="tx1"/>
                        </w14:solidFill>
                      </w14:textFill>
                    </w:rPr>
                    <w:t>的思路，加大农业农村水利基础设施建设力度，重点向国家乡村振兴重点帮扶县、革命老区、民族地区等特殊类型地区倾斜，实现巩固拓展脱贫攻坚成果同乡村振兴有效衔接，提高乡村振兴水利保障水平。</w:t>
                  </w:r>
                </w:p>
              </w:tc>
              <w:tc>
                <w:tcPr>
                  <w:tcW w:w="1535" w:type="pct"/>
                  <w:tcBorders>
                    <w:tl2br w:val="nil"/>
                    <w:tr2bl w:val="nil"/>
                  </w:tcBorders>
                  <w:noWrap w:val="0"/>
                  <w:vAlign w:val="center"/>
                </w:tcPr>
                <w:p w14:paraId="2880AF13">
                  <w:pPr>
                    <w:keepNext w:val="0"/>
                    <w:keepLines w:val="0"/>
                    <w:pageBreakBefore w:val="0"/>
                    <w:widowControl w:val="0"/>
                    <w:kinsoku/>
                    <w:wordWrap/>
                    <w:overflowPunct/>
                    <w:topLinePunct w:val="0"/>
                    <w:bidi w:val="0"/>
                    <w:spacing w:line="300" w:lineRule="exact"/>
                    <w:textAlignment w:val="auto"/>
                    <w:rPr>
                      <w:rFonts w:hint="default"/>
                      <w:vanish w:val="0"/>
                      <w:color w:val="000000" w:themeColor="text1"/>
                      <w:sz w:val="21"/>
                      <w:szCs w:val="21"/>
                      <w:lang w:val="en-US" w:eastAsia="zh-CN"/>
                      <w14:textFill>
                        <w14:solidFill>
                          <w14:schemeClr w14:val="tx1"/>
                        </w14:solidFill>
                      </w14:textFill>
                    </w:rPr>
                  </w:pPr>
                  <w:r>
                    <w:rPr>
                      <w:rFonts w:hint="eastAsia"/>
                      <w:vanish w:val="0"/>
                      <w:color w:val="000000" w:themeColor="text1"/>
                      <w:sz w:val="21"/>
                      <w:szCs w:val="21"/>
                      <w:lang w:val="en-US" w:eastAsia="zh-CN"/>
                      <w14:textFill>
                        <w14:solidFill>
                          <w14:schemeClr w14:val="tx1"/>
                        </w14:solidFill>
                      </w14:textFill>
                    </w:rPr>
                    <w:t>项目充分利用区域内优质引调水资源和现有供水设施，建设</w:t>
                  </w:r>
                  <w:r>
                    <w:rPr>
                      <w:rFonts w:hint="eastAsia" w:ascii="Times New Roman" w:hAnsi="Times New Roman" w:eastAsia="宋体" w:cs="Times New Roman"/>
                      <w:vanish w:val="0"/>
                      <w:color w:val="000000" w:themeColor="text1"/>
                      <w:lang w:eastAsia="zh-CN"/>
                      <w14:textFill>
                        <w14:solidFill>
                          <w14:schemeClr w14:val="tx1"/>
                        </w14:solidFill>
                      </w14:textFill>
                    </w:rPr>
                    <w:t>太白县桃川镇</w:t>
                  </w:r>
                  <w:r>
                    <w:rPr>
                      <w:rFonts w:hint="eastAsia"/>
                      <w:vanish w:val="0"/>
                      <w:color w:val="000000" w:themeColor="text1"/>
                      <w:sz w:val="21"/>
                      <w:szCs w:val="21"/>
                      <w:lang w:val="en-US" w:eastAsia="zh-CN"/>
                      <w14:textFill>
                        <w14:solidFill>
                          <w14:schemeClr w14:val="tx1"/>
                        </w14:solidFill>
                      </w14:textFill>
                    </w:rPr>
                    <w:t>规模化供水工程，</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为桃川镇6个行政村供水，因此，项目的建设符合《“十四五”水安全保障规划》相关要求</w:t>
                  </w:r>
                  <w:r>
                    <w:rPr>
                      <w:rFonts w:hint="eastAsia" w:ascii="Times New Roman" w:hAnsi="Times New Roman" w:cs="Times New Roman"/>
                      <w:vanish w:val="0"/>
                      <w:color w:val="000000" w:themeColor="text1"/>
                      <w:kern w:val="0"/>
                      <w:sz w:val="21"/>
                      <w:szCs w:val="21"/>
                      <w:highlight w:val="none"/>
                      <w:lang w:val="en-US" w:eastAsia="zh-CN"/>
                      <w14:textFill>
                        <w14:solidFill>
                          <w14:schemeClr w14:val="tx1"/>
                        </w14:solidFill>
                      </w14:textFill>
                    </w:rPr>
                    <w:t>。</w:t>
                  </w:r>
                </w:p>
                <w:p w14:paraId="7F24D21F">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bCs/>
                      <w:vanish w:val="0"/>
                      <w:color w:val="000000" w:themeColor="text1"/>
                      <w:sz w:val="21"/>
                      <w:szCs w:val="21"/>
                      <w:lang w:val="en-US" w:eastAsia="zh-CN"/>
                      <w14:textFill>
                        <w14:solidFill>
                          <w14:schemeClr w14:val="tx1"/>
                        </w14:solidFill>
                      </w14:textFill>
                    </w:rPr>
                  </w:pPr>
                </w:p>
              </w:tc>
              <w:tc>
                <w:tcPr>
                  <w:tcW w:w="510" w:type="pct"/>
                  <w:tcBorders>
                    <w:tl2br w:val="nil"/>
                    <w:tr2bl w:val="nil"/>
                  </w:tcBorders>
                  <w:noWrap w:val="0"/>
                  <w:vAlign w:val="center"/>
                </w:tcPr>
                <w:p w14:paraId="6DA57E35">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bCs/>
                      <w:vanish w:val="0"/>
                      <w:color w:val="000000" w:themeColor="text1"/>
                      <w:sz w:val="21"/>
                      <w:szCs w:val="21"/>
                      <w:lang w:val="en-US" w:eastAsia="zh-CN"/>
                      <w14:textFill>
                        <w14:solidFill>
                          <w14:schemeClr w14:val="tx1"/>
                        </w14:solidFill>
                      </w14:textFill>
                    </w:rPr>
                  </w:pPr>
                  <w:r>
                    <w:rPr>
                      <w:rFonts w:hint="eastAsia"/>
                      <w:b w:val="0"/>
                      <w:bCs w:val="0"/>
                      <w:vanish w:val="0"/>
                      <w:color w:val="000000" w:themeColor="text1"/>
                      <w:sz w:val="21"/>
                      <w:szCs w:val="21"/>
                      <w:lang w:val="en-US" w:eastAsia="zh-CN"/>
                      <w14:textFill>
                        <w14:solidFill>
                          <w14:schemeClr w14:val="tx1"/>
                        </w14:solidFill>
                      </w14:textFill>
                    </w:rPr>
                    <w:t>符合</w:t>
                  </w:r>
                </w:p>
              </w:tc>
            </w:tr>
            <w:tr w14:paraId="040E1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128" w:type="pct"/>
                  <w:tcBorders>
                    <w:tl2br w:val="nil"/>
                    <w:tr2bl w:val="nil"/>
                  </w:tcBorders>
                  <w:noWrap w:val="0"/>
                  <w:vAlign w:val="center"/>
                </w:tcPr>
                <w:p w14:paraId="6F5E1C9A">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bCs/>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kern w:val="0"/>
                      <w:sz w:val="21"/>
                      <w:szCs w:val="21"/>
                      <w:highlight w:val="none"/>
                      <w:lang w:val="en-US" w:eastAsia="zh-CN"/>
                      <w14:textFill>
                        <w14:solidFill>
                          <w14:schemeClr w14:val="tx1"/>
                        </w14:solidFill>
                      </w14:textFill>
                    </w:rPr>
                    <w:t>《</w:t>
                  </w:r>
                  <w:r>
                    <w:rPr>
                      <w:rFonts w:hint="eastAsia" w:cs="Times New Roman"/>
                      <w:vanish w:val="0"/>
                      <w:color w:val="000000" w:themeColor="text1"/>
                      <w:kern w:val="0"/>
                      <w:sz w:val="21"/>
                      <w:szCs w:val="21"/>
                      <w:highlight w:val="none"/>
                      <w:lang w:val="en-US" w:eastAsia="zh-CN"/>
                      <w14:textFill>
                        <w14:solidFill>
                          <w14:schemeClr w14:val="tx1"/>
                        </w14:solidFill>
                      </w14:textFill>
                    </w:rPr>
                    <w:t>陕西省“十四五”水利发展规划</w:t>
                  </w:r>
                  <w:r>
                    <w:rPr>
                      <w:rFonts w:hint="eastAsia" w:ascii="Times New Roman" w:hAnsi="Times New Roman" w:cs="Times New Roman"/>
                      <w:vanish w:val="0"/>
                      <w:color w:val="000000" w:themeColor="text1"/>
                      <w:kern w:val="0"/>
                      <w:sz w:val="21"/>
                      <w:szCs w:val="21"/>
                      <w:highlight w:val="none"/>
                      <w:lang w:val="en-US" w:eastAsia="zh-CN"/>
                      <w14:textFill>
                        <w14:solidFill>
                          <w14:schemeClr w14:val="tx1"/>
                        </w14:solidFill>
                      </w14:textFill>
                    </w:rPr>
                    <w:t>》</w:t>
                  </w:r>
                  <w:r>
                    <w:rPr>
                      <w:rFonts w:hint="eastAsia" w:cs="Times New Roman"/>
                      <w:vanish w:val="0"/>
                      <w:color w:val="000000" w:themeColor="text1"/>
                      <w:kern w:val="0"/>
                      <w:sz w:val="21"/>
                      <w:szCs w:val="21"/>
                      <w:highlight w:val="none"/>
                      <w:lang w:val="en-US" w:eastAsia="zh-CN"/>
                      <w14:textFill>
                        <w14:solidFill>
                          <w14:schemeClr w14:val="tx1"/>
                        </w14:solidFill>
                      </w14:textFill>
                    </w:rPr>
                    <w:t>（陕西省水利厅，2022.2.15发布）</w:t>
                  </w:r>
                </w:p>
              </w:tc>
              <w:tc>
                <w:tcPr>
                  <w:tcW w:w="1824" w:type="pct"/>
                  <w:tcBorders>
                    <w:tl2br w:val="nil"/>
                    <w:tr2bl w:val="nil"/>
                  </w:tcBorders>
                  <w:noWrap w:val="0"/>
                  <w:vAlign w:val="center"/>
                </w:tcPr>
                <w:p w14:paraId="44E9A6F5">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rFonts w:hint="eastAsia" w:cs="Times New Roman"/>
                      <w:vanish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kern w:val="0"/>
                      <w:sz w:val="21"/>
                      <w:szCs w:val="21"/>
                      <w:lang w:val="en-US" w:eastAsia="zh-CN"/>
                      <w14:textFill>
                        <w14:solidFill>
                          <w14:schemeClr w14:val="tx1"/>
                        </w14:solidFill>
                      </w14:textFill>
                    </w:rPr>
                    <w:t>规划目标</w:t>
                  </w:r>
                  <w:r>
                    <w:rPr>
                      <w:rFonts w:hint="eastAsia" w:cs="Times New Roman"/>
                      <w:vanish w:val="0"/>
                      <w:color w:val="000000" w:themeColor="text1"/>
                      <w:kern w:val="0"/>
                      <w:sz w:val="21"/>
                      <w:szCs w:val="21"/>
                      <w:lang w:val="en-US" w:eastAsia="zh-CN"/>
                      <w14:textFill>
                        <w14:solidFill>
                          <w14:schemeClr w14:val="tx1"/>
                        </w14:solidFill>
                      </w14:textFill>
                    </w:rPr>
                    <w:t>：五大工程体系-供水安全保障体系。建设输配水工程和配套改造管网，加快推进城乡供水一体化和提质增效、灌区续建配套与现代化改造。</w:t>
                  </w:r>
                </w:p>
                <w:p w14:paraId="24B57E99">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rFonts w:hint="eastAsia"/>
                      <w:b/>
                      <w:bCs/>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城乡供水融合发展：加大城镇供水设施建设力度，实施83个县城供水设施能力提升工程。按照巩固拓展脱贫攻坚成果和全面推进乡村振兴要求，建设规模化、标准化供水工程，更新改造老旧供水设施和管网，提升农村供水保障水平，共计建设工程4600处，其中新建650处、改造3950处，改善提升受益人口700万人。</w:t>
                  </w:r>
                </w:p>
              </w:tc>
              <w:tc>
                <w:tcPr>
                  <w:tcW w:w="1535" w:type="pct"/>
                  <w:tcBorders>
                    <w:tl2br w:val="nil"/>
                    <w:tr2bl w:val="nil"/>
                  </w:tcBorders>
                  <w:noWrap w:val="0"/>
                  <w:vAlign w:val="center"/>
                </w:tcPr>
                <w:p w14:paraId="02734F61">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rFonts w:hint="eastAsia"/>
                      <w:b/>
                      <w:bCs/>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项目主要为</w:t>
                  </w:r>
                  <w:r>
                    <w:rPr>
                      <w:rFonts w:hint="eastAsia" w:cs="Times New Roman"/>
                      <w:vanish w:val="0"/>
                      <w:color w:val="000000" w:themeColor="text1"/>
                      <w:kern w:val="0"/>
                      <w:sz w:val="21"/>
                      <w:szCs w:val="21"/>
                      <w:lang w:val="en-US" w:eastAsia="zh-CN"/>
                      <w14:textFill>
                        <w14:solidFill>
                          <w14:schemeClr w14:val="tx1"/>
                        </w14:solidFill>
                      </w14:textFill>
                    </w:rPr>
                    <w:t>太白县</w:t>
                  </w:r>
                  <w:r>
                    <w:rPr>
                      <w:rFonts w:hint="eastAsia" w:ascii="Times New Roman" w:hAnsi="Times New Roman" w:eastAsia="宋体" w:cs="Times New Roman"/>
                      <w:vanish w:val="0"/>
                      <w:color w:val="000000" w:themeColor="text1"/>
                      <w:lang w:eastAsia="zh-CN"/>
                      <w14:textFill>
                        <w14:solidFill>
                          <w14:schemeClr w14:val="tx1"/>
                        </w14:solidFill>
                      </w14:textFill>
                    </w:rPr>
                    <w:t>桃川镇</w:t>
                  </w:r>
                  <w:r>
                    <w:rPr>
                      <w:rFonts w:hint="eastAsia"/>
                      <w:vanish w:val="0"/>
                      <w:color w:val="000000" w:themeColor="text1"/>
                      <w:sz w:val="21"/>
                      <w:szCs w:val="21"/>
                      <w:lang w:val="en-US" w:eastAsia="zh-CN"/>
                      <w14:textFill>
                        <w14:solidFill>
                          <w14:schemeClr w14:val="tx1"/>
                        </w14:solidFill>
                      </w14:textFill>
                    </w:rPr>
                    <w:t>规模化供水工程</w:t>
                  </w: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w:t>
                  </w:r>
                  <w:r>
                    <w:rPr>
                      <w:rFonts w:hint="eastAsia"/>
                      <w:vanish w:val="0"/>
                      <w:color w:val="000000" w:themeColor="text1"/>
                      <w:sz w:val="21"/>
                      <w:szCs w:val="21"/>
                      <w:lang w:val="en-US" w:eastAsia="zh-CN"/>
                      <w14:textFill>
                        <w14:solidFill>
                          <w14:schemeClr w14:val="tx1"/>
                        </w14:solidFill>
                      </w14:textFill>
                    </w:rPr>
                    <w:t>为桃川镇6个行政村供水，</w:t>
                  </w: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项目的建设大幅提升了</w:t>
                  </w:r>
                  <w:r>
                    <w:rPr>
                      <w:rFonts w:hint="eastAsia"/>
                      <w:vanish w:val="0"/>
                      <w:color w:val="000000" w:themeColor="text1"/>
                      <w:sz w:val="21"/>
                      <w:szCs w:val="21"/>
                      <w:lang w:val="en-US" w:eastAsia="zh-CN"/>
                      <w14:textFill>
                        <w14:solidFill>
                          <w14:schemeClr w14:val="tx1"/>
                        </w14:solidFill>
                      </w14:textFill>
                    </w:rPr>
                    <w:t>桃川镇</w:t>
                  </w: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供水设施的能力，符合《陕西省</w:t>
                  </w:r>
                  <w:r>
                    <w:rPr>
                      <w:rFonts w:hint="eastAsia" w:cs="Times New Roman"/>
                      <w:vanish w:val="0"/>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十四五</w:t>
                  </w:r>
                  <w:r>
                    <w:rPr>
                      <w:rFonts w:hint="eastAsia" w:cs="Times New Roman"/>
                      <w:vanish w:val="0"/>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水利发展规划》规划目标和总体布局发展要求。</w:t>
                  </w:r>
                </w:p>
              </w:tc>
              <w:tc>
                <w:tcPr>
                  <w:tcW w:w="510" w:type="pct"/>
                  <w:tcBorders>
                    <w:tl2br w:val="nil"/>
                    <w:tr2bl w:val="nil"/>
                  </w:tcBorders>
                  <w:noWrap w:val="0"/>
                  <w:vAlign w:val="center"/>
                </w:tcPr>
                <w:p w14:paraId="76A96296">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bCs/>
                      <w:vanish w:val="0"/>
                      <w:color w:val="000000" w:themeColor="text1"/>
                      <w:sz w:val="21"/>
                      <w:szCs w:val="21"/>
                      <w:lang w:val="en-US" w:eastAsia="zh-CN"/>
                      <w14:textFill>
                        <w14:solidFill>
                          <w14:schemeClr w14:val="tx1"/>
                        </w14:solidFill>
                      </w14:textFill>
                    </w:rPr>
                  </w:pPr>
                  <w:r>
                    <w:rPr>
                      <w:rFonts w:hint="eastAsia"/>
                      <w:b w:val="0"/>
                      <w:bCs w:val="0"/>
                      <w:vanish w:val="0"/>
                      <w:color w:val="000000" w:themeColor="text1"/>
                      <w:sz w:val="21"/>
                      <w:szCs w:val="21"/>
                      <w:lang w:val="en-US" w:eastAsia="zh-CN"/>
                      <w14:textFill>
                        <w14:solidFill>
                          <w14:schemeClr w14:val="tx1"/>
                        </w14:solidFill>
                      </w14:textFill>
                    </w:rPr>
                    <w:t>符合</w:t>
                  </w:r>
                </w:p>
              </w:tc>
            </w:tr>
            <w:tr w14:paraId="5A669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128" w:type="pct"/>
                  <w:tcBorders>
                    <w:tl2br w:val="nil"/>
                    <w:tr2bl w:val="nil"/>
                  </w:tcBorders>
                  <w:noWrap w:val="0"/>
                  <w:vAlign w:val="center"/>
                </w:tcPr>
                <w:p w14:paraId="12031113">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bCs/>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kern w:val="0"/>
                      <w:sz w:val="21"/>
                      <w:szCs w:val="21"/>
                      <w:highlight w:val="none"/>
                      <w:lang w:val="en-US" w:eastAsia="zh-CN"/>
                      <w14:textFill>
                        <w14:solidFill>
                          <w14:schemeClr w14:val="tx1"/>
                        </w14:solidFill>
                      </w14:textFill>
                    </w:rPr>
                    <w:t>《</w:t>
                  </w:r>
                  <w:r>
                    <w:rPr>
                      <w:rFonts w:hint="eastAsia" w:cs="Times New Roman"/>
                      <w:vanish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十四五</w:t>
                  </w:r>
                  <w:r>
                    <w:rPr>
                      <w:rFonts w:hint="eastAsia" w:cs="Times New Roman"/>
                      <w:vanish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节水型社会建设规划》（</w:t>
                  </w:r>
                  <w:r>
                    <w:rPr>
                      <w:rFonts w:hint="default" w:ascii="Times New Roman" w:hAnsi="Times New Roman" w:eastAsia="宋体" w:cs="Times New Roman"/>
                      <w:i w:val="0"/>
                      <w:iCs w:val="0"/>
                      <w:caps w:val="0"/>
                      <w:vanish w:val="0"/>
                      <w:color w:val="000000" w:themeColor="text1"/>
                      <w:spacing w:val="0"/>
                      <w:sz w:val="21"/>
                      <w:szCs w:val="21"/>
                      <w:shd w:val="clear" w:color="auto" w:fill="FFFFFF"/>
                      <w14:textFill>
                        <w14:solidFill>
                          <w14:schemeClr w14:val="tx1"/>
                        </w14:solidFill>
                      </w14:textFill>
                    </w:rPr>
                    <w:t>发改环资〔2021〕1516号</w:t>
                  </w:r>
                  <w:r>
                    <w:rPr>
                      <w:rFonts w:hint="eastAsia" w:eastAsia="宋体" w:cs="Times New Roman"/>
                      <w:vanish w:val="0"/>
                      <w:color w:val="000000" w:themeColor="text1"/>
                      <w:kern w:val="0"/>
                      <w:sz w:val="21"/>
                      <w:szCs w:val="21"/>
                      <w:highlight w:val="none"/>
                      <w:lang w:val="en-US" w:eastAsia="zh-CN"/>
                      <w14:textFill>
                        <w14:solidFill>
                          <w14:schemeClr w14:val="tx1"/>
                        </w14:solidFill>
                      </w14:textFill>
                    </w:rPr>
                    <w:t>）</w:t>
                  </w:r>
                </w:p>
              </w:tc>
              <w:tc>
                <w:tcPr>
                  <w:tcW w:w="1824" w:type="pct"/>
                  <w:tcBorders>
                    <w:tl2br w:val="nil"/>
                    <w:tr2bl w:val="nil"/>
                  </w:tcBorders>
                  <w:noWrap w:val="0"/>
                  <w:vAlign w:val="center"/>
                </w:tcPr>
                <w:p w14:paraId="4876A89D">
                  <w:pPr>
                    <w:keepNext w:val="0"/>
                    <w:keepLines w:val="0"/>
                    <w:pageBreakBefore w:val="0"/>
                    <w:widowControl w:val="0"/>
                    <w:kinsoku/>
                    <w:wordWrap/>
                    <w:overflowPunct/>
                    <w:topLinePunct w:val="0"/>
                    <w:bidi w:val="0"/>
                    <w:spacing w:line="300" w:lineRule="exact"/>
                    <w:textAlignment w:val="auto"/>
                    <w:rPr>
                      <w:rFonts w:hint="eastAsia"/>
                      <w:b/>
                      <w:bCs/>
                      <w:vanish w:val="0"/>
                      <w:color w:val="000000" w:themeColor="text1"/>
                      <w:sz w:val="21"/>
                      <w:szCs w:val="21"/>
                      <w:lang w:val="en-US" w:eastAsia="zh-CN"/>
                      <w14:textFill>
                        <w14:solidFill>
                          <w14:schemeClr w14:val="tx1"/>
                        </w14:solidFill>
                      </w14:textFill>
                    </w:rPr>
                  </w:pPr>
                  <w:r>
                    <w:rPr>
                      <w:rFonts w:hint="eastAsia"/>
                      <w:vanish w:val="0"/>
                      <w:color w:val="000000" w:themeColor="text1"/>
                      <w:sz w:val="21"/>
                      <w:szCs w:val="21"/>
                      <w:lang w:val="en-US" w:eastAsia="zh-CN"/>
                      <w14:textFill>
                        <w14:solidFill>
                          <w14:schemeClr w14:val="tx1"/>
                        </w14:solidFill>
                      </w14:textFill>
                    </w:rPr>
                    <w:t>主要任务：补齐设施短板-</w:t>
                  </w:r>
                  <w:r>
                    <w:rPr>
                      <w:rFonts w:ascii="宋体" w:hAnsi="宋体" w:eastAsia="宋体" w:cs="宋体"/>
                      <w:vanish w:val="0"/>
                      <w:color w:val="000000" w:themeColor="text1"/>
                      <w:sz w:val="21"/>
                      <w:szCs w:val="21"/>
                      <w14:textFill>
                        <w14:solidFill>
                          <w14:schemeClr w14:val="tx1"/>
                        </w14:solidFill>
                      </w14:textFill>
                    </w:rPr>
                    <w:t>实施城镇供水管网漏损治理工程。老城区结合更新改造，抓紧补齐供水管网短板，新城区高起点规划、高标准建设供水管网。按需选择分区计量实施路线，建设分区计量工程，逐步实现供水管网的网格化、精细化管理，积极推进管网改造、供水管网压力调控工程。公共供水管网漏损率达到一级评定标准的城市要进一步降低</w:t>
                  </w:r>
                  <w:r>
                    <w:rPr>
                      <w:rFonts w:hint="eastAsia" w:ascii="宋体" w:hAnsi="宋体" w:cs="宋体"/>
                      <w:vanish w:val="0"/>
                      <w:color w:val="000000" w:themeColor="text1"/>
                      <w:sz w:val="21"/>
                      <w:szCs w:val="21"/>
                      <w:lang w:eastAsia="zh-CN"/>
                      <w14:textFill>
                        <w14:solidFill>
                          <w14:schemeClr w14:val="tx1"/>
                        </w14:solidFill>
                      </w14:textFill>
                    </w:rPr>
                    <w:t>。</w:t>
                  </w:r>
                  <w:r>
                    <w:rPr>
                      <w:rFonts w:ascii="宋体" w:hAnsi="宋体" w:eastAsia="宋体" w:cs="宋体"/>
                      <w:vanish w:val="0"/>
                      <w:color w:val="000000" w:themeColor="text1"/>
                      <w:sz w:val="21"/>
                      <w:szCs w:val="21"/>
                      <w14:textFill>
                        <w14:solidFill>
                          <w14:schemeClr w14:val="tx1"/>
                        </w14:solidFill>
                      </w14:textFill>
                    </w:rPr>
                    <w:t>漏损率，未达到一级评定标准的城市要将公共供水管网漏损率控制到一级评定标准以内。</w:t>
                  </w:r>
                </w:p>
              </w:tc>
              <w:tc>
                <w:tcPr>
                  <w:tcW w:w="1535" w:type="pct"/>
                  <w:tcBorders>
                    <w:tl2br w:val="nil"/>
                    <w:tr2bl w:val="nil"/>
                  </w:tcBorders>
                  <w:noWrap w:val="0"/>
                  <w:vAlign w:val="center"/>
                </w:tcPr>
                <w:p w14:paraId="0235A788">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bCs/>
                      <w:vanish w:val="0"/>
                      <w:color w:val="000000" w:themeColor="text1"/>
                      <w:sz w:val="21"/>
                      <w:szCs w:val="21"/>
                      <w:lang w:val="en-US" w:eastAsia="zh-CN"/>
                      <w14:textFill>
                        <w14:solidFill>
                          <w14:schemeClr w14:val="tx1"/>
                        </w14:solidFill>
                      </w14:textFill>
                    </w:rPr>
                  </w:pPr>
                  <w:r>
                    <w:rPr>
                      <w:rFonts w:hint="eastAsia"/>
                      <w:vanish w:val="0"/>
                      <w:color w:val="000000" w:themeColor="text1"/>
                      <w:sz w:val="21"/>
                      <w:szCs w:val="21"/>
                      <w:lang w:val="en-US" w:eastAsia="zh-CN"/>
                      <w14:textFill>
                        <w14:solidFill>
                          <w14:schemeClr w14:val="tx1"/>
                        </w14:solidFill>
                      </w14:textFill>
                    </w:rPr>
                    <w:t>项目供水工程除新建输配水管网外，还对老旧</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管网及附属设施进行改造，完善了供水管网系统，</w:t>
                  </w:r>
                  <w:r>
                    <w:rPr>
                      <w:rFonts w:hint="eastAsia"/>
                      <w:vanish w:val="0"/>
                      <w:color w:val="000000" w:themeColor="text1"/>
                      <w:sz w:val="21"/>
                      <w:szCs w:val="21"/>
                      <w:lang w:val="en-US" w:eastAsia="zh-CN"/>
                      <w14:textFill>
                        <w14:solidFill>
                          <w14:schemeClr w14:val="tx1"/>
                        </w14:solidFill>
                      </w14:textFill>
                    </w:rPr>
                    <w:t>提高了水利用效率，符合规划中推广管道输水的要求。</w:t>
                  </w:r>
                </w:p>
              </w:tc>
              <w:tc>
                <w:tcPr>
                  <w:tcW w:w="510" w:type="pct"/>
                  <w:tcBorders>
                    <w:tl2br w:val="nil"/>
                    <w:tr2bl w:val="nil"/>
                  </w:tcBorders>
                  <w:noWrap w:val="0"/>
                  <w:vAlign w:val="center"/>
                </w:tcPr>
                <w:p w14:paraId="19A3DB41">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bCs/>
                      <w:vanish w:val="0"/>
                      <w:color w:val="000000" w:themeColor="text1"/>
                      <w:sz w:val="21"/>
                      <w:szCs w:val="21"/>
                      <w:lang w:val="en-US" w:eastAsia="zh-CN"/>
                      <w14:textFill>
                        <w14:solidFill>
                          <w14:schemeClr w14:val="tx1"/>
                        </w14:solidFill>
                      </w14:textFill>
                    </w:rPr>
                  </w:pPr>
                  <w:r>
                    <w:rPr>
                      <w:rFonts w:hint="eastAsia"/>
                      <w:b w:val="0"/>
                      <w:bCs w:val="0"/>
                      <w:vanish w:val="0"/>
                      <w:color w:val="000000" w:themeColor="text1"/>
                      <w:sz w:val="21"/>
                      <w:szCs w:val="21"/>
                      <w:lang w:val="en-US" w:eastAsia="zh-CN"/>
                      <w14:textFill>
                        <w14:solidFill>
                          <w14:schemeClr w14:val="tx1"/>
                        </w14:solidFill>
                      </w14:textFill>
                    </w:rPr>
                    <w:t>符合</w:t>
                  </w:r>
                </w:p>
              </w:tc>
            </w:tr>
            <w:tr w14:paraId="54381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128" w:type="pct"/>
                  <w:tcBorders>
                    <w:tl2br w:val="nil"/>
                    <w:tr2bl w:val="nil"/>
                  </w:tcBorders>
                  <w:noWrap w:val="0"/>
                  <w:vAlign w:val="center"/>
                </w:tcPr>
                <w:p w14:paraId="6B07A07D">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val="0"/>
                      <w:bCs w:val="0"/>
                      <w:vanish w:val="0"/>
                      <w:color w:val="000000" w:themeColor="text1"/>
                      <w:sz w:val="21"/>
                      <w:szCs w:val="21"/>
                      <w:lang w:val="en-US" w:eastAsia="zh-CN"/>
                      <w14:textFill>
                        <w14:solidFill>
                          <w14:schemeClr w14:val="tx1"/>
                        </w14:solidFill>
                      </w14:textFill>
                    </w:rPr>
                  </w:pPr>
                  <w:r>
                    <w:rPr>
                      <w:rFonts w:hint="eastAsia"/>
                      <w:b w:val="0"/>
                      <w:bCs w:val="0"/>
                      <w:vanish w:val="0"/>
                      <w:color w:val="000000" w:themeColor="text1"/>
                      <w:sz w:val="21"/>
                      <w:szCs w:val="21"/>
                      <w:lang w:val="en-US" w:eastAsia="zh-CN"/>
                      <w14:textFill>
                        <w14:solidFill>
                          <w14:schemeClr w14:val="tx1"/>
                        </w14:solidFill>
                      </w14:textFill>
                    </w:rPr>
                    <w:t>《水利部办公厅关于印发〈2024年乡村振兴水利保障工作要点〉的通知》（办振兴</w:t>
                  </w:r>
                  <w:r>
                    <w:rPr>
                      <w:rFonts w:hint="default"/>
                      <w:vanish w:val="0"/>
                      <w:color w:val="000000" w:themeColor="text1"/>
                      <w:sz w:val="21"/>
                      <w:szCs w:val="21"/>
                      <w:lang w:val="en-US" w:eastAsia="zh-CN"/>
                      <w14:textFill>
                        <w14:solidFill>
                          <w14:schemeClr w14:val="tx1"/>
                        </w14:solidFill>
                      </w14:textFill>
                    </w:rPr>
                    <w:t>〔202</w:t>
                  </w:r>
                  <w:r>
                    <w:rPr>
                      <w:rFonts w:hint="eastAsia"/>
                      <w:vanish w:val="0"/>
                      <w:color w:val="000000" w:themeColor="text1"/>
                      <w:sz w:val="21"/>
                      <w:szCs w:val="21"/>
                      <w:lang w:val="en-US" w:eastAsia="zh-CN"/>
                      <w14:textFill>
                        <w14:solidFill>
                          <w14:schemeClr w14:val="tx1"/>
                        </w14:solidFill>
                      </w14:textFill>
                    </w:rPr>
                    <w:t>4</w:t>
                  </w:r>
                  <w:r>
                    <w:rPr>
                      <w:rFonts w:hint="default"/>
                      <w:vanish w:val="0"/>
                      <w:color w:val="000000" w:themeColor="text1"/>
                      <w:sz w:val="21"/>
                      <w:szCs w:val="21"/>
                      <w:lang w:val="en-US" w:eastAsia="zh-CN"/>
                      <w14:textFill>
                        <w14:solidFill>
                          <w14:schemeClr w14:val="tx1"/>
                        </w14:solidFill>
                      </w14:textFill>
                    </w:rPr>
                    <w:t>〕</w:t>
                  </w:r>
                  <w:r>
                    <w:rPr>
                      <w:rFonts w:hint="eastAsia"/>
                      <w:vanish w:val="0"/>
                      <w:color w:val="000000" w:themeColor="text1"/>
                      <w:sz w:val="21"/>
                      <w:szCs w:val="21"/>
                      <w:lang w:val="en-US" w:eastAsia="zh-CN"/>
                      <w14:textFill>
                        <w14:solidFill>
                          <w14:schemeClr w14:val="tx1"/>
                        </w14:solidFill>
                      </w14:textFill>
                    </w:rPr>
                    <w:t>60</w:t>
                  </w:r>
                  <w:r>
                    <w:rPr>
                      <w:rFonts w:hint="default"/>
                      <w:vanish w:val="0"/>
                      <w:color w:val="000000" w:themeColor="text1"/>
                      <w:sz w:val="21"/>
                      <w:szCs w:val="21"/>
                      <w:lang w:val="en-US" w:eastAsia="zh-CN"/>
                      <w14:textFill>
                        <w14:solidFill>
                          <w14:schemeClr w14:val="tx1"/>
                        </w14:solidFill>
                      </w14:textFill>
                    </w:rPr>
                    <w:t>号</w:t>
                  </w:r>
                  <w:r>
                    <w:rPr>
                      <w:rFonts w:hint="eastAsia"/>
                      <w:b w:val="0"/>
                      <w:bCs w:val="0"/>
                      <w:vanish w:val="0"/>
                      <w:color w:val="000000" w:themeColor="text1"/>
                      <w:sz w:val="21"/>
                      <w:szCs w:val="21"/>
                      <w:lang w:val="en-US" w:eastAsia="zh-CN"/>
                      <w14:textFill>
                        <w14:solidFill>
                          <w14:schemeClr w14:val="tx1"/>
                        </w14:solidFill>
                      </w14:textFill>
                    </w:rPr>
                    <w:t>）</w:t>
                  </w:r>
                </w:p>
              </w:tc>
              <w:tc>
                <w:tcPr>
                  <w:tcW w:w="1824" w:type="pct"/>
                  <w:tcBorders>
                    <w:tl2br w:val="nil"/>
                    <w:tr2bl w:val="nil"/>
                  </w:tcBorders>
                  <w:noWrap w:val="0"/>
                  <w:vAlign w:val="center"/>
                </w:tcPr>
                <w:p w14:paraId="3238D849">
                  <w:pPr>
                    <w:pStyle w:val="65"/>
                    <w:keepNext w:val="0"/>
                    <w:keepLines w:val="0"/>
                    <w:pageBreakBefore w:val="0"/>
                    <w:kinsoku/>
                    <w:wordWrap/>
                    <w:overflowPunct/>
                    <w:topLinePunct w:val="0"/>
                    <w:bidi w:val="0"/>
                    <w:spacing w:line="300" w:lineRule="exact"/>
                    <w:ind w:left="0" w:leftChars="0" w:right="0" w:rightChars="0" w:firstLine="0" w:firstLineChars="0"/>
                    <w:jc w:val="left"/>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（二</w:t>
                  </w:r>
                  <w:r>
                    <w:rPr>
                      <w:rFonts w:hint="eastAsia" w:eastAsia="宋体" w:cs="Times New Roman"/>
                      <w:vanish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提升农村饮水安全保障水平</w:t>
                  </w:r>
                </w:p>
                <w:p w14:paraId="202037E4">
                  <w:pPr>
                    <w:pStyle w:val="65"/>
                    <w:keepNext w:val="0"/>
                    <w:keepLines w:val="0"/>
                    <w:pageBreakBefore w:val="0"/>
                    <w:kinsoku/>
                    <w:wordWrap/>
                    <w:overflowPunct/>
                    <w:topLinePunct w:val="0"/>
                    <w:bidi w:val="0"/>
                    <w:spacing w:line="300" w:lineRule="exact"/>
                    <w:ind w:left="0" w:leftChars="0" w:right="0" w:rightChars="0" w:firstLine="0" w:firstLineChars="0"/>
                    <w:jc w:val="left"/>
                    <w:textAlignment w:val="auto"/>
                    <w:rPr>
                      <w:rFonts w:hint="eastAsia"/>
                      <w:b w:val="0"/>
                      <w:bCs w:val="0"/>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12.优化农村供水工程布局。按照</w:t>
                  </w:r>
                  <w:r>
                    <w:rPr>
                      <w:rFonts w:hint="eastAsia" w:cs="Times New Roman"/>
                      <w:vanish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建大、并中、减小</w:t>
                  </w:r>
                  <w:r>
                    <w:rPr>
                      <w:rFonts w:hint="eastAsia" w:cs="Times New Roman"/>
                      <w:vanish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的原则，优先推进城乡供水一体化、集中供水规模化，积极创造条件实现城乡供水同源、同网、同质、同服务、同监管，无法纳入城乡一体化、规模化供水范围的地区，因地制宜推进小型供水工程规范化建设和改造，确保不落一户一人。到2024年底，力争全国农村自来水普及率达到92%，规模化供水工程覆盖农村人口比例达到63%。</w:t>
                  </w:r>
                </w:p>
              </w:tc>
              <w:tc>
                <w:tcPr>
                  <w:tcW w:w="1535" w:type="pct"/>
                  <w:tcBorders>
                    <w:tl2br w:val="nil"/>
                    <w:tr2bl w:val="nil"/>
                  </w:tcBorders>
                  <w:noWrap w:val="0"/>
                  <w:vAlign w:val="center"/>
                </w:tcPr>
                <w:p w14:paraId="106EEB20">
                  <w:pPr>
                    <w:pStyle w:val="65"/>
                    <w:keepNext w:val="0"/>
                    <w:keepLines w:val="0"/>
                    <w:pageBreakBefore w:val="0"/>
                    <w:kinsoku/>
                    <w:wordWrap/>
                    <w:overflowPunct/>
                    <w:topLinePunct w:val="0"/>
                    <w:bidi w:val="0"/>
                    <w:spacing w:line="300" w:lineRule="exact"/>
                    <w:ind w:left="0" w:leftChars="0" w:right="0" w:rightChars="0" w:firstLine="0" w:firstLineChars="0"/>
                    <w:jc w:val="left"/>
                    <w:textAlignment w:val="auto"/>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项目区域目前均使用小型集中供水工程，水质水量不稳定，易受气候影响，群众饮用水水质无法保证。</w:t>
                  </w:r>
                </w:p>
                <w:p w14:paraId="5FB63151">
                  <w:pPr>
                    <w:pStyle w:val="65"/>
                    <w:keepNext w:val="0"/>
                    <w:keepLines w:val="0"/>
                    <w:pageBreakBefore w:val="0"/>
                    <w:kinsoku/>
                    <w:wordWrap/>
                    <w:overflowPunct/>
                    <w:topLinePunct w:val="0"/>
                    <w:bidi w:val="0"/>
                    <w:spacing w:line="300" w:lineRule="exact"/>
                    <w:ind w:left="0" w:leftChars="0" w:right="0" w:rightChars="0" w:firstLine="0" w:firstLineChars="0"/>
                    <w:jc w:val="left"/>
                    <w:textAlignment w:val="auto"/>
                    <w:rPr>
                      <w:rFonts w:hint="default"/>
                      <w:b w:val="0"/>
                      <w:bCs w:val="0"/>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项目为太白县</w:t>
                  </w:r>
                  <w:r>
                    <w:rPr>
                      <w:rFonts w:hint="eastAsia" w:eastAsia="宋体" w:cs="Times New Roman"/>
                      <w:vanish w:val="0"/>
                      <w:color w:val="000000" w:themeColor="text1"/>
                      <w:sz w:val="21"/>
                      <w:szCs w:val="21"/>
                      <w:lang w:val="en-US" w:eastAsia="zh-CN"/>
                      <w14:textFill>
                        <w14:solidFill>
                          <w14:schemeClr w14:val="tx1"/>
                        </w14:solidFill>
                      </w14:textFill>
                    </w:rPr>
                    <w:t>桃川镇6</w:t>
                  </w:r>
                  <w:r>
                    <w:rPr>
                      <w:rFonts w:hint="eastAsia" w:cs="Times New Roman"/>
                      <w:vanish w:val="0"/>
                      <w:color w:val="000000" w:themeColor="text1"/>
                      <w:sz w:val="21"/>
                      <w:szCs w:val="21"/>
                      <w:lang w:val="en-US" w:eastAsia="zh-CN"/>
                      <w14:textFill>
                        <w14:solidFill>
                          <w14:schemeClr w14:val="tx1"/>
                        </w14:solidFill>
                      </w14:textFill>
                    </w:rPr>
                    <w:t>个行政村</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群众</w:t>
                  </w:r>
                  <w:r>
                    <w:rPr>
                      <w:rFonts w:hint="eastAsia" w:eastAsia="宋体" w:cs="Times New Roman"/>
                      <w:vanish w:val="0"/>
                      <w:color w:val="000000" w:themeColor="text1"/>
                      <w:sz w:val="21"/>
                      <w:szCs w:val="21"/>
                      <w:lang w:val="en-US" w:eastAsia="zh-CN"/>
                      <w14:textFill>
                        <w14:solidFill>
                          <w14:schemeClr w14:val="tx1"/>
                        </w14:solidFill>
                      </w14:textFill>
                    </w:rPr>
                    <w:t>提供</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饮水。</w:t>
                  </w:r>
                </w:p>
              </w:tc>
              <w:tc>
                <w:tcPr>
                  <w:tcW w:w="510" w:type="pct"/>
                  <w:tcBorders>
                    <w:tl2br w:val="nil"/>
                    <w:tr2bl w:val="nil"/>
                  </w:tcBorders>
                  <w:noWrap w:val="0"/>
                  <w:vAlign w:val="center"/>
                </w:tcPr>
                <w:p w14:paraId="5DD920E7">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default"/>
                      <w:b w:val="0"/>
                      <w:bCs w:val="0"/>
                      <w:vanish w:val="0"/>
                      <w:color w:val="000000" w:themeColor="text1"/>
                      <w:sz w:val="21"/>
                      <w:szCs w:val="21"/>
                      <w:lang w:val="en-US" w:eastAsia="zh-CN"/>
                      <w14:textFill>
                        <w14:solidFill>
                          <w14:schemeClr w14:val="tx1"/>
                        </w14:solidFill>
                      </w14:textFill>
                    </w:rPr>
                  </w:pPr>
                  <w:r>
                    <w:rPr>
                      <w:rFonts w:hint="eastAsia"/>
                      <w:b w:val="0"/>
                      <w:bCs w:val="0"/>
                      <w:vanish w:val="0"/>
                      <w:color w:val="000000" w:themeColor="text1"/>
                      <w:sz w:val="21"/>
                      <w:szCs w:val="21"/>
                      <w:lang w:val="en-US" w:eastAsia="zh-CN"/>
                      <w14:textFill>
                        <w14:solidFill>
                          <w14:schemeClr w14:val="tx1"/>
                        </w14:solidFill>
                      </w14:textFill>
                    </w:rPr>
                    <w:t>符合</w:t>
                  </w:r>
                </w:p>
              </w:tc>
            </w:tr>
            <w:tr w14:paraId="598AD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128" w:type="pct"/>
                  <w:tcBorders>
                    <w:tl2br w:val="nil"/>
                    <w:tr2bl w:val="nil"/>
                  </w:tcBorders>
                  <w:noWrap w:val="0"/>
                  <w:vAlign w:val="center"/>
                </w:tcPr>
                <w:p w14:paraId="39DAE419">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vanish w:val="0"/>
                      <w:color w:val="000000" w:themeColor="text1"/>
                      <w:sz w:val="21"/>
                      <w:szCs w:val="21"/>
                      <w:lang w:val="en-US" w:eastAsia="zh-CN"/>
                      <w14:textFill>
                        <w14:solidFill>
                          <w14:schemeClr w14:val="tx1"/>
                        </w14:solidFill>
                      </w14:textFill>
                    </w:rPr>
                    <w:t>《陕西省人民政府关于印发国民经济和社会发展第十四个五年规划和二〇三五年远景目标纲要的通知》（陕政发〔2021〕3号）</w:t>
                  </w:r>
                </w:p>
              </w:tc>
              <w:tc>
                <w:tcPr>
                  <w:tcW w:w="1824" w:type="pct"/>
                  <w:tcBorders>
                    <w:tl2br w:val="nil"/>
                    <w:tr2bl w:val="nil"/>
                  </w:tcBorders>
                  <w:noWrap w:val="0"/>
                  <w:vAlign w:val="center"/>
                </w:tcPr>
                <w:p w14:paraId="0D81B335">
                  <w:pPr>
                    <w:pStyle w:val="65"/>
                    <w:keepNext w:val="0"/>
                    <w:keepLines w:val="0"/>
                    <w:pageBreakBefore w:val="0"/>
                    <w:kinsoku/>
                    <w:wordWrap/>
                    <w:overflowPunct/>
                    <w:topLinePunct w:val="0"/>
                    <w:bidi w:val="0"/>
                    <w:spacing w:line="300" w:lineRule="exact"/>
                    <w:ind w:left="0" w:leftChars="0" w:right="0" w:rightChars="0" w:firstLine="0" w:firstLineChars="0"/>
                    <w:jc w:val="left"/>
                    <w:textAlignment w:val="auto"/>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强化水安全保障体系-坚持</w:t>
                  </w:r>
                  <w:r>
                    <w:rPr>
                      <w:rFonts w:hint="eastAsia" w:cs="Times New Roman"/>
                      <w:vanish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节水优先、空间均衡、系统治理、两手发力</w:t>
                  </w:r>
                  <w:r>
                    <w:rPr>
                      <w:rFonts w:hint="eastAsia" w:cs="Times New Roman"/>
                      <w:vanish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治水思路，构建水供给保障、水灾害防御、水生态治理、水资源监管</w:t>
                  </w:r>
                  <w:r>
                    <w:rPr>
                      <w:rFonts w:hint="eastAsia" w:cs="Times New Roman"/>
                      <w:vanish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四个体系</w:t>
                  </w:r>
                  <w:r>
                    <w:rPr>
                      <w:rFonts w:hint="eastAsia" w:cs="Times New Roman"/>
                      <w:vanish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支撑经济社会高质量发展。优化完善水资源配置骨干网络，推进重点水源、跨流域水资源调配等建设，构建互联互通、丰枯调剂、多水源联合调配的区域供水网格体系。加强城市供水应急备用水源建设，积极实施城乡一体化和联村并网集中供水工程，抓好大中型灌区续建配套和现代化改造。</w:t>
                  </w:r>
                </w:p>
              </w:tc>
              <w:tc>
                <w:tcPr>
                  <w:tcW w:w="1535" w:type="pct"/>
                  <w:tcBorders>
                    <w:tl2br w:val="nil"/>
                    <w:tr2bl w:val="nil"/>
                  </w:tcBorders>
                  <w:noWrap w:val="0"/>
                  <w:vAlign w:val="center"/>
                </w:tcPr>
                <w:p w14:paraId="3E46125B">
                  <w:pPr>
                    <w:pStyle w:val="65"/>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Times New Roman" w:hAnsi="Times New Roman" w:eastAsia="宋体" w:cs="Times New Roman"/>
                      <w:b w:val="0"/>
                      <w:bCs w:val="0"/>
                      <w:vanish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项目主要为</w:t>
                  </w:r>
                  <w:r>
                    <w:rPr>
                      <w:rFonts w:hint="eastAsia" w:cs="Times New Roman"/>
                      <w:vanish w:val="0"/>
                      <w:color w:val="000000" w:themeColor="text1"/>
                      <w:kern w:val="0"/>
                      <w:sz w:val="21"/>
                      <w:szCs w:val="21"/>
                      <w:lang w:val="en-US" w:eastAsia="zh-CN"/>
                      <w14:textFill>
                        <w14:solidFill>
                          <w14:schemeClr w14:val="tx1"/>
                        </w14:solidFill>
                      </w14:textFill>
                    </w:rPr>
                    <w:t>太</w:t>
                  </w:r>
                  <w:r>
                    <w:rPr>
                      <w:rFonts w:hint="eastAsia" w:ascii="Times New Roman" w:hAnsi="Times New Roman" w:eastAsia="宋体" w:cs="Times New Roman"/>
                      <w:vanish w:val="0"/>
                      <w:color w:val="000000" w:themeColor="text1"/>
                      <w:lang w:eastAsia="zh-CN"/>
                      <w14:textFill>
                        <w14:solidFill>
                          <w14:schemeClr w14:val="tx1"/>
                        </w14:solidFill>
                      </w14:textFill>
                    </w:rPr>
                    <w:t>白县桃川镇</w:t>
                  </w:r>
                  <w:r>
                    <w:rPr>
                      <w:rFonts w:hint="eastAsia"/>
                      <w:vanish w:val="0"/>
                      <w:color w:val="000000" w:themeColor="text1"/>
                      <w:sz w:val="21"/>
                      <w:szCs w:val="21"/>
                      <w:lang w:val="en-US" w:eastAsia="zh-CN"/>
                      <w14:textFill>
                        <w14:solidFill>
                          <w14:schemeClr w14:val="tx1"/>
                        </w14:solidFill>
                      </w14:textFill>
                    </w:rPr>
                    <w:t>规模化供水工程</w:t>
                  </w: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w:t>
                  </w:r>
                  <w:r>
                    <w:rPr>
                      <w:rFonts w:hint="eastAsia"/>
                      <w:vanish w:val="0"/>
                      <w:color w:val="000000" w:themeColor="text1"/>
                      <w:sz w:val="21"/>
                      <w:szCs w:val="21"/>
                      <w:lang w:val="en-US" w:eastAsia="zh-CN"/>
                      <w14:textFill>
                        <w14:solidFill>
                          <w14:schemeClr w14:val="tx1"/>
                        </w14:solidFill>
                      </w14:textFill>
                    </w:rPr>
                    <w:t>为桃川镇6个行政村供水，</w:t>
                  </w:r>
                  <w:r>
                    <w:rPr>
                      <w:rFonts w:hint="eastAsia" w:ascii="Times New Roman" w:hAnsi="Times New Roman" w:eastAsia="宋体" w:cs="Times New Roman"/>
                      <w:b w:val="0"/>
                      <w:bCs w:val="0"/>
                      <w:vanish w:val="0"/>
                      <w:color w:val="000000" w:themeColor="text1"/>
                      <w:kern w:val="0"/>
                      <w:sz w:val="21"/>
                      <w:szCs w:val="21"/>
                      <w:lang w:val="en-US" w:eastAsia="zh-CN"/>
                      <w14:textFill>
                        <w14:solidFill>
                          <w14:schemeClr w14:val="tx1"/>
                        </w14:solidFill>
                      </w14:textFill>
                    </w:rPr>
                    <w:t>工程供水范围纳入大管网，打通供水末梢，进一步提升农村饮水安全</w:t>
                  </w:r>
                  <w:r>
                    <w:rPr>
                      <w:rFonts w:hint="eastAsia" w:cs="Times New Roman"/>
                      <w:b w:val="0"/>
                      <w:bCs w:val="0"/>
                      <w:vanish w:val="0"/>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b w:val="0"/>
                      <w:bCs w:val="0"/>
                      <w:vanish w:val="0"/>
                      <w:color w:val="000000" w:themeColor="text1"/>
                      <w:kern w:val="0"/>
                      <w:sz w:val="21"/>
                      <w:szCs w:val="21"/>
                      <w:lang w:val="en-US" w:eastAsia="zh-CN"/>
                      <w14:textFill>
                        <w14:solidFill>
                          <w14:schemeClr w14:val="tx1"/>
                        </w14:solidFill>
                      </w14:textFill>
                    </w:rPr>
                    <w:t>最终实现城乡供水管理一体化目标。</w:t>
                  </w:r>
                </w:p>
                <w:p w14:paraId="6ACB9175">
                  <w:pPr>
                    <w:pStyle w:val="65"/>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1"/>
                      <w:lang w:val="en-US" w:eastAsia="zh-CN"/>
                      <w14:textFill>
                        <w14:solidFill>
                          <w14:schemeClr w14:val="tx1"/>
                        </w14:solidFill>
                      </w14:textFill>
                    </w:rPr>
                    <w:t>因此项目的建设符合《纲要》中的相关要求。</w:t>
                  </w:r>
                </w:p>
              </w:tc>
              <w:tc>
                <w:tcPr>
                  <w:tcW w:w="510" w:type="pct"/>
                  <w:tcBorders>
                    <w:tl2br w:val="nil"/>
                    <w:tr2bl w:val="nil"/>
                  </w:tcBorders>
                  <w:noWrap w:val="0"/>
                  <w:vAlign w:val="center"/>
                </w:tcPr>
                <w:p w14:paraId="5FE1D2D0">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val="0"/>
                      <w:bCs w:val="0"/>
                      <w:vanish w:val="0"/>
                      <w:color w:val="000000" w:themeColor="text1"/>
                      <w:sz w:val="21"/>
                      <w:szCs w:val="21"/>
                      <w:lang w:val="en-US" w:eastAsia="zh-CN"/>
                      <w14:textFill>
                        <w14:solidFill>
                          <w14:schemeClr w14:val="tx1"/>
                        </w14:solidFill>
                      </w14:textFill>
                    </w:rPr>
                  </w:pPr>
                  <w:r>
                    <w:rPr>
                      <w:rFonts w:hint="eastAsia"/>
                      <w:b w:val="0"/>
                      <w:bCs w:val="0"/>
                      <w:vanish w:val="0"/>
                      <w:color w:val="000000" w:themeColor="text1"/>
                      <w:sz w:val="21"/>
                      <w:szCs w:val="21"/>
                      <w:lang w:val="en-US" w:eastAsia="zh-CN"/>
                      <w14:textFill>
                        <w14:solidFill>
                          <w14:schemeClr w14:val="tx1"/>
                        </w14:solidFill>
                      </w14:textFill>
                    </w:rPr>
                    <w:t>符合</w:t>
                  </w:r>
                </w:p>
              </w:tc>
            </w:tr>
            <w:tr w14:paraId="33823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128" w:type="pct"/>
                  <w:tcBorders>
                    <w:tl2br w:val="nil"/>
                    <w:tr2bl w:val="nil"/>
                  </w:tcBorders>
                  <w:noWrap w:val="0"/>
                  <w:vAlign w:val="center"/>
                </w:tcPr>
                <w:p w14:paraId="17D1D1B2">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vanish w:val="0"/>
                      <w:color w:val="000000" w:themeColor="text1"/>
                      <w:sz w:val="21"/>
                      <w:szCs w:val="21"/>
                      <w:lang w:val="en-US" w:eastAsia="zh-CN"/>
                      <w14:textFill>
                        <w14:solidFill>
                          <w14:schemeClr w14:val="tx1"/>
                        </w14:solidFill>
                      </w14:textFill>
                    </w:rPr>
                    <w:t>《宝鸡市人民政府关于印发宝鸡市国民经济和社会发展第十四个五年规划和二〇三五年远景目标纲要的通知》（宝政发〔2020〕8号）</w:t>
                  </w:r>
                </w:p>
              </w:tc>
              <w:tc>
                <w:tcPr>
                  <w:tcW w:w="1824" w:type="pct"/>
                  <w:tcBorders>
                    <w:tl2br w:val="nil"/>
                    <w:tr2bl w:val="nil"/>
                  </w:tcBorders>
                  <w:noWrap w:val="0"/>
                  <w:vAlign w:val="center"/>
                </w:tcPr>
                <w:p w14:paraId="5AE44950">
                  <w:pPr>
                    <w:pStyle w:val="65"/>
                    <w:keepNext w:val="0"/>
                    <w:keepLines w:val="0"/>
                    <w:pageBreakBefore w:val="0"/>
                    <w:numPr>
                      <w:ilvl w:val="0"/>
                      <w:numId w:val="0"/>
                    </w:numPr>
                    <w:kinsoku/>
                    <w:wordWrap/>
                    <w:overflowPunct/>
                    <w:topLinePunct w:val="0"/>
                    <w:bidi w:val="0"/>
                    <w:spacing w:line="300" w:lineRule="exact"/>
                    <w:ind w:left="0" w:leftChars="0" w:firstLine="0" w:firstLineChars="0"/>
                    <w:jc w:val="left"/>
                    <w:textAlignment w:val="auto"/>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vanish w:val="0"/>
                      <w:color w:val="000000" w:themeColor="text1"/>
                      <w:sz w:val="21"/>
                      <w:szCs w:val="21"/>
                      <w:lang w:val="en-US" w:eastAsia="zh-CN"/>
                      <w14:textFill>
                        <w14:solidFill>
                          <w14:schemeClr w14:val="tx1"/>
                        </w14:solidFill>
                      </w14:textFill>
                    </w:rPr>
                    <w:t>完善水利基础网络。以水资源开发保护为中心，实现全市水资源统一配置，提高水资源综合利用效率和效益。突出抓好大中型灌区续建配套和现代化改造，提高水资源利用效率。</w:t>
                  </w:r>
                </w:p>
              </w:tc>
              <w:tc>
                <w:tcPr>
                  <w:tcW w:w="1535" w:type="pct"/>
                  <w:tcBorders>
                    <w:tl2br w:val="nil"/>
                    <w:tr2bl w:val="nil"/>
                  </w:tcBorders>
                  <w:noWrap w:val="0"/>
                  <w:vAlign w:val="center"/>
                </w:tcPr>
                <w:p w14:paraId="0A7D75C0">
                  <w:pPr>
                    <w:pStyle w:val="65"/>
                    <w:keepNext w:val="0"/>
                    <w:keepLines w:val="0"/>
                    <w:pageBreakBefore w:val="0"/>
                    <w:kinsoku/>
                    <w:wordWrap/>
                    <w:overflowPunct/>
                    <w:topLinePunct w:val="0"/>
                    <w:bidi w:val="0"/>
                    <w:spacing w:line="300" w:lineRule="exact"/>
                    <w:ind w:left="0" w:leftChars="0" w:right="0" w:rightChars="0" w:firstLine="0" w:firstLineChars="0"/>
                    <w:jc w:val="left"/>
                    <w:textAlignment w:val="auto"/>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项目主要为</w:t>
                  </w:r>
                  <w:r>
                    <w:rPr>
                      <w:rFonts w:hint="eastAsia" w:cs="Times New Roman"/>
                      <w:vanish w:val="0"/>
                      <w:color w:val="000000" w:themeColor="text1"/>
                      <w:kern w:val="0"/>
                      <w:sz w:val="21"/>
                      <w:szCs w:val="21"/>
                      <w:lang w:val="en-US" w:eastAsia="zh-CN"/>
                      <w14:textFill>
                        <w14:solidFill>
                          <w14:schemeClr w14:val="tx1"/>
                        </w14:solidFill>
                      </w14:textFill>
                    </w:rPr>
                    <w:t>太</w:t>
                  </w:r>
                  <w:r>
                    <w:rPr>
                      <w:rFonts w:hint="eastAsia" w:ascii="Times New Roman" w:hAnsi="Times New Roman" w:eastAsia="宋体" w:cs="Times New Roman"/>
                      <w:vanish w:val="0"/>
                      <w:color w:val="000000" w:themeColor="text1"/>
                      <w:lang w:eastAsia="zh-CN"/>
                      <w14:textFill>
                        <w14:solidFill>
                          <w14:schemeClr w14:val="tx1"/>
                        </w14:solidFill>
                      </w14:textFill>
                    </w:rPr>
                    <w:t>白县桃川镇</w:t>
                  </w:r>
                  <w:r>
                    <w:rPr>
                      <w:rFonts w:hint="eastAsia"/>
                      <w:vanish w:val="0"/>
                      <w:color w:val="000000" w:themeColor="text1"/>
                      <w:sz w:val="21"/>
                      <w:szCs w:val="21"/>
                      <w:lang w:val="en-US" w:eastAsia="zh-CN"/>
                      <w14:textFill>
                        <w14:solidFill>
                          <w14:schemeClr w14:val="tx1"/>
                        </w14:solidFill>
                      </w14:textFill>
                    </w:rPr>
                    <w:t>规模化供水工程</w:t>
                  </w:r>
                  <w:r>
                    <w:rPr>
                      <w:rFonts w:hint="eastAsia" w:ascii="Times New Roman" w:hAnsi="Times New Roman" w:eastAsia="宋体" w:cs="Times New Roman"/>
                      <w:vanish w:val="0"/>
                      <w:color w:val="000000" w:themeColor="text1"/>
                      <w:kern w:val="0"/>
                      <w:sz w:val="21"/>
                      <w:szCs w:val="21"/>
                      <w:lang w:val="en-US" w:eastAsia="zh-CN"/>
                      <w14:textFill>
                        <w14:solidFill>
                          <w14:schemeClr w14:val="tx1"/>
                        </w14:solidFill>
                      </w14:textFill>
                    </w:rPr>
                    <w:t>，</w:t>
                  </w:r>
                  <w:r>
                    <w:rPr>
                      <w:rFonts w:hint="eastAsia"/>
                      <w:vanish w:val="0"/>
                      <w:color w:val="000000" w:themeColor="text1"/>
                      <w:sz w:val="21"/>
                      <w:szCs w:val="21"/>
                      <w:lang w:val="en-US" w:eastAsia="zh-CN"/>
                      <w14:textFill>
                        <w14:solidFill>
                          <w14:schemeClr w14:val="tx1"/>
                        </w14:solidFill>
                      </w14:textFill>
                    </w:rPr>
                    <w:t>配套输配水管网，对水资源进行统一分区配置，提高水资源利用率。</w:t>
                  </w:r>
                </w:p>
              </w:tc>
              <w:tc>
                <w:tcPr>
                  <w:tcW w:w="510" w:type="pct"/>
                  <w:tcBorders>
                    <w:tl2br w:val="nil"/>
                    <w:tr2bl w:val="nil"/>
                  </w:tcBorders>
                  <w:noWrap w:val="0"/>
                  <w:vAlign w:val="center"/>
                </w:tcPr>
                <w:p w14:paraId="6F2A40BF">
                  <w:pPr>
                    <w:pStyle w:val="65"/>
                    <w:keepNext w:val="0"/>
                    <w:keepLines w:val="0"/>
                    <w:pageBreakBefore w:val="0"/>
                    <w:kinsoku/>
                    <w:wordWrap/>
                    <w:overflowPunct/>
                    <w:topLinePunct w:val="0"/>
                    <w:bidi w:val="0"/>
                    <w:spacing w:line="300" w:lineRule="exact"/>
                    <w:ind w:left="0" w:leftChars="0" w:right="0" w:rightChars="0" w:firstLine="0" w:firstLineChars="0"/>
                    <w:jc w:val="center"/>
                    <w:textAlignment w:val="auto"/>
                    <w:rPr>
                      <w:rFonts w:hint="eastAsia"/>
                      <w:b w:val="0"/>
                      <w:bCs w:val="0"/>
                      <w:vanish w:val="0"/>
                      <w:color w:val="000000" w:themeColor="text1"/>
                      <w:sz w:val="21"/>
                      <w:szCs w:val="21"/>
                      <w:lang w:val="en-US" w:eastAsia="zh-CN"/>
                      <w14:textFill>
                        <w14:solidFill>
                          <w14:schemeClr w14:val="tx1"/>
                        </w14:solidFill>
                      </w14:textFill>
                    </w:rPr>
                  </w:pPr>
                  <w:r>
                    <w:rPr>
                      <w:rFonts w:hint="eastAsia"/>
                      <w:b w:val="0"/>
                      <w:bCs w:val="0"/>
                      <w:vanish w:val="0"/>
                      <w:color w:val="000000" w:themeColor="text1"/>
                      <w:sz w:val="21"/>
                      <w:szCs w:val="21"/>
                      <w:lang w:val="en-US" w:eastAsia="zh-CN"/>
                      <w14:textFill>
                        <w14:solidFill>
                          <w14:schemeClr w14:val="tx1"/>
                        </w14:solidFill>
                      </w14:textFill>
                    </w:rPr>
                    <w:t>符合</w:t>
                  </w:r>
                </w:p>
              </w:tc>
            </w:tr>
          </w:tbl>
          <w:p w14:paraId="74831E58">
            <w:pPr>
              <w:keepNext w:val="0"/>
              <w:keepLines w:val="0"/>
              <w:pageBreakBefore w:val="0"/>
              <w:widowControl w:val="0"/>
              <w:kinsoku/>
              <w:wordWrap/>
              <w:overflowPunct/>
              <w:topLinePunct w:val="0"/>
              <w:autoSpaceDE/>
              <w:autoSpaceDN/>
              <w:bidi w:val="0"/>
              <w:adjustRightInd w:val="0"/>
              <w:snapToGrid w:val="0"/>
              <w:spacing w:line="360" w:lineRule="auto"/>
              <w:ind w:firstLine="428" w:firstLineChars="200"/>
              <w:jc w:val="left"/>
              <w:textAlignment w:val="auto"/>
              <w:rPr>
                <w:rFonts w:hint="default"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t>综上所述，本项目的建设符合</w:t>
            </w:r>
            <w:r>
              <w:rPr>
                <w:rFonts w:hint="default" w:ascii="Times New Roman" w:hAnsi="Times New Roman" w:cs="Times New Roman"/>
                <w:vanish w:val="0"/>
                <w:color w:val="000000" w:themeColor="text1"/>
                <w:lang w:val="en-US" w:eastAsia="zh-CN"/>
                <w14:textFill>
                  <w14:solidFill>
                    <w14:schemeClr w14:val="tx1"/>
                  </w14:solidFill>
                </w14:textFill>
              </w:rPr>
              <w:t>《城镇污水处理厂污泥处理处置及污染防治技术政策》</w:t>
            </w:r>
            <w:r>
              <w:rPr>
                <w:rFonts w:hint="eastAsia" w:ascii="Times New Roman" w:hAnsi="Times New Roman" w:cs="Times New Roman"/>
                <w:vanish w:val="0"/>
                <w:color w:val="000000" w:themeColor="text1"/>
                <w:lang w:val="en-US" w:eastAsia="zh-CN"/>
                <w14:textFill>
                  <w14:solidFill>
                    <w14:schemeClr w14:val="tx1"/>
                  </w14:solidFill>
                </w14:textFill>
              </w:rPr>
              <w:t>等行业政策的要求。</w:t>
            </w:r>
          </w:p>
          <w:p w14:paraId="7C2B83AF">
            <w:pPr>
              <w:keepNext w:val="0"/>
              <w:keepLines w:val="0"/>
              <w:pageBreakBefore w:val="0"/>
              <w:widowControl w:val="0"/>
              <w:kinsoku/>
              <w:wordWrap/>
              <w:overflowPunct/>
              <w:topLinePunct w:val="0"/>
              <w:autoSpaceDE/>
              <w:autoSpaceDN/>
              <w:bidi w:val="0"/>
              <w:adjustRightInd w:val="0"/>
              <w:snapToGrid w:val="0"/>
              <w:spacing w:line="360" w:lineRule="auto"/>
              <w:ind w:firstLine="428" w:firstLineChars="200"/>
              <w:jc w:val="left"/>
              <w:textAlignment w:val="auto"/>
              <w:rPr>
                <w:rFonts w:hint="default"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t>3、本工程与相关</w:t>
            </w:r>
            <w:r>
              <w:rPr>
                <w:rFonts w:hint="eastAsia"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t>国家及地方</w:t>
            </w:r>
            <w:r>
              <w:rPr>
                <w:rFonts w:hint="default"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t>规划符合性分析见</w:t>
            </w:r>
            <w:r>
              <w:rPr>
                <w:rFonts w:hint="eastAsia"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t>下</w:t>
            </w:r>
            <w:r>
              <w:rPr>
                <w:rFonts w:hint="default"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t>表：</w:t>
            </w:r>
          </w:p>
          <w:p w14:paraId="412CD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nish w:val="0"/>
                <w:color w:val="000000" w:themeColor="text1"/>
                <w:szCs w:val="21"/>
                <w:lang w:val="en-US" w:eastAsia="zh-CN"/>
                <w14:textFill>
                  <w14:solidFill>
                    <w14:schemeClr w14:val="tx1"/>
                  </w14:solidFill>
                </w14:textFill>
              </w:rPr>
            </w:pPr>
            <w:r>
              <w:rPr>
                <w:rFonts w:hint="default" w:ascii="Times New Roman" w:hAnsi="Times New Roman" w:eastAsia="宋体" w:cs="Times New Roman"/>
                <w:b/>
                <w:bCs/>
                <w:vanish w:val="0"/>
                <w:color w:val="000000" w:themeColor="text1"/>
                <w:szCs w:val="21"/>
                <w:lang w:val="en-US" w:eastAsia="zh-CN"/>
                <w14:textFill>
                  <w14:solidFill>
                    <w14:schemeClr w14:val="tx1"/>
                  </w14:solidFill>
                </w14:textFill>
              </w:rPr>
              <w:t>表</w:t>
            </w:r>
            <w:r>
              <w:rPr>
                <w:rFonts w:hint="eastAsia" w:ascii="Times New Roman" w:hAnsi="Times New Roman" w:eastAsia="宋体" w:cs="Times New Roman"/>
                <w:b/>
                <w:bCs/>
                <w:vanish w:val="0"/>
                <w:color w:val="000000" w:themeColor="text1"/>
                <w:szCs w:val="21"/>
                <w:lang w:val="en-US" w:eastAsia="zh-CN"/>
                <w14:textFill>
                  <w14:solidFill>
                    <w14:schemeClr w14:val="tx1"/>
                  </w14:solidFill>
                </w14:textFill>
              </w:rPr>
              <w:t>1-</w:t>
            </w:r>
            <w:r>
              <w:rPr>
                <w:rFonts w:hint="eastAsia" w:cs="Times New Roman"/>
                <w:b/>
                <w:bCs/>
                <w:vanish w:val="0"/>
                <w:color w:val="000000" w:themeColor="text1"/>
                <w:szCs w:val="21"/>
                <w:lang w:val="en-US" w:eastAsia="zh-CN"/>
                <w14:textFill>
                  <w14:solidFill>
                    <w14:schemeClr w14:val="tx1"/>
                  </w14:solidFill>
                </w14:textFill>
              </w:rPr>
              <w:t>5</w:t>
            </w:r>
            <w:r>
              <w:rPr>
                <w:rFonts w:hint="default" w:ascii="Times New Roman" w:hAnsi="Times New Roman" w:eastAsia="宋体" w:cs="Times New Roman"/>
                <w:b/>
                <w:bCs/>
                <w:vanish w:val="0"/>
                <w:color w:val="000000" w:themeColor="text1"/>
                <w:szCs w:val="21"/>
                <w:lang w:val="en-US" w:eastAsia="zh-CN"/>
                <w14:textFill>
                  <w14:solidFill>
                    <w14:schemeClr w14:val="tx1"/>
                  </w14:solidFill>
                </w14:textFill>
              </w:rPr>
              <w:t xml:space="preserve">  与国家及地方政策相符性分析表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717"/>
              <w:gridCol w:w="2229"/>
              <w:gridCol w:w="475"/>
            </w:tblGrid>
            <w:tr w14:paraId="4BA7F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036" w:type="pct"/>
                  <w:tcBorders>
                    <w:tl2br w:val="nil"/>
                    <w:tr2bl w:val="nil"/>
                  </w:tcBorders>
                  <w:noWrap w:val="0"/>
                  <w:vAlign w:val="center"/>
                </w:tcPr>
                <w:p w14:paraId="6862C74E">
                  <w:pPr>
                    <w:pStyle w:val="65"/>
                    <w:bidi w:val="0"/>
                    <w:ind w:left="0" w:leftChars="0" w:right="0" w:rightChars="0" w:firstLine="0" w:firstLineChars="0"/>
                    <w:jc w:val="center"/>
                    <w:rPr>
                      <w:rFonts w:hint="default"/>
                      <w:b/>
                      <w:bCs/>
                      <w:vanish w:val="0"/>
                      <w:color w:val="000000" w:themeColor="text1"/>
                      <w:lang w:val="en-US" w:eastAsia="zh-CN"/>
                      <w14:textFill>
                        <w14:solidFill>
                          <w14:schemeClr w14:val="tx1"/>
                        </w14:solidFill>
                      </w14:textFill>
                    </w:rPr>
                  </w:pPr>
                  <w:r>
                    <w:rPr>
                      <w:rFonts w:hint="eastAsia"/>
                      <w:b/>
                      <w:bCs/>
                      <w:vanish w:val="0"/>
                      <w:color w:val="000000" w:themeColor="text1"/>
                      <w:lang w:val="en-US" w:eastAsia="zh-CN"/>
                      <w14:textFill>
                        <w14:solidFill>
                          <w14:schemeClr w14:val="tx1"/>
                        </w14:solidFill>
                      </w14:textFill>
                    </w:rPr>
                    <w:t>文件</w:t>
                  </w:r>
                </w:p>
              </w:tc>
              <w:tc>
                <w:tcPr>
                  <w:tcW w:w="1986" w:type="pct"/>
                  <w:tcBorders>
                    <w:tl2br w:val="nil"/>
                    <w:tr2bl w:val="nil"/>
                  </w:tcBorders>
                  <w:noWrap w:val="0"/>
                  <w:vAlign w:val="center"/>
                </w:tcPr>
                <w:p w14:paraId="5FEEAB38">
                  <w:pPr>
                    <w:pStyle w:val="65"/>
                    <w:bidi w:val="0"/>
                    <w:ind w:left="0" w:leftChars="0" w:right="0" w:rightChars="0" w:firstLine="0" w:firstLineChars="0"/>
                    <w:jc w:val="center"/>
                    <w:rPr>
                      <w:rFonts w:hint="default"/>
                      <w:b/>
                      <w:bCs/>
                      <w:vanish w:val="0"/>
                      <w:color w:val="000000" w:themeColor="text1"/>
                      <w:lang w:val="en-US" w:eastAsia="zh-CN"/>
                      <w14:textFill>
                        <w14:solidFill>
                          <w14:schemeClr w14:val="tx1"/>
                        </w14:solidFill>
                      </w14:textFill>
                    </w:rPr>
                  </w:pPr>
                  <w:r>
                    <w:rPr>
                      <w:rFonts w:hint="eastAsia"/>
                      <w:b/>
                      <w:bCs/>
                      <w:vanish w:val="0"/>
                      <w:color w:val="000000" w:themeColor="text1"/>
                      <w:lang w:val="en-US" w:eastAsia="zh-CN"/>
                      <w14:textFill>
                        <w14:solidFill>
                          <w14:schemeClr w14:val="tx1"/>
                        </w14:solidFill>
                      </w14:textFill>
                    </w:rPr>
                    <w:t>政策要求</w:t>
                  </w:r>
                </w:p>
              </w:tc>
              <w:tc>
                <w:tcPr>
                  <w:tcW w:w="1630" w:type="pct"/>
                  <w:tcBorders>
                    <w:tl2br w:val="nil"/>
                    <w:tr2bl w:val="nil"/>
                  </w:tcBorders>
                  <w:noWrap w:val="0"/>
                  <w:vAlign w:val="center"/>
                </w:tcPr>
                <w:p w14:paraId="1D0EA157">
                  <w:pPr>
                    <w:pStyle w:val="65"/>
                    <w:bidi w:val="0"/>
                    <w:ind w:left="0" w:leftChars="0" w:right="0" w:rightChars="0" w:firstLine="0" w:firstLineChars="0"/>
                    <w:jc w:val="center"/>
                    <w:rPr>
                      <w:rFonts w:hint="default"/>
                      <w:b/>
                      <w:bCs/>
                      <w:vanish w:val="0"/>
                      <w:color w:val="000000" w:themeColor="text1"/>
                      <w:lang w:val="en-US" w:eastAsia="zh-CN"/>
                      <w14:textFill>
                        <w14:solidFill>
                          <w14:schemeClr w14:val="tx1"/>
                        </w14:solidFill>
                      </w14:textFill>
                    </w:rPr>
                  </w:pPr>
                  <w:r>
                    <w:rPr>
                      <w:rFonts w:hint="eastAsia"/>
                      <w:b/>
                      <w:bCs/>
                      <w:vanish w:val="0"/>
                      <w:color w:val="000000" w:themeColor="text1"/>
                      <w:lang w:val="en-US" w:eastAsia="zh-CN"/>
                      <w14:textFill>
                        <w14:solidFill>
                          <w14:schemeClr w14:val="tx1"/>
                        </w14:solidFill>
                      </w14:textFill>
                    </w:rPr>
                    <w:t>本项目情况</w:t>
                  </w:r>
                </w:p>
              </w:tc>
              <w:tc>
                <w:tcPr>
                  <w:tcW w:w="347" w:type="pct"/>
                  <w:tcBorders>
                    <w:tl2br w:val="nil"/>
                    <w:tr2bl w:val="nil"/>
                  </w:tcBorders>
                  <w:noWrap w:val="0"/>
                  <w:vAlign w:val="center"/>
                </w:tcPr>
                <w:p w14:paraId="6634E511">
                  <w:pPr>
                    <w:pStyle w:val="65"/>
                    <w:bidi w:val="0"/>
                    <w:ind w:left="0" w:leftChars="0" w:right="0" w:rightChars="0" w:firstLine="0" w:firstLineChars="0"/>
                    <w:jc w:val="center"/>
                    <w:rPr>
                      <w:rFonts w:hint="default"/>
                      <w:b/>
                      <w:bCs/>
                      <w:vanish w:val="0"/>
                      <w:color w:val="000000" w:themeColor="text1"/>
                      <w:lang w:val="en-US" w:eastAsia="zh-CN"/>
                      <w14:textFill>
                        <w14:solidFill>
                          <w14:schemeClr w14:val="tx1"/>
                        </w14:solidFill>
                      </w14:textFill>
                    </w:rPr>
                  </w:pPr>
                  <w:r>
                    <w:rPr>
                      <w:rFonts w:hint="eastAsia"/>
                      <w:b/>
                      <w:bCs/>
                      <w:vanish w:val="0"/>
                      <w:color w:val="000000" w:themeColor="text1"/>
                      <w:lang w:val="en-US" w:eastAsia="zh-CN"/>
                      <w14:textFill>
                        <w14:solidFill>
                          <w14:schemeClr w14:val="tx1"/>
                        </w14:solidFill>
                      </w14:textFill>
                    </w:rPr>
                    <w:t>符合性</w:t>
                  </w:r>
                </w:p>
              </w:tc>
            </w:tr>
            <w:tr w14:paraId="10F7C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hidden/>
              </w:trPr>
              <w:tc>
                <w:tcPr>
                  <w:tcW w:w="1036" w:type="pct"/>
                  <w:vMerge w:val="restart"/>
                  <w:tcBorders>
                    <w:tl2br w:val="nil"/>
                    <w:tr2bl w:val="nil"/>
                  </w:tcBorders>
                  <w:noWrap w:val="0"/>
                  <w:vAlign w:val="center"/>
                </w:tcPr>
                <w:p w14:paraId="4AEC85A5">
                  <w:pPr>
                    <w:pStyle w:val="66"/>
                    <w:spacing w:line="240" w:lineRule="auto"/>
                    <w:ind w:left="0" w:leftChars="0" w:firstLine="0" w:firstLineChars="0"/>
                    <w:jc w:val="both"/>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《陕西省秦岭生态环境保护条例》</w:t>
                  </w:r>
                </w:p>
              </w:tc>
              <w:tc>
                <w:tcPr>
                  <w:tcW w:w="1986" w:type="pct"/>
                  <w:tcBorders>
                    <w:tl2br w:val="nil"/>
                    <w:tr2bl w:val="nil"/>
                  </w:tcBorders>
                  <w:noWrap w:val="0"/>
                  <w:vAlign w:val="center"/>
                </w:tcPr>
                <w:p w14:paraId="304D4EE6">
                  <w:pPr>
                    <w:pStyle w:val="66"/>
                    <w:spacing w:line="240" w:lineRule="auto"/>
                    <w:ind w:left="0" w:leftChars="0" w:firstLine="0" w:firstLineChars="0"/>
                    <w:jc w:val="both"/>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第五十五条进行各类建设项目，应当依法进行建设项目环境影响评价。建设项目环境影响评价文件未依法经审批部门审查或者审查后未予批准的，建设单位不得开工建设。</w:t>
                  </w:r>
                </w:p>
              </w:tc>
              <w:tc>
                <w:tcPr>
                  <w:tcW w:w="1630" w:type="pct"/>
                  <w:tcBorders>
                    <w:tl2br w:val="nil"/>
                    <w:tr2bl w:val="nil"/>
                  </w:tcBorders>
                  <w:noWrap w:val="0"/>
                  <w:vAlign w:val="center"/>
                </w:tcPr>
                <w:p w14:paraId="10E4E87B">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本项目已按规定进行环境影响评价报告表的编制，目前正在审批，尚未进行开工建设。</w:t>
                  </w:r>
                </w:p>
              </w:tc>
              <w:tc>
                <w:tcPr>
                  <w:tcW w:w="347" w:type="pct"/>
                  <w:vMerge w:val="restart"/>
                  <w:tcBorders>
                    <w:tl2br w:val="nil"/>
                    <w:tr2bl w:val="nil"/>
                  </w:tcBorders>
                  <w:noWrap w:val="0"/>
                  <w:vAlign w:val="center"/>
                </w:tcPr>
                <w:p w14:paraId="1FA4409A">
                  <w:pPr>
                    <w:pStyle w:val="65"/>
                    <w:bidi w:val="0"/>
                    <w:ind w:left="0" w:leftChars="0" w:right="0" w:rightChars="0" w:firstLine="0" w:firstLineChars="0"/>
                    <w:jc w:val="center"/>
                    <w:rPr>
                      <w:rFonts w:hint="eastAsia"/>
                      <w:b/>
                      <w:bCs/>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符合</w:t>
                  </w:r>
                </w:p>
              </w:tc>
            </w:tr>
            <w:tr w14:paraId="1BEF1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036" w:type="pct"/>
                  <w:vMerge w:val="continue"/>
                  <w:tcBorders>
                    <w:tl2br w:val="nil"/>
                    <w:tr2bl w:val="nil"/>
                  </w:tcBorders>
                  <w:noWrap w:val="0"/>
                  <w:vAlign w:val="center"/>
                </w:tcPr>
                <w:p w14:paraId="10727A08">
                  <w:pPr>
                    <w:pStyle w:val="65"/>
                    <w:bidi w:val="0"/>
                    <w:ind w:left="0" w:leftChars="0" w:right="0" w:rightChars="0" w:firstLine="0" w:firstLineChars="0"/>
                    <w:jc w:val="center"/>
                    <w:rPr>
                      <w:rFonts w:hint="default" w:ascii="Times New Roman" w:hAnsi="Times New Roman" w:eastAsia="宋体" w:cs="Times New Roman"/>
                      <w:vanish w:val="0"/>
                      <w:color w:val="000000" w:themeColor="text1"/>
                      <w:sz w:val="21"/>
                      <w:szCs w:val="21"/>
                      <w:highlight w:val="yellow"/>
                      <w:vertAlign w:val="baseline"/>
                      <w:lang w:val="en-US" w:eastAsia="zh-CN"/>
                      <w14:textFill>
                        <w14:solidFill>
                          <w14:schemeClr w14:val="tx1"/>
                        </w14:solidFill>
                      </w14:textFill>
                    </w:rPr>
                  </w:pPr>
                </w:p>
              </w:tc>
              <w:tc>
                <w:tcPr>
                  <w:tcW w:w="1986" w:type="pct"/>
                  <w:tcBorders>
                    <w:tl2br w:val="nil"/>
                    <w:tr2bl w:val="nil"/>
                  </w:tcBorders>
                  <w:noWrap w:val="0"/>
                  <w:vAlign w:val="center"/>
                </w:tcPr>
                <w:p w14:paraId="12E464AF">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第五十七条秦岭范围内的城镇应当建设、完善生活污水处理、生活垃圾无害化处理、供排水等公共设施。</w:t>
                  </w:r>
                </w:p>
              </w:tc>
              <w:tc>
                <w:tcPr>
                  <w:tcW w:w="1630" w:type="pct"/>
                  <w:tcBorders>
                    <w:tl2br w:val="nil"/>
                    <w:tr2bl w:val="nil"/>
                  </w:tcBorders>
                  <w:noWrap w:val="0"/>
                  <w:vAlign w:val="center"/>
                </w:tcPr>
                <w:p w14:paraId="5B01E50C">
                  <w:pPr>
                    <w:pStyle w:val="66"/>
                    <w:spacing w:line="240" w:lineRule="auto"/>
                    <w:ind w:left="0" w:leftChars="0" w:firstLine="0" w:firstLineChars="0"/>
                    <w:jc w:val="both"/>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本</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项目主要为</w:t>
                  </w:r>
                  <w:r>
                    <w:rPr>
                      <w:rFonts w:hint="eastAsia" w:cs="Times New Roman"/>
                      <w:b w:val="0"/>
                      <w:bCs w:val="0"/>
                      <w:vanish w:val="0"/>
                      <w:color w:val="000000" w:themeColor="text1"/>
                      <w:kern w:val="0"/>
                      <w:sz w:val="21"/>
                      <w:szCs w:val="21"/>
                      <w:lang w:val="en-US" w:eastAsia="zh-CN" w:bidi="ar"/>
                      <w14:textFill>
                        <w14:solidFill>
                          <w14:schemeClr w14:val="tx1"/>
                        </w14:solidFill>
                      </w14:textFill>
                    </w:rPr>
                    <w:t>太白县</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桃川镇规模化供水工程，为桃川镇6个行政村供水，符合规划要求。</w:t>
                  </w:r>
                </w:p>
              </w:tc>
              <w:tc>
                <w:tcPr>
                  <w:tcW w:w="347" w:type="pct"/>
                  <w:vMerge w:val="continue"/>
                  <w:tcBorders>
                    <w:tl2br w:val="nil"/>
                    <w:tr2bl w:val="nil"/>
                  </w:tcBorders>
                  <w:noWrap w:val="0"/>
                  <w:vAlign w:val="center"/>
                </w:tcPr>
                <w:p w14:paraId="6D6FAAED">
                  <w:pPr>
                    <w:pStyle w:val="65"/>
                    <w:bidi w:val="0"/>
                    <w:ind w:left="0" w:leftChars="0" w:right="0" w:rightChars="0" w:firstLine="0" w:firstLineChars="0"/>
                    <w:jc w:val="center"/>
                    <w:rPr>
                      <w:rFonts w:hint="eastAsia"/>
                      <w:b/>
                      <w:bCs/>
                      <w:vanish w:val="0"/>
                      <w:color w:val="000000" w:themeColor="text1"/>
                      <w:lang w:val="en-US" w:eastAsia="zh-CN"/>
                      <w14:textFill>
                        <w14:solidFill>
                          <w14:schemeClr w14:val="tx1"/>
                        </w14:solidFill>
                      </w14:textFill>
                    </w:rPr>
                  </w:pPr>
                </w:p>
              </w:tc>
            </w:tr>
            <w:tr w14:paraId="22DED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036" w:type="pct"/>
                  <w:tcBorders>
                    <w:tl2br w:val="nil"/>
                    <w:tr2bl w:val="nil"/>
                  </w:tcBorders>
                  <w:noWrap w:val="0"/>
                  <w:vAlign w:val="center"/>
                </w:tcPr>
                <w:p w14:paraId="7AF6FE76">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《陕西省秦岭重点保护区一般保护区产业准入清单（试行</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p>
              </w:tc>
              <w:tc>
                <w:tcPr>
                  <w:tcW w:w="1986" w:type="pct"/>
                  <w:tcBorders>
                    <w:tl2br w:val="nil"/>
                    <w:tr2bl w:val="nil"/>
                  </w:tcBorders>
                  <w:noWrap w:val="0"/>
                  <w:vAlign w:val="center"/>
                </w:tcPr>
                <w:p w14:paraId="06C35509">
                  <w:pPr>
                    <w:pStyle w:val="66"/>
                    <w:spacing w:line="240" w:lineRule="auto"/>
                    <w:ind w:left="0" w:leftChars="0" w:firstLine="0" w:firstLineChars="0"/>
                    <w:jc w:val="both"/>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3.项目选址应符合国土空间、水利等相关规划，满足自然保护地建设项目准入负面清单和生态保护红线要求，落实生态环境保护措施。</w:t>
                  </w:r>
                </w:p>
              </w:tc>
              <w:tc>
                <w:tcPr>
                  <w:tcW w:w="1630" w:type="pct"/>
                  <w:tcBorders>
                    <w:tl2br w:val="nil"/>
                    <w:tr2bl w:val="nil"/>
                  </w:tcBorders>
                  <w:noWrap w:val="0"/>
                  <w:vAlign w:val="center"/>
                </w:tcPr>
                <w:p w14:paraId="06F6A6DC">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本项目选址符合国土空间规划，满足自然保护地建设项目准入负面清单和生态保护红线要求，生态环境影响主要为施工期产生的施工影响，在实施环保措施后对环境影响较小。</w:t>
                  </w:r>
                </w:p>
              </w:tc>
              <w:tc>
                <w:tcPr>
                  <w:tcW w:w="347" w:type="pct"/>
                  <w:tcBorders>
                    <w:tl2br w:val="nil"/>
                    <w:tr2bl w:val="nil"/>
                  </w:tcBorders>
                  <w:noWrap w:val="0"/>
                  <w:vAlign w:val="center"/>
                </w:tcPr>
                <w:p w14:paraId="3793118D">
                  <w:pPr>
                    <w:pStyle w:val="65"/>
                    <w:bidi w:val="0"/>
                    <w:ind w:left="0" w:leftChars="0" w:right="0" w:rightChars="0" w:firstLine="0" w:firstLineChars="0"/>
                    <w:jc w:val="center"/>
                    <w:rPr>
                      <w:rFonts w:hint="eastAsia"/>
                      <w:b/>
                      <w:bCs/>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符合</w:t>
                  </w:r>
                </w:p>
              </w:tc>
            </w:tr>
            <w:tr w14:paraId="01E29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036" w:type="pct"/>
                  <w:tcBorders>
                    <w:tl2br w:val="nil"/>
                    <w:tr2bl w:val="nil"/>
                  </w:tcBorders>
                  <w:noWrap w:val="0"/>
                  <w:vAlign w:val="center"/>
                </w:tcPr>
                <w:p w14:paraId="1BA4146C">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《宝鸡市人民政府办公室关于印发秦岭生态环境保护规划的通知》</w:t>
                  </w:r>
                </w:p>
              </w:tc>
              <w:tc>
                <w:tcPr>
                  <w:tcW w:w="1986" w:type="pct"/>
                  <w:tcBorders>
                    <w:tl2br w:val="nil"/>
                    <w:tr2bl w:val="nil"/>
                  </w:tcBorders>
                  <w:noWrap w:val="0"/>
                  <w:vAlign w:val="center"/>
                </w:tcPr>
                <w:p w14:paraId="18EAC002">
                  <w:pPr>
                    <w:pStyle w:val="66"/>
                    <w:spacing w:line="240" w:lineRule="auto"/>
                    <w:ind w:left="0" w:leftChars="0" w:firstLine="0" w:firstLineChars="0"/>
                    <w:jc w:val="both"/>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完善生活污水处理、生活垃圾无害化处理、供排水等公共设施。</w:t>
                  </w:r>
                </w:p>
              </w:tc>
              <w:tc>
                <w:tcPr>
                  <w:tcW w:w="1630" w:type="pct"/>
                  <w:tcBorders>
                    <w:tl2br w:val="nil"/>
                    <w:tr2bl w:val="nil"/>
                  </w:tcBorders>
                  <w:noWrap w:val="0"/>
                  <w:vAlign w:val="center"/>
                </w:tcPr>
                <w:p w14:paraId="02AB14C8">
                  <w:pPr>
                    <w:pStyle w:val="66"/>
                    <w:spacing w:line="240" w:lineRule="auto"/>
                    <w:ind w:left="0" w:leftChars="0" w:firstLine="0" w:firstLineChars="0"/>
                    <w:jc w:val="both"/>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工程建成后，</w:t>
                  </w:r>
                  <w:r>
                    <w:rPr>
                      <w:rFonts w:hint="eastAsia"/>
                      <w:vanish w:val="0"/>
                      <w:color w:val="000000" w:themeColor="text1"/>
                      <w:sz w:val="21"/>
                      <w:szCs w:val="21"/>
                      <w:lang w:val="en-US" w:eastAsia="zh-CN"/>
                      <w14:textFill>
                        <w14:solidFill>
                          <w14:schemeClr w14:val="tx1"/>
                        </w14:solidFill>
                      </w14:textFill>
                    </w:rPr>
                    <w:t>为桃川镇6个行政村供水，</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符合规划要求。</w:t>
                  </w:r>
                </w:p>
              </w:tc>
              <w:tc>
                <w:tcPr>
                  <w:tcW w:w="347" w:type="pct"/>
                  <w:tcBorders>
                    <w:tl2br w:val="nil"/>
                    <w:tr2bl w:val="nil"/>
                  </w:tcBorders>
                  <w:noWrap w:val="0"/>
                  <w:vAlign w:val="center"/>
                </w:tcPr>
                <w:p w14:paraId="285D2724">
                  <w:pPr>
                    <w:pStyle w:val="65"/>
                    <w:bidi w:val="0"/>
                    <w:ind w:left="0" w:leftChars="0" w:right="0" w:rightChars="0" w:firstLine="0" w:firstLineChars="0"/>
                    <w:jc w:val="center"/>
                    <w:rPr>
                      <w:rFonts w:hint="eastAsia"/>
                      <w:b/>
                      <w:bCs/>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符合</w:t>
                  </w:r>
                </w:p>
              </w:tc>
            </w:tr>
            <w:tr w14:paraId="38439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036" w:type="pct"/>
                  <w:tcBorders>
                    <w:tl2br w:val="nil"/>
                    <w:tr2bl w:val="nil"/>
                  </w:tcBorders>
                  <w:noWrap w:val="0"/>
                  <w:vAlign w:val="center"/>
                </w:tcPr>
                <w:p w14:paraId="73A65CE2">
                  <w:pPr>
                    <w:pStyle w:val="66"/>
                    <w:spacing w:line="240" w:lineRule="auto"/>
                    <w:ind w:left="0" w:leftChars="0" w:firstLine="0" w:firstLineChars="0"/>
                    <w:jc w:val="cente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《陕西省石头河水库引水系统保护管理办法》</w:t>
                  </w:r>
                </w:p>
                <w:p w14:paraId="1904683D">
                  <w:pPr>
                    <w:pStyle w:val="66"/>
                    <w:spacing w:line="240" w:lineRule="auto"/>
                    <w:ind w:left="0" w:leftChars="0" w:firstLine="0" w:firstLineChars="0"/>
                    <w:jc w:val="cente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2008年12月24日陕西省人民政府令第137号公布自2009年2月1日起施行</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p>
              </w:tc>
              <w:tc>
                <w:tcPr>
                  <w:tcW w:w="1986" w:type="pct"/>
                  <w:tcBorders>
                    <w:tl2br w:val="nil"/>
                    <w:tr2bl w:val="nil"/>
                  </w:tcBorders>
                  <w:noWrap w:val="0"/>
                  <w:vAlign w:val="center"/>
                </w:tcPr>
                <w:p w14:paraId="36B17EDA">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第十三条石头河水库水源保护区分为一级保护区、二级保护区和准保护区：</w:t>
                  </w:r>
                </w:p>
                <w:p w14:paraId="6D576A28">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（一</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一级保护区：石头河水库正常水位线外延100米的陆域以及库区全部水域；</w:t>
                  </w:r>
                </w:p>
                <w:p w14:paraId="49B2CACD">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（二</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二级保护区：一级保护区上界以外向水坡区域或者上界外延300米的陆域，以及流入水库的河流入口起至引红济石取水口并上溯2000米的水域及其两侧河岸外延200米的陆域；</w:t>
                  </w:r>
                </w:p>
                <w:p w14:paraId="2860F680">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（三</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准保护区：二级保护区上界以外的石头河水库流域</w:t>
                  </w:r>
                </w:p>
                <w:p w14:paraId="4441046F">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第十四条石头河水库水源保护区内禁止下列行为：</w:t>
                  </w:r>
                </w:p>
                <w:p w14:paraId="73B0F29E">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（一</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破坏水源涵养林、护岸林以及与水源保护相关的植被；</w:t>
                  </w:r>
                </w:p>
                <w:p w14:paraId="77FC5EFD">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（二</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向水域倾倒工业废渣、垃圾、粪便以及其他废弃物；</w:t>
                  </w:r>
                </w:p>
                <w:p w14:paraId="72267AA8">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（三</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使用剧毒、高残留农药；</w:t>
                  </w:r>
                </w:p>
                <w:p w14:paraId="6BD6C0FB">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（四</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使用炸药、毒药捕杀鱼类和其他生物；</w:t>
                  </w:r>
                </w:p>
                <w:p w14:paraId="0CC0FF2D">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（五</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建设严重污染水环境以及无水污染防治措施的小型化学制纸浆、印染、制革、电镀、炼油、农药等项目。</w:t>
                  </w:r>
                </w:p>
              </w:tc>
              <w:tc>
                <w:tcPr>
                  <w:tcW w:w="1630" w:type="pct"/>
                  <w:tcBorders>
                    <w:tl2br w:val="nil"/>
                    <w:tr2bl w:val="nil"/>
                  </w:tcBorders>
                  <w:noWrap w:val="0"/>
                  <w:vAlign w:val="center"/>
                </w:tcPr>
                <w:p w14:paraId="33D175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项目供水线路</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及水厂</w:t>
                  </w:r>
                </w:p>
                <w:p w14:paraId="33C0CB00">
                  <w:pPr>
                    <w:pStyle w:val="66"/>
                    <w:spacing w:line="240" w:lineRule="auto"/>
                    <w:ind w:left="0" w:leftChars="0" w:firstLine="0" w:firstLineChars="0"/>
                    <w:jc w:val="left"/>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位于石头河水源二级保护区范围内，</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项目为新建供水设施项目，不涉及石头河水库水源保护区所列禁止行为。</w:t>
                  </w:r>
                </w:p>
              </w:tc>
              <w:tc>
                <w:tcPr>
                  <w:tcW w:w="347" w:type="pct"/>
                  <w:tcBorders>
                    <w:tl2br w:val="nil"/>
                    <w:tr2bl w:val="nil"/>
                  </w:tcBorders>
                  <w:noWrap w:val="0"/>
                  <w:vAlign w:val="center"/>
                </w:tcPr>
                <w:p w14:paraId="3352389E">
                  <w:pPr>
                    <w:pStyle w:val="65"/>
                    <w:bidi w:val="0"/>
                    <w:ind w:left="0" w:leftChars="0" w:right="0" w:rightChars="0" w:firstLine="0" w:firstLineChars="0"/>
                    <w:jc w:val="center"/>
                    <w:rPr>
                      <w:rFonts w:hint="eastAsia"/>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符合</w:t>
                  </w:r>
                </w:p>
              </w:tc>
            </w:tr>
            <w:tr w14:paraId="2650A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036" w:type="pct"/>
                  <w:tcBorders>
                    <w:tl2br w:val="nil"/>
                    <w:tr2bl w:val="nil"/>
                  </w:tcBorders>
                  <w:noWrap w:val="0"/>
                  <w:vAlign w:val="center"/>
                </w:tcPr>
                <w:p w14:paraId="26B1C332">
                  <w:pPr>
                    <w:pStyle w:val="65"/>
                    <w:bidi w:val="0"/>
                    <w:ind w:left="0" w:leftChars="0" w:right="0" w:rightChars="0" w:firstLine="0" w:firstLineChars="0"/>
                    <w:jc w:val="cente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《宝鸡市秦岭保护规划》（宝政办发〔2020〕51号</w:t>
                  </w:r>
                  <w:r>
                    <w:rPr>
                      <w:rFonts w:hint="eastAsia" w:eastAsia="宋体" w:cs="Times New Roman"/>
                      <w:b w:val="0"/>
                      <w:bCs w:val="0"/>
                      <w:vanish w:val="0"/>
                      <w:color w:val="000000" w:themeColor="text1"/>
                      <w:kern w:val="0"/>
                      <w:sz w:val="21"/>
                      <w:szCs w:val="21"/>
                      <w:lang w:val="en-US" w:eastAsia="zh-CN" w:bidi="ar"/>
                      <w14:textFill>
                        <w14:solidFill>
                          <w14:schemeClr w14:val="tx1"/>
                        </w14:solidFill>
                      </w14:textFill>
                    </w:rPr>
                    <w:t>）</w:t>
                  </w:r>
                </w:p>
              </w:tc>
              <w:tc>
                <w:tcPr>
                  <w:tcW w:w="1986" w:type="pct"/>
                  <w:tcBorders>
                    <w:tl2br w:val="nil"/>
                    <w:tr2bl w:val="nil"/>
                  </w:tcBorders>
                  <w:noWrap w:val="0"/>
                  <w:vAlign w:val="center"/>
                </w:tcPr>
                <w:p w14:paraId="26834F91">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除《条例》另有规定外，核心保护区不得进行与生态保护、科学研究无关的活动。</w:t>
                  </w:r>
                </w:p>
                <w:p w14:paraId="2947164A">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重点保护区不得进行与其保护功能不相符的开发建设活动，依法禁止房地产开发，禁止新建水电站，禁止新建、扩建、异地重建宗教活动场所，禁止勘探、开发矿产资源和开山采石，严格执行重点保护区产业准入清单制度。</w:t>
                  </w:r>
                </w:p>
                <w:p w14:paraId="0F6D8A82">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禁止在一级饮用水水源地保护区建设与供水设施和保护水源无关的项目，关闭污水排放口，搬迁工业企业，清除工业废渣和生活垃圾。限期关闭二级饮用水水源地保护区内的直接排污口，坚决取缔严重污染水质的网箱养殖、农家乐、旅游垂钓等活动，禁止新建、改建、扩建向水域排放污染物的建设项目，稳步推进水源地保护区内移民搬迁。</w:t>
                  </w:r>
                </w:p>
                <w:p w14:paraId="70740F18">
                  <w:pPr>
                    <w:pStyle w:val="66"/>
                    <w:spacing w:line="240" w:lineRule="auto"/>
                    <w:ind w:left="0" w:leftChars="0" w:firstLine="0" w:firstLineChars="0"/>
                    <w:jc w:val="both"/>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按照《陕西省秦岭生态保护红线评估调整工作实施方案》要求，宝鸡秦岭范围核心保护区、重点保护区全部划入生态保护红线，分区保护规定与生态保护红线有关规定不一致的，按照从严管理的原则执行。</w:t>
                  </w:r>
                </w:p>
              </w:tc>
              <w:tc>
                <w:tcPr>
                  <w:tcW w:w="1630" w:type="pct"/>
                  <w:tcBorders>
                    <w:tl2br w:val="nil"/>
                    <w:tr2bl w:val="nil"/>
                  </w:tcBorders>
                  <w:noWrap w:val="0"/>
                  <w:vAlign w:val="center"/>
                </w:tcPr>
                <w:p w14:paraId="09CF09C5">
                  <w:pPr>
                    <w:pStyle w:val="66"/>
                    <w:spacing w:line="240" w:lineRule="auto"/>
                    <w:ind w:left="0" w:leftChars="0" w:firstLine="0" w:firstLineChars="0"/>
                    <w:jc w:val="left"/>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按照该规划《太白县秦岭生态环境保护分区示意图》可知，本项目供水管线</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以及水厂均位于一般控制区，</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符合陕西省秦岭生态保护条例，根据《陕西省秦岭重点保护区一般保护区产业准入清单》，为</w:t>
                  </w:r>
                  <w:r>
                    <w:rPr>
                      <w:rFonts w:hint="eastAsia"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46水的生产和供应1农村安全饮水工程、城乡饮用水水源工程</w:t>
                  </w:r>
                  <w:r>
                    <w:rPr>
                      <w:rFonts w:hint="eastAsia" w:cs="Times New Roman"/>
                      <w:b w:val="0"/>
                      <w:bCs w:val="0"/>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，项目在秦岭重点保护区产业允许目录之内，符合要求。</w:t>
                  </w:r>
                </w:p>
                <w:p w14:paraId="133C3DB4">
                  <w:pPr>
                    <w:pStyle w:val="66"/>
                    <w:spacing w:line="240" w:lineRule="auto"/>
                    <w:ind w:left="0" w:leftChars="0" w:firstLine="0" w:firstLineChars="0"/>
                    <w:jc w:val="left"/>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项目为供水管线建设，施工期严格各项环保措施，不会降低秦岭保护区生态功能。</w:t>
                  </w:r>
                </w:p>
                <w:p w14:paraId="7CBCAA4D">
                  <w:pPr>
                    <w:pStyle w:val="66"/>
                    <w:spacing w:line="240" w:lineRule="auto"/>
                    <w:ind w:left="0" w:leftChars="0" w:firstLine="0" w:firstLineChars="0"/>
                    <w:jc w:val="left"/>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项目管线</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以及水厂</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位于石头河水库水源的</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二级</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保护区内</w:t>
                  </w:r>
                  <w:r>
                    <w:rPr>
                      <w:rFonts w:hint="eastAsia"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，项目为供水设施项目，符合保护区相关规定</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w:t>
                  </w:r>
                </w:p>
              </w:tc>
              <w:tc>
                <w:tcPr>
                  <w:tcW w:w="347" w:type="pct"/>
                  <w:tcBorders>
                    <w:tl2br w:val="nil"/>
                    <w:tr2bl w:val="nil"/>
                  </w:tcBorders>
                  <w:noWrap w:val="0"/>
                  <w:vAlign w:val="center"/>
                </w:tcPr>
                <w:p w14:paraId="7EF6F436">
                  <w:pPr>
                    <w:pStyle w:val="65"/>
                    <w:bidi w:val="0"/>
                    <w:ind w:left="0" w:leftChars="0" w:right="0" w:rightChars="0" w:firstLine="0" w:firstLineChars="0"/>
                    <w:jc w:val="center"/>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符合</w:t>
                  </w:r>
                </w:p>
              </w:tc>
            </w:tr>
            <w:tr w14:paraId="6C2C7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hidden/>
              </w:trPr>
              <w:tc>
                <w:tcPr>
                  <w:tcW w:w="1036" w:type="pct"/>
                  <w:tcBorders>
                    <w:tl2br w:val="nil"/>
                    <w:tr2bl w:val="nil"/>
                  </w:tcBorders>
                  <w:noWrap w:val="0"/>
                  <w:vAlign w:val="center"/>
                </w:tcPr>
                <w:p w14:paraId="1C82FBAD">
                  <w:pPr>
                    <w:pStyle w:val="65"/>
                    <w:bidi w:val="0"/>
                    <w:ind w:left="0" w:leftChars="0" w:right="0" w:rightChars="0" w:firstLine="0" w:firstLineChars="0"/>
                    <w:jc w:val="center"/>
                    <w:rPr>
                      <w:rFonts w:hint="default" w:ascii="Times New Roman" w:hAnsi="Times New Roman" w:eastAsia="宋体" w:cs="Times New Roman"/>
                      <w:b w:val="0"/>
                      <w:bCs w:val="0"/>
                      <w:vanish w:val="0"/>
                      <w:color w:val="000000" w:themeColor="text1"/>
                      <w:sz w:val="21"/>
                      <w:szCs w:val="24"/>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《宝鸡市大气污染治理专项行动方案（2023-2027年）》</w:t>
                  </w:r>
                </w:p>
              </w:tc>
              <w:tc>
                <w:tcPr>
                  <w:tcW w:w="1986" w:type="pct"/>
                  <w:tcBorders>
                    <w:tl2br w:val="nil"/>
                    <w:tr2bl w:val="nil"/>
                  </w:tcBorders>
                  <w:noWrap w:val="0"/>
                  <w:vAlign w:val="center"/>
                </w:tcPr>
                <w:p w14:paraId="04822A08">
                  <w:pPr>
                    <w:pStyle w:val="65"/>
                    <w:numPr>
                      <w:ilvl w:val="0"/>
                      <w:numId w:val="0"/>
                    </w:numPr>
                    <w:bidi w:val="0"/>
                    <w:ind w:left="0" w:leftChars="0" w:firstLine="0" w:firstLineChars="0"/>
                    <w:jc w:val="left"/>
                    <w:rPr>
                      <w:rFonts w:hint="default" w:ascii="Times New Roman" w:hAnsi="Times New Roman" w:eastAsia="宋体" w:cs="Times New Roman"/>
                      <w:b w:val="0"/>
                      <w:bCs w:val="0"/>
                      <w:vanish w:val="0"/>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扬尘治理工程。严格执行施工场地</w:t>
                  </w:r>
                  <w:r>
                    <w:rPr>
                      <w:rFonts w:hint="eastAsia"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六个百分百</w:t>
                  </w:r>
                  <w:r>
                    <w:rPr>
                      <w:rFonts w:hint="eastAsia"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，施工</w:t>
                  </w:r>
                  <w:r>
                    <w:rPr>
                      <w:rFonts w:hint="eastAsia" w:ascii="Times New Roman" w:hAnsi="Times New Roman" w:eastAsia="宋体" w:cs="Times New Roman"/>
                      <w:vanish w:val="0"/>
                      <w:color w:val="000000" w:themeColor="text1"/>
                      <w:lang w:val="en-US" w:eastAsia="zh-CN"/>
                      <w14:textFill>
                        <w14:solidFill>
                          <w14:schemeClr w14:val="tx1"/>
                        </w14:solidFill>
                      </w14:textFill>
                    </w:rPr>
                    <w:t>场地</w:t>
                  </w:r>
                  <w:r>
                    <w:rPr>
                      <w:rFonts w:hint="default" w:ascii="Times New Roman" w:hAnsi="Times New Roman" w:eastAsia="宋体" w:cs="Times New Roman"/>
                      <w:vanish w:val="0"/>
                      <w:color w:val="000000" w:themeColor="text1"/>
                      <w:lang w:val="en-US" w:eastAsia="zh-CN"/>
                      <w14:textFill>
                        <w14:solidFill>
                          <w14:schemeClr w14:val="tx1"/>
                        </w14:solidFill>
                      </w14:textFill>
                    </w:rPr>
                    <w:t>扬尘排放超过《施工场界扬尘排放限值（DB61/1078-2017</w:t>
                  </w:r>
                  <w:r>
                    <w:rPr>
                      <w:rFonts w:hint="eastAsia"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》的立即停工整改。强化渣土车辆运输管理，依法从严查处无证运输、冒尖运输、不按规定路线和时间运输、带泥上路、沿街</w:t>
                  </w:r>
                  <w:r>
                    <w:rPr>
                      <w:rFonts w:hint="eastAsia" w:cs="Times New Roman"/>
                      <w:vanish w:val="0"/>
                      <w:color w:val="000000" w:themeColor="text1"/>
                      <w:lang w:val="en-US" w:eastAsia="zh-CN"/>
                      <w14:textFill>
                        <w14:solidFill>
                          <w14:schemeClr w14:val="tx1"/>
                        </w14:solidFill>
                      </w14:textFill>
                    </w:rPr>
                    <w:t>抛撒</w:t>
                  </w:r>
                  <w:r>
                    <w:rPr>
                      <w:rFonts w:hint="default" w:ascii="Times New Roman" w:hAnsi="Times New Roman" w:eastAsia="宋体" w:cs="Times New Roman"/>
                      <w:vanish w:val="0"/>
                      <w:color w:val="000000" w:themeColor="text1"/>
                      <w:lang w:val="en-US" w:eastAsia="zh-CN"/>
                      <w14:textFill>
                        <w14:solidFill>
                          <w14:schemeClr w14:val="tx1"/>
                        </w14:solidFill>
                      </w14:textFill>
                    </w:rPr>
                    <w:t>等行为。严禁露天装卸作业和物料干法作业。</w:t>
                  </w:r>
                </w:p>
              </w:tc>
              <w:tc>
                <w:tcPr>
                  <w:tcW w:w="1630" w:type="pct"/>
                  <w:tcBorders>
                    <w:tl2br w:val="nil"/>
                    <w:tr2bl w:val="nil"/>
                  </w:tcBorders>
                  <w:noWrap w:val="0"/>
                  <w:vAlign w:val="center"/>
                </w:tcPr>
                <w:p w14:paraId="3370C014">
                  <w:pPr>
                    <w:pStyle w:val="66"/>
                    <w:spacing w:line="240" w:lineRule="auto"/>
                    <w:ind w:left="0" w:leftChars="0" w:firstLine="0" w:firstLineChars="0"/>
                    <w:jc w:val="center"/>
                    <w:rPr>
                      <w:rFonts w:hint="eastAsia" w:ascii="Times New Roman" w:hAnsi="Times New Roman" w:eastAsia="宋体" w:cs="Times New Roman"/>
                      <w:vanish w:val="0"/>
                      <w:color w:val="000000" w:themeColor="text1"/>
                      <w:kern w:val="2"/>
                      <w:sz w:val="24"/>
                      <w:szCs w:val="24"/>
                      <w:lang w:val="en-US" w:eastAsia="zh-CN" w:bidi="ar-SA"/>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在项目</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施工过</w:t>
                  </w:r>
                  <w:r>
                    <w:rPr>
                      <w:rFonts w:hint="eastAsia" w:cs="Times New Roman"/>
                      <w:vanish w:val="0"/>
                      <w:color w:val="000000" w:themeColor="text1"/>
                      <w:sz w:val="21"/>
                      <w:szCs w:val="21"/>
                      <w:highlight w:val="none"/>
                      <w:lang w:val="en-US" w:eastAsia="zh-CN"/>
                      <w14:textFill>
                        <w14:solidFill>
                          <w14:schemeClr w14:val="tx1"/>
                        </w14:solidFill>
                      </w14:textFill>
                    </w:rPr>
                    <w:t>程中</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确保</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施工</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场地</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扬尘排放</w:t>
                  </w:r>
                  <w:r>
                    <w:rPr>
                      <w:rFonts w:hint="default" w:ascii="Times New Roman" w:hAnsi="Times New Roman" w:cs="Times New Roman"/>
                      <w:vanish w:val="0"/>
                      <w:color w:val="000000" w:themeColor="text1"/>
                      <w:kern w:val="0"/>
                      <w:sz w:val="21"/>
                      <w:szCs w:val="21"/>
                      <w:lang w:val="en-US" w:eastAsia="zh-CN" w:bidi="ar"/>
                      <w14:textFill>
                        <w14:solidFill>
                          <w14:schemeClr w14:val="tx1"/>
                        </w14:solidFill>
                      </w14:textFill>
                    </w:rPr>
                    <w:t>低于</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《施工场界扬尘排放限值（DB61/1078-2017</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vanish w:val="0"/>
                      <w:color w:val="000000" w:themeColor="text1"/>
                      <w:kern w:val="0"/>
                      <w:sz w:val="21"/>
                      <w:szCs w:val="21"/>
                      <w:lang w:val="en-US" w:eastAsia="zh-CN" w:bidi="ar"/>
                      <w14:textFill>
                        <w14:solidFill>
                          <w14:schemeClr w14:val="tx1"/>
                        </w14:solidFill>
                      </w14:textFill>
                    </w:rPr>
                    <w:t>；</w:t>
                  </w:r>
                  <w:r>
                    <w:rPr>
                      <w:rFonts w:hint="eastAsia" w:cs="Times New Roman"/>
                      <w:vanish w:val="0"/>
                      <w:color w:val="000000" w:themeColor="text1"/>
                      <w:kern w:val="0"/>
                      <w:sz w:val="21"/>
                      <w:szCs w:val="21"/>
                      <w:lang w:val="en-US" w:eastAsia="zh-CN" w:bidi="ar"/>
                      <w14:textFill>
                        <w14:solidFill>
                          <w14:schemeClr w14:val="tx1"/>
                        </w14:solidFill>
                      </w14:textFill>
                    </w:rPr>
                    <w:t>对项目</w:t>
                  </w:r>
                  <w:r>
                    <w:rPr>
                      <w:rFonts w:hint="default" w:ascii="Times New Roman" w:hAnsi="Times New Roman" w:cs="Times New Roman"/>
                      <w:vanish w:val="0"/>
                      <w:color w:val="000000" w:themeColor="text1"/>
                      <w:kern w:val="0"/>
                      <w:sz w:val="21"/>
                      <w:szCs w:val="21"/>
                      <w:lang w:val="en-US" w:eastAsia="zh-CN" w:bidi="ar"/>
                      <w14:textFill>
                        <w14:solidFill>
                          <w14:schemeClr w14:val="tx1"/>
                        </w14:solidFill>
                      </w14:textFill>
                    </w:rPr>
                    <w:t>运输车辆定期清洗，物料运输按规定路线及时间，并做好遮盖；项目装卸均在仓内</w:t>
                  </w:r>
                  <w:r>
                    <w:rPr>
                      <w:rFonts w:hint="eastAsia" w:cs="Times New Roman"/>
                      <w:vanish w:val="0"/>
                      <w:color w:val="000000" w:themeColor="text1"/>
                      <w:kern w:val="0"/>
                      <w:sz w:val="21"/>
                      <w:szCs w:val="21"/>
                      <w:lang w:val="en-US" w:eastAsia="zh-CN" w:bidi="ar"/>
                      <w14:textFill>
                        <w14:solidFill>
                          <w14:schemeClr w14:val="tx1"/>
                        </w14:solidFill>
                      </w14:textFill>
                    </w:rPr>
                    <w:t>或原料棚内，</w:t>
                  </w:r>
                  <w:r>
                    <w:rPr>
                      <w:rFonts w:hint="default" w:ascii="Times New Roman" w:hAnsi="Times New Roman" w:cs="Times New Roman"/>
                      <w:vanish w:val="0"/>
                      <w:color w:val="000000" w:themeColor="text1"/>
                      <w:kern w:val="0"/>
                      <w:sz w:val="21"/>
                      <w:szCs w:val="21"/>
                      <w:lang w:val="en-US" w:eastAsia="zh-CN" w:bidi="ar"/>
                      <w14:textFill>
                        <w14:solidFill>
                          <w14:schemeClr w14:val="tx1"/>
                        </w14:solidFill>
                      </w14:textFill>
                    </w:rPr>
                    <w:t>并同时喷洒降尘。</w:t>
                  </w:r>
                </w:p>
              </w:tc>
              <w:tc>
                <w:tcPr>
                  <w:tcW w:w="347" w:type="pct"/>
                  <w:tcBorders>
                    <w:tl2br w:val="nil"/>
                    <w:tr2bl w:val="nil"/>
                  </w:tcBorders>
                  <w:noWrap w:val="0"/>
                  <w:vAlign w:val="center"/>
                </w:tcPr>
                <w:p w14:paraId="31162A8C">
                  <w:pPr>
                    <w:pStyle w:val="65"/>
                    <w:bidi w:val="0"/>
                    <w:ind w:left="0" w:leftChars="0" w:right="0" w:rightChars="0" w:firstLine="0" w:firstLineChars="0"/>
                    <w:jc w:val="center"/>
                    <w:rPr>
                      <w:rFonts w:hint="eastAsia"/>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符合</w:t>
                  </w:r>
                </w:p>
              </w:tc>
            </w:tr>
          </w:tbl>
          <w:p w14:paraId="78F0D0A9">
            <w:pPr>
              <w:pStyle w:val="66"/>
              <w:keepNext w:val="0"/>
              <w:keepLines w:val="0"/>
              <w:pageBreakBefore w:val="0"/>
              <w:widowControl w:val="0"/>
              <w:kinsoku/>
              <w:wordWrap/>
              <w:overflowPunct/>
              <w:topLinePunct/>
              <w:autoSpaceDE/>
              <w:autoSpaceDN/>
              <w:bidi w:val="0"/>
              <w:adjustRightInd w:val="0"/>
              <w:snapToGrid w:val="0"/>
              <w:spacing w:line="360" w:lineRule="auto"/>
              <w:ind w:left="0" w:leftChars="0" w:firstLine="428" w:firstLineChars="200"/>
              <w:jc w:val="both"/>
              <w:textAlignment w:val="auto"/>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t>综</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上所述，本项目的建设符合</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陕西省</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大气污染物防治条例》《宝鸡市大气污染物防治条例》</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《宝鸡市大气污染治理专项行动方案（2023-2027年）》</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《宝鸡市秦岭保护规划》《陕西省石头河水库引水系统保护管理办法》</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等规划要求。</w:t>
            </w:r>
          </w:p>
          <w:p w14:paraId="3C99848E">
            <w:pPr>
              <w:keepNext w:val="0"/>
              <w:keepLines w:val="0"/>
              <w:pageBreakBefore w:val="0"/>
              <w:widowControl w:val="0"/>
              <w:kinsoku/>
              <w:wordWrap/>
              <w:overflowPunct/>
              <w:topLinePunct/>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b/>
                <w:bCs w:val="0"/>
                <w:vanish w:val="0"/>
                <w:color w:val="000000" w:themeColor="text1"/>
                <w:lang w:val="en-US" w:eastAsia="zh-CN"/>
                <w14:textFill>
                  <w14:solidFill>
                    <w14:schemeClr w14:val="tx1"/>
                  </w14:solidFill>
                </w14:textFill>
              </w:rPr>
            </w:pPr>
            <w:r>
              <w:rPr>
                <w:rFonts w:hint="eastAsia" w:ascii="Times New Roman" w:hAnsi="Times New Roman" w:cs="Times New Roman"/>
                <w:b/>
                <w:bCs w:val="0"/>
                <w:vanish w:val="0"/>
                <w:color w:val="000000" w:themeColor="text1"/>
                <w:kern w:val="2"/>
                <w:sz w:val="21"/>
                <w:szCs w:val="21"/>
                <w:u w:val="none"/>
                <w:shd w:val="clear" w:color="auto" w:fill="auto"/>
                <w:lang w:val="en-US" w:eastAsia="zh-CN" w:bidi="ar-SA"/>
                <w14:textFill>
                  <w14:solidFill>
                    <w14:schemeClr w14:val="tx1"/>
                  </w14:solidFill>
                </w14:textFill>
              </w:rPr>
              <w:t>四、</w:t>
            </w:r>
            <w:r>
              <w:rPr>
                <w:rFonts w:hint="eastAsia" w:ascii="Times New Roman" w:hAnsi="Times New Roman" w:eastAsia="宋体" w:cs="Times New Roman"/>
                <w:b/>
                <w:bCs w:val="0"/>
                <w:vanish w:val="0"/>
                <w:color w:val="000000" w:themeColor="text1"/>
                <w:lang w:val="en-US" w:eastAsia="zh-CN"/>
                <w14:textFill>
                  <w14:solidFill>
                    <w14:schemeClr w14:val="tx1"/>
                  </w14:solidFill>
                </w14:textFill>
              </w:rPr>
              <w:t>项目选址合理性分析</w:t>
            </w:r>
          </w:p>
          <w:p w14:paraId="4DE3331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1、净水厂厂址可行性分析</w:t>
            </w:r>
          </w:p>
          <w:p w14:paraId="08E623D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（1）用地合理性分析</w:t>
            </w:r>
          </w:p>
          <w:p w14:paraId="6AB6EBDD">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本净水厂占地</w:t>
            </w:r>
            <w:r>
              <w:rPr>
                <w:rFonts w:hint="eastAsia" w:cs="Times New Roman"/>
                <w:vanish w:val="0"/>
                <w:color w:val="000000" w:themeColor="text1"/>
                <w:kern w:val="2"/>
                <w:sz w:val="21"/>
                <w:szCs w:val="24"/>
                <w:lang w:val="en-US" w:eastAsia="zh-CN" w:bidi="ar-SA"/>
                <w14:textFill>
                  <w14:solidFill>
                    <w14:schemeClr w14:val="tx1"/>
                  </w14:solidFill>
                </w14:textFill>
              </w:rPr>
              <w:t>1600平方米</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w:t>
            </w:r>
            <w:r>
              <w:rPr>
                <w:rFonts w:hint="eastAsia" w:cs="Times New Roman"/>
                <w:vanish w:val="0"/>
                <w:color w:val="000000" w:themeColor="text1"/>
                <w:kern w:val="2"/>
                <w:sz w:val="21"/>
                <w:szCs w:val="24"/>
                <w:lang w:val="en-US" w:eastAsia="zh-CN" w:bidi="ar-SA"/>
                <w14:textFill>
                  <w14:solidFill>
                    <w14:schemeClr w14:val="tx1"/>
                  </w14:solidFill>
                </w14:textFill>
              </w:rPr>
              <w:t>根据太白县人民政府出具的《关于桃川镇部分集体建设用地的批复》（太地复字〔2026〕5号文件），用地性质为公共管理和公共服务用地</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不涉及永久基本农田、生态保护红线、太白石头河国家级湿地公园。厂址地处秦岭重点保护区，根据《陕西省秦岭重点保护区一般保护区产业准入清单》，农村安全饮水工程为允许建设项目，符合秦岭分区管控要求。</w:t>
            </w:r>
            <w:r>
              <w:rPr>
                <w:rFonts w:hint="eastAsia" w:cs="Times New Roman"/>
                <w:vanish w:val="0"/>
                <w:color w:val="000000" w:themeColor="text1"/>
                <w:kern w:val="2"/>
                <w:sz w:val="21"/>
                <w:szCs w:val="24"/>
                <w:lang w:val="en-US" w:eastAsia="zh-CN" w:bidi="ar-SA"/>
                <w14:textFill>
                  <w14:solidFill>
                    <w14:schemeClr w14:val="tx1"/>
                  </w14:solidFill>
                </w14:textFill>
              </w:rPr>
              <w:t>净水</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厂址位于石头河饮用水水源二级保护区</w:t>
            </w:r>
            <w:r>
              <w:rPr>
                <w:rFonts w:hint="eastAsia" w:cs="Times New Roman"/>
                <w:vanish w:val="0"/>
                <w:color w:val="000000" w:themeColor="text1"/>
                <w:kern w:val="2"/>
                <w:sz w:val="21"/>
                <w:szCs w:val="24"/>
                <w:lang w:val="en-US" w:eastAsia="zh-CN" w:bidi="ar-SA"/>
                <w14:textFill>
                  <w14:solidFill>
                    <w14:schemeClr w14:val="tx1"/>
                  </w14:solidFill>
                </w14:textFill>
              </w:rPr>
              <w:t>内</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，项目为公益性供水设施，无持续排污工序，不属于二级保护区禁止新建排放污染物项目，用地符合《</w:t>
            </w:r>
            <w:r>
              <w:rPr>
                <w:rFonts w:hint="eastAsia" w:cs="Times New Roman"/>
                <w:vanish w:val="0"/>
                <w:color w:val="000000" w:themeColor="text1"/>
                <w:kern w:val="2"/>
                <w:sz w:val="21"/>
                <w:szCs w:val="24"/>
                <w:lang w:val="en-US" w:eastAsia="zh-CN" w:bidi="ar-SA"/>
                <w14:textFill>
                  <w14:solidFill>
                    <w14:schemeClr w14:val="tx1"/>
                  </w14:solidFill>
                </w14:textFill>
              </w:rPr>
              <w:t>中华人民共和国水污染防治法</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》及《陕西省石头河水库引水系统保护管理办法</w:t>
            </w:r>
            <w:r>
              <w:rPr>
                <w:rFonts w:hint="eastAsia" w:cs="Times New Roman"/>
                <w:vanish w:val="0"/>
                <w:color w:val="000000" w:themeColor="text1"/>
                <w:kern w:val="2"/>
                <w:sz w:val="21"/>
                <w:szCs w:val="24"/>
                <w:lang w:val="en-US" w:eastAsia="zh-CN" w:bidi="ar-SA"/>
                <w14:textFill>
                  <w14:solidFill>
                    <w14:schemeClr w14:val="tx1"/>
                  </w14:solidFill>
                </w14:textFill>
              </w:rPr>
              <w:t>》等</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 xml:space="preserve">相关规定，可依规办理水源地相关手续。厂区布局紧凑集约，无拆迁安置，占地规模合理。 </w:t>
            </w:r>
          </w:p>
          <w:p w14:paraId="26F7E449">
            <w:pPr>
              <w:keepNext w:val="0"/>
              <w:keepLines w:val="0"/>
              <w:pageBreakBefore w:val="0"/>
              <w:widowControl w:val="0"/>
              <w:numPr>
                <w:ilvl w:val="0"/>
                <w:numId w:val="2"/>
              </w:numPr>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环境保护可行性</w:t>
            </w:r>
          </w:p>
          <w:p w14:paraId="6C6E4A76">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cs="Times New Roman"/>
                <w:vanish w:val="0"/>
                <w:color w:val="000000" w:themeColor="text1"/>
                <w:kern w:val="2"/>
                <w:sz w:val="21"/>
                <w:szCs w:val="24"/>
                <w:lang w:val="en-US" w:eastAsia="zh-CN" w:bidi="ar-SA"/>
                <w14:textFill>
                  <w14:solidFill>
                    <w14:schemeClr w14:val="tx1"/>
                  </w14:solidFill>
                </w14:textFill>
              </w:rPr>
              <w:t>净水厂</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厂区</w:t>
            </w:r>
            <w:r>
              <w:rPr>
                <w:rFonts w:hint="eastAsia" w:cs="Times New Roman"/>
                <w:vanish w:val="0"/>
                <w:color w:val="000000" w:themeColor="text1"/>
                <w:kern w:val="2"/>
                <w:sz w:val="21"/>
                <w:szCs w:val="24"/>
                <w:lang w:val="en-US" w:eastAsia="zh-CN" w:bidi="ar-SA"/>
                <w14:textFill>
                  <w14:solidFill>
                    <w14:schemeClr w14:val="tx1"/>
                  </w14:solidFill>
                </w14:textFill>
              </w:rPr>
              <w:t>周边</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50m</w:t>
            </w:r>
            <w:r>
              <w:rPr>
                <w:rFonts w:hint="eastAsia" w:cs="Times New Roman"/>
                <w:vanish w:val="0"/>
                <w:color w:val="000000" w:themeColor="text1"/>
                <w:kern w:val="2"/>
                <w:sz w:val="21"/>
                <w:szCs w:val="24"/>
                <w:lang w:val="en-US" w:eastAsia="zh-CN" w:bidi="ar-SA"/>
                <w14:textFill>
                  <w14:solidFill>
                    <w14:schemeClr w14:val="tx1"/>
                  </w14:solidFill>
                </w14:textFill>
              </w:rPr>
              <w:t>范围</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内无居民等声环境敏感点，生产废水（滤池反洗水</w:t>
            </w:r>
            <w:r>
              <w:rPr>
                <w:rFonts w:hint="eastAsia" w:cs="Times New Roman"/>
                <w:vanish w:val="0"/>
                <w:color w:val="000000" w:themeColor="text1"/>
                <w:kern w:val="2"/>
                <w:sz w:val="21"/>
                <w:szCs w:val="24"/>
                <w:lang w:val="en-US" w:eastAsia="zh-CN" w:bidi="ar-SA"/>
                <w14:textFill>
                  <w14:solidFill>
                    <w14:schemeClr w14:val="tx1"/>
                  </w14:solidFill>
                </w14:textFill>
              </w:rPr>
              <w:t>等</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）全部</w:t>
            </w:r>
            <w:r>
              <w:rPr>
                <w:rFonts w:hint="eastAsia" w:cs="Times New Roman"/>
                <w:vanish w:val="0"/>
                <w:color w:val="000000" w:themeColor="text1"/>
                <w:kern w:val="2"/>
                <w:sz w:val="21"/>
                <w:szCs w:val="24"/>
                <w:lang w:val="en-US" w:eastAsia="zh-CN" w:bidi="ar-SA"/>
                <w14:textFill>
                  <w14:solidFill>
                    <w14:schemeClr w14:val="tx1"/>
                  </w14:solidFill>
                </w14:textFill>
              </w:rPr>
              <w:t>在厂</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内回用，生活污水经化粪池收集后定期清运还田，无废水外排，从源头规避二级水源地水体污染风险。加药间、酸洗区、危废库、污泥池均设置防渗地面与应急收集围堰，药剂、废酸、废机油分区密闭贮存，各类危废、干化污泥全部外运出厂处置，不在水源保护区长期堆存，杜绝土壤、地下水下渗污染风险。厂区土石方挖填基本平衡，施工表土单独堆放、完工复绿，配套截排水沟，可有效控制水土流失；厂区无珍稀动植物集中分布，生态扰动小。</w:t>
            </w:r>
          </w:p>
          <w:p w14:paraId="4BD20D22">
            <w:pPr>
              <w:keepNext w:val="0"/>
              <w:keepLines w:val="0"/>
              <w:pageBreakBefore w:val="0"/>
              <w:widowControl w:val="0"/>
              <w:numPr>
                <w:ilvl w:val="0"/>
                <w:numId w:val="3"/>
              </w:numPr>
              <w:kinsoku/>
              <w:wordWrap/>
              <w:overflowPunct/>
              <w:topLinePunct/>
              <w:autoSpaceDE/>
              <w:autoSpaceDN/>
              <w:bidi w:val="0"/>
              <w:adjustRightInd w:val="0"/>
              <w:snapToGrid w:val="0"/>
              <w:spacing w:line="360" w:lineRule="auto"/>
              <w:ind w:left="525" w:leftChars="0" w:firstLine="0" w:firstLineChars="0"/>
              <w:textAlignment w:val="auto"/>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 xml:space="preserve">输配水管网选线可行性分析 </w:t>
            </w:r>
          </w:p>
          <w:p w14:paraId="6467796D">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 xml:space="preserve">（1）土地性质符合性 </w:t>
            </w:r>
          </w:p>
          <w:p w14:paraId="355CAE2B">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 xml:space="preserve">管网总长23.96km，主要沿乡村道路、田埂敷设，仅临时少量占用耕地，施工分层回填后可恢复原有土地用途，无永久占地。部分管线途经石头河饮用水水源二级保护区，管道仅输送达标自来水，无污水、危化品输送，不违反水源地管控规定；全线不穿越一级水源保护区、湿地公园、连片公益林，无硬性土地制约。 </w:t>
            </w:r>
          </w:p>
          <w:p w14:paraId="4B068577">
            <w:pPr>
              <w:keepNext w:val="0"/>
              <w:keepLines w:val="0"/>
              <w:pageBreakBefore w:val="0"/>
              <w:widowControl w:val="0"/>
              <w:numPr>
                <w:ilvl w:val="0"/>
                <w:numId w:val="2"/>
              </w:numPr>
              <w:kinsoku/>
              <w:wordWrap/>
              <w:overflowPunct/>
              <w:topLinePunct/>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 xml:space="preserve">环境保护可行性 </w:t>
            </w:r>
          </w:p>
          <w:p w14:paraId="33917E14">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①管道输送净化</w:t>
            </w:r>
            <w:r>
              <w:rPr>
                <w:rFonts w:hint="eastAsia" w:cs="Times New Roman"/>
                <w:vanish w:val="0"/>
                <w:color w:val="000000" w:themeColor="text1"/>
                <w:kern w:val="2"/>
                <w:sz w:val="21"/>
                <w:szCs w:val="24"/>
                <w:lang w:val="en-US" w:eastAsia="zh-CN" w:bidi="ar-SA"/>
                <w14:textFill>
                  <w14:solidFill>
                    <w14:schemeClr w14:val="tx1"/>
                  </w14:solidFill>
                </w14:textFill>
              </w:rPr>
              <w:t>自来水</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 xml:space="preserve">，运营期无持续性环境影响。 </w:t>
            </w:r>
          </w:p>
          <w:p w14:paraId="53E98692">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②管线避开河道主滩、野生动物活动区域，跨河采用桥架悬挂敷设，不开挖河床；施工分段开挖、分段回填，施工废水沉淀后回用，建筑垃圾当日清运，减小水土流失与水体扰动。</w:t>
            </w:r>
          </w:p>
          <w:p w14:paraId="13154D48">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③途经石头河二级保护区路段施工避开雨季，设置临时挡土、截水设施，严禁渣土入河；施工噪声、扬尘影响仅短期存在，完工后沿线耕地、植被可恢复。</w:t>
            </w:r>
          </w:p>
          <w:p w14:paraId="1F509555">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管线以道路、荒坡为主，临时扰动可恢复，运营无污染物产生，符合秦岭及石头河水源地管控要求，选线可行。</w:t>
            </w:r>
          </w:p>
          <w:p w14:paraId="088795F6">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综上所述</w:t>
            </w:r>
            <w:r>
              <w:rPr>
                <w:rFonts w:hint="eastAsia" w:cs="Times New Roman"/>
                <w:vanish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项目净水厂及配套输配管网用地不涉及永久基本农田、生态红线，满足国土空间、秦岭产业、饮用水水源地各项管控要求。施工及运营期通过落实防渗、截污、水土保持、固废闭环管理等环保措施，对区域土壤、地下水、地表水体及生态影响不会产生影响，净化水厂选址、管线选线合理可行。</w:t>
            </w:r>
          </w:p>
          <w:p w14:paraId="64CC07A8">
            <w:pPr>
              <w:pStyle w:val="4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both"/>
              <w:textAlignment w:val="auto"/>
              <w:rPr>
                <w:rFonts w:hint="default" w:ascii="Times New Roman" w:hAnsi="Times New Roman" w:eastAsia="宋体" w:cs="Times New Roman"/>
                <w:bCs/>
                <w:vanish w:val="0"/>
                <w:color w:val="000000" w:themeColor="text1"/>
                <w:kern w:val="2"/>
                <w:sz w:val="21"/>
                <w:szCs w:val="21"/>
                <w:u w:val="none"/>
                <w:shd w:val="clear" w:color="auto" w:fill="auto"/>
                <w:lang w:val="en-US" w:eastAsia="zh-CN" w:bidi="ar-SA"/>
                <w14:textFill>
                  <w14:solidFill>
                    <w14:schemeClr w14:val="tx1"/>
                  </w14:solidFill>
                </w14:textFill>
              </w:rPr>
            </w:pPr>
          </w:p>
        </w:tc>
      </w:tr>
    </w:tbl>
    <w:p w14:paraId="7FB94DD8">
      <w:pPr>
        <w:spacing w:line="360" w:lineRule="auto"/>
        <w:outlineLvl w:val="0"/>
        <w:rPr>
          <w:rFonts w:hint="default" w:ascii="Times New Roman" w:hAnsi="Times New Roman" w:eastAsia="黑体" w:cs="Times New Roman"/>
          <w:vanish w:val="0"/>
          <w:color w:val="000000" w:themeColor="text1"/>
          <w:sz w:val="30"/>
          <w14:textFill>
            <w14:solidFill>
              <w14:schemeClr w14:val="tx1"/>
            </w14:solidFill>
          </w14:textFill>
        </w:rPr>
        <w:sectPr>
          <w:headerReference r:id="rId5" w:type="default"/>
          <w:footerReference r:id="rId6" w:type="default"/>
          <w:pgSz w:w="11906" w:h="16838"/>
          <w:pgMar w:top="1701" w:right="1531" w:bottom="1701" w:left="1531" w:header="851" w:footer="1474" w:gutter="0"/>
          <w:pgBorders>
            <w:top w:val="none" w:sz="0" w:space="0"/>
            <w:left w:val="none" w:sz="0" w:space="0"/>
            <w:bottom w:val="none" w:sz="0" w:space="0"/>
            <w:right w:val="none" w:sz="0" w:space="0"/>
          </w:pgBorders>
          <w:pgNumType w:fmt="decimal" w:start="1"/>
          <w:cols w:space="720" w:num="1"/>
          <w:docGrid w:linePitch="312" w:charSpace="0"/>
        </w:sectPr>
      </w:pPr>
    </w:p>
    <w:p w14:paraId="5DA13F27">
      <w:pPr>
        <w:pStyle w:val="20"/>
        <w:jc w:val="center"/>
        <w:outlineLvl w:val="0"/>
        <w:rPr>
          <w:rFonts w:hint="default" w:ascii="Times New Roman" w:hAnsi="Times New Roman" w:eastAsia="黑体" w:cs="Times New Roman"/>
          <w:snapToGrid w:val="0"/>
          <w:vanish w:val="0"/>
          <w:color w:val="000000" w:themeColor="text1"/>
          <w:sz w:val="30"/>
          <w:szCs w:val="30"/>
          <w14:textFill>
            <w14:solidFill>
              <w14:schemeClr w14:val="tx1"/>
            </w14:solidFill>
          </w14:textFill>
        </w:rPr>
      </w:pPr>
      <w:r>
        <w:rPr>
          <w:rFonts w:hint="default" w:ascii="Times New Roman" w:hAnsi="Times New Roman" w:eastAsia="黑体" w:cs="Times New Roman"/>
          <w:snapToGrid w:val="0"/>
          <w:vanish w:val="0"/>
          <w:color w:val="000000" w:themeColor="text1"/>
          <w:sz w:val="30"/>
          <w:szCs w:val="30"/>
          <w14:textFill>
            <w14:solidFill>
              <w14:schemeClr w14:val="tx1"/>
            </w14:solidFill>
          </w14:textFill>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8643"/>
      </w:tblGrid>
      <w:tr w14:paraId="4CE27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jc w:val="center"/>
          <w:hidden/>
        </w:trPr>
        <w:tc>
          <w:tcPr>
            <w:tcW w:w="0" w:type="auto"/>
            <w:noWrap w:val="0"/>
            <w:vAlign w:val="center"/>
          </w:tcPr>
          <w:p w14:paraId="056C897B">
            <w:pPr>
              <w:pStyle w:val="20"/>
              <w:adjustRightInd w:val="0"/>
              <w:snapToGrid w:val="0"/>
              <w:spacing w:before="0" w:beforeAutospacing="0" w:after="0" w:afterAutospacing="0"/>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建设内容</w:t>
            </w:r>
          </w:p>
        </w:tc>
        <w:tc>
          <w:tcPr>
            <w:tcW w:w="0" w:type="auto"/>
            <w:noWrap w:val="0"/>
            <w:vAlign w:val="top"/>
          </w:tcPr>
          <w:p w14:paraId="00733EC2">
            <w:pPr>
              <w:numPr>
                <w:ilvl w:val="0"/>
                <w:numId w:val="4"/>
              </w:numPr>
              <w:spacing w:line="360" w:lineRule="auto"/>
              <w:ind w:firstLine="420" w:firstLineChars="200"/>
              <w:rPr>
                <w:rFonts w:hint="eastAsia"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lang w:val="en-US" w:eastAsia="zh-CN"/>
                <w14:textFill>
                  <w14:solidFill>
                    <w14:schemeClr w14:val="tx1"/>
                  </w14:solidFill>
                </w14:textFill>
              </w:rPr>
              <w:t>项目由来</w:t>
            </w:r>
          </w:p>
          <w:p w14:paraId="2BB68FCA">
            <w:pPr>
              <w:numPr>
                <w:ilvl w:val="0"/>
                <w:numId w:val="0"/>
              </w:numPr>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太白县</w:t>
            </w:r>
            <w:r>
              <w:rPr>
                <w:rFonts w:hint="default" w:ascii="Times New Roman" w:hAnsi="Times New Roman" w:eastAsia="宋体" w:cs="Times New Roman"/>
                <w:vanish w:val="0"/>
                <w:color w:val="000000" w:themeColor="text1"/>
                <w:lang w:val="en-US" w:eastAsia="zh-CN"/>
                <w14:textFill>
                  <w14:solidFill>
                    <w14:schemeClr w14:val="tx1"/>
                  </w14:solidFill>
                </w14:textFill>
              </w:rPr>
              <w:t>桃川镇6个行政村在空间上较为分散，供水对象点多面广，现状供水工程基本以村或组为单位，各村、组供水系统相互独立且工程标准参差不齐，管理难度大</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汛期河水急流而下，翻砂滚石，河水浊度飙升，现状取水工程易发生水毁破坏</w:t>
            </w:r>
            <w:r>
              <w:rPr>
                <w:rFonts w:hint="eastAsia" w:cs="Times New Roman"/>
                <w:vanish w:val="0"/>
                <w:color w:val="000000" w:themeColor="text1"/>
                <w:lang w:val="en-US" w:eastAsia="zh-CN"/>
                <w14:textFill>
                  <w14:solidFill>
                    <w14:schemeClr w14:val="tx1"/>
                  </w14:solidFill>
                </w14:textFill>
              </w:rPr>
              <w:t>，冬</w:t>
            </w:r>
            <w:r>
              <w:rPr>
                <w:rFonts w:hint="default" w:ascii="Times New Roman" w:hAnsi="Times New Roman" w:eastAsia="宋体" w:cs="Times New Roman"/>
                <w:vanish w:val="0"/>
                <w:color w:val="000000" w:themeColor="text1"/>
                <w:lang w:val="en-US" w:eastAsia="zh-CN"/>
                <w14:textFill>
                  <w14:solidFill>
                    <w14:schemeClr w14:val="tx1"/>
                  </w14:solidFill>
                </w14:textFill>
              </w:rPr>
              <w:t>季枯水期气温较低，易结冰，日常</w:t>
            </w:r>
            <w:r>
              <w:rPr>
                <w:rFonts w:hint="eastAsia" w:cs="Times New Roman"/>
                <w:vanish w:val="0"/>
                <w:color w:val="000000" w:themeColor="text1"/>
                <w:lang w:val="en-US" w:eastAsia="zh-CN"/>
                <w14:textFill>
                  <w14:solidFill>
                    <w14:schemeClr w14:val="tx1"/>
                  </w14:solidFill>
                </w14:textFill>
              </w:rPr>
              <w:t>供水</w:t>
            </w:r>
            <w:r>
              <w:rPr>
                <w:rFonts w:hint="default" w:ascii="Times New Roman" w:hAnsi="Times New Roman" w:eastAsia="宋体" w:cs="Times New Roman"/>
                <w:vanish w:val="0"/>
                <w:color w:val="000000" w:themeColor="text1"/>
                <w:lang w:val="en-US" w:eastAsia="zh-CN"/>
                <w14:textFill>
                  <w14:solidFill>
                    <w14:schemeClr w14:val="tx1"/>
                  </w14:solidFill>
                </w14:textFill>
              </w:rPr>
              <w:t>难以得到保证。</w:t>
            </w:r>
          </w:p>
          <w:p w14:paraId="4265A170">
            <w:pPr>
              <w:numPr>
                <w:ilvl w:val="0"/>
                <w:numId w:val="0"/>
              </w:numPr>
              <w:spacing w:line="360" w:lineRule="auto"/>
              <w:ind w:firstLine="420" w:firstLineChars="200"/>
              <w:rPr>
                <w:rFonts w:hint="eastAsia"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为此，太白县农业农村和水利局拟</w:t>
            </w:r>
            <w:r>
              <w:rPr>
                <w:rFonts w:hint="eastAsia" w:cs="Times New Roman"/>
                <w:vanish w:val="0"/>
                <w:color w:val="000000" w:themeColor="text1"/>
                <w:lang w:val="en-US" w:eastAsia="zh-CN"/>
                <w14:textFill>
                  <w14:solidFill>
                    <w14:schemeClr w14:val="tx1"/>
                  </w14:solidFill>
                </w14:textFill>
              </w:rPr>
              <w:t>建设</w:t>
            </w:r>
            <w:r>
              <w:rPr>
                <w:rFonts w:hint="default" w:ascii="Times New Roman" w:hAnsi="Times New Roman" w:eastAsia="宋体" w:cs="Times New Roman"/>
                <w:vanish w:val="0"/>
                <w:color w:val="000000" w:themeColor="text1"/>
                <w:lang w:val="en-US" w:eastAsia="zh-CN"/>
                <w14:textFill>
                  <w14:solidFill>
                    <w14:schemeClr w14:val="tx1"/>
                  </w14:solidFill>
                </w14:textFill>
              </w:rPr>
              <w:t>太白县桃川镇集中供水工程，</w:t>
            </w:r>
            <w:r>
              <w:rPr>
                <w:rFonts w:hint="eastAsia" w:cs="Times New Roman"/>
                <w:vanish w:val="0"/>
                <w:color w:val="000000" w:themeColor="text1"/>
                <w:lang w:val="en-US" w:eastAsia="zh-CN"/>
                <w14:textFill>
                  <w14:solidFill>
                    <w14:schemeClr w14:val="tx1"/>
                  </w14:solidFill>
                </w14:textFill>
              </w:rPr>
              <w:t>由太白县水资源事务中心（太白县水利电力工作队，太白县城乡供水安全中心）负责具体实施，太白县水资源事务中心是县农业农村和水利局直属公益类事业单位，承担水资源领域技术性、事务性、服务性实操工作。</w:t>
            </w:r>
          </w:p>
          <w:p w14:paraId="44894BA2">
            <w:pPr>
              <w:numPr>
                <w:ilvl w:val="0"/>
                <w:numId w:val="0"/>
              </w:numPr>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cs="Times New Roman"/>
                <w:vanish w:val="0"/>
                <w:color w:val="000000" w:themeColor="text1"/>
                <w:lang w:val="en-US" w:eastAsia="zh-CN"/>
                <w14:textFill>
                  <w14:solidFill>
                    <w14:schemeClr w14:val="tx1"/>
                  </w14:solidFill>
                </w14:textFill>
              </w:rPr>
              <w:t>本项目拟</w:t>
            </w:r>
            <w:r>
              <w:rPr>
                <w:rFonts w:hint="default" w:ascii="Times New Roman" w:hAnsi="Times New Roman" w:eastAsia="宋体" w:cs="Times New Roman"/>
                <w:vanish w:val="0"/>
                <w:color w:val="000000" w:themeColor="text1"/>
                <w:lang w:val="en-US" w:eastAsia="zh-CN"/>
                <w14:textFill>
                  <w14:solidFill>
                    <w14:schemeClr w14:val="tx1"/>
                  </w14:solidFill>
                </w14:textFill>
              </w:rPr>
              <w:t>新建C30预制钢筋砼大口井1座、日处理能力800m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/d水厂1座、200m</w:t>
            </w:r>
            <w:r>
              <w:rPr>
                <w:rFonts w:hint="eastAsia"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清水池1座、20m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减压池1座、50m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减压池2座、100m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vanish w:val="0"/>
                <w:color w:val="000000" w:themeColor="text1"/>
                <w:lang w:val="en-US" w:eastAsia="zh-CN"/>
                <w14:textFill>
                  <w14:solidFill>
                    <w14:schemeClr w14:val="tx1"/>
                  </w14:solidFill>
                </w14:textFill>
              </w:rPr>
              <w:t>减压池1座，新铺设输配水管线23.96km，阀井152座，入户工程1845套。</w:t>
            </w:r>
          </w:p>
          <w:p w14:paraId="34E3F1F1">
            <w:pPr>
              <w:numPr>
                <w:ilvl w:val="0"/>
                <w:numId w:val="0"/>
              </w:numPr>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本项目</w:t>
            </w:r>
            <w:r>
              <w:rPr>
                <w:rFonts w:hint="default" w:ascii="Times New Roman" w:hAnsi="Times New Roman" w:eastAsia="宋体" w:cs="Times New Roman"/>
                <w:vanish w:val="0"/>
                <w:color w:val="000000" w:themeColor="text1"/>
                <w:lang w:val="en-US" w:eastAsia="zh-CN"/>
                <w14:textFill>
                  <w14:solidFill>
                    <w14:schemeClr w14:val="tx1"/>
                  </w14:solidFill>
                </w14:textFill>
              </w:rPr>
              <w:t>实施后，可提升太白县桃川镇集中供水能力，提高供水保证率，改善供水水质，降低供水管理成本，为桃川镇经济发展提供安全可靠的供水保障。</w:t>
            </w:r>
          </w:p>
          <w:p w14:paraId="470FBD52">
            <w:pPr>
              <w:numPr>
                <w:ilvl w:val="0"/>
                <w:numId w:val="0"/>
              </w:numPr>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cs="Times New Roman"/>
                <w:vanish w:val="0"/>
                <w:color w:val="000000" w:themeColor="text1"/>
                <w:lang w:val="en-US" w:eastAsia="zh-CN"/>
                <w14:textFill>
                  <w14:solidFill>
                    <w14:schemeClr w14:val="tx1"/>
                  </w14:solidFill>
                </w14:textFill>
              </w:rPr>
              <w:t>根据现场踏勘，目前净化水厂厂房主体已建成，相关净水、消毒设备尚未安装完成，违反了《中华人民共和国环境影响评价法》第二十五条“建设项目的环境影响评价文件未经审批部门审查或者审查后未予批准的，建设单位不得开工建设”的规定。鉴于建设单位实施的太白县桃川镇集中供水工程，系保障群众饮水需求的重点民生工程且未造成环境污染，宝鸡市生态环境局太白分局出具了《不予行政处罚决定书》（陕C太白环不罚【2026】2号）文件，目前建设单位已停止建设，办理相关环保手续。</w:t>
            </w:r>
          </w:p>
          <w:p w14:paraId="47BF4D0C">
            <w:pPr>
              <w:numPr>
                <w:ilvl w:val="0"/>
                <w:numId w:val="0"/>
              </w:numPr>
              <w:spacing w:line="360" w:lineRule="auto"/>
              <w:ind w:firstLine="420" w:firstLineChars="200"/>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根据《中华人民共和国环境保护法》《中华人民共和国环境影响评价法》和《建设项目环境保护管理条例》（国务院令第682号）中有关规定，项目需要开展环境影响评价工作。依据《建设项目环境影响评价分类管理名录》（2021年版）的有关规定，项目应编制环境影响报告表，具体判定详见下表。</w:t>
            </w:r>
          </w:p>
          <w:p w14:paraId="7A2C77A6">
            <w:pPr>
              <w:keepNext w:val="0"/>
              <w:keepLines w:val="0"/>
              <w:suppressLineNumbers w:val="0"/>
              <w:spacing w:before="0" w:beforeAutospacing="0" w:after="0" w:afterAutospacing="0" w:line="240" w:lineRule="auto"/>
              <w:ind w:left="0" w:right="0" w:firstLine="420" w:firstLineChars="200"/>
              <w:jc w:val="center"/>
              <w:rPr>
                <w:rFonts w:hint="eastAsia" w:ascii="Times New Roman" w:hAnsi="Times New Roman" w:eastAsia="宋体" w:cs="Times New Roman"/>
                <w:b/>
                <w:vanish w:val="0"/>
                <w:color w:val="000000" w:themeColor="text1"/>
                <w:sz w:val="21"/>
                <w:szCs w:val="21"/>
                <w:lang w:eastAsia="zh-CN"/>
                <w14:textFill>
                  <w14:solidFill>
                    <w14:schemeClr w14:val="tx1"/>
                  </w14:solidFill>
                </w14:textFill>
              </w:rPr>
            </w:pPr>
            <w:r>
              <w:rPr>
                <w:rFonts w:hint="default" w:ascii="Times New Roman" w:hAnsi="Times New Roman" w:cs="Times New Roman"/>
                <w:b/>
                <w:vanish w:val="0"/>
                <w:color w:val="000000" w:themeColor="text1"/>
                <w:sz w:val="21"/>
                <w:szCs w:val="21"/>
                <w14:textFill>
                  <w14:solidFill>
                    <w14:schemeClr w14:val="tx1"/>
                  </w14:solidFill>
                </w14:textFill>
              </w:rPr>
              <w:t>表</w:t>
            </w:r>
            <w:r>
              <w:rPr>
                <w:rFonts w:hint="default" w:ascii="Times New Roman" w:hAnsi="Times New Roman" w:cs="Times New Roman"/>
                <w:b/>
                <w:vanish w:val="0"/>
                <w:color w:val="000000" w:themeColor="text1"/>
                <w:sz w:val="21"/>
                <w:szCs w:val="21"/>
                <w:lang w:val="en-US" w:eastAsia="zh-CN"/>
                <w14:textFill>
                  <w14:solidFill>
                    <w14:schemeClr w14:val="tx1"/>
                  </w14:solidFill>
                </w14:textFill>
              </w:rPr>
              <w:t xml:space="preserve">2-1    </w:t>
            </w:r>
            <w:r>
              <w:rPr>
                <w:rFonts w:hint="default" w:ascii="Times New Roman" w:hAnsi="Times New Roman" w:cs="Times New Roman"/>
                <w:b/>
                <w:vanish w:val="0"/>
                <w:color w:val="000000" w:themeColor="text1"/>
                <w:sz w:val="21"/>
                <w:szCs w:val="21"/>
                <w14:textFill>
                  <w14:solidFill>
                    <w14:schemeClr w14:val="tx1"/>
                  </w14:solidFill>
                </w14:textFill>
              </w:rPr>
              <w:t>建设项目环境影响评价分类管理名录（摘录</w:t>
            </w:r>
            <w:r>
              <w:rPr>
                <w:rFonts w:hint="eastAsia" w:ascii="Times New Roman" w:hAnsi="Times New Roman" w:cs="Times New Roman"/>
                <w:b/>
                <w:vanish w:val="0"/>
                <w:color w:val="000000" w:themeColor="text1"/>
                <w:sz w:val="21"/>
                <w:szCs w:val="21"/>
                <w:lang w:eastAsia="zh-CN"/>
                <w14:textFill>
                  <w14:solidFill>
                    <w14:schemeClr w14:val="tx1"/>
                  </w14:solidFill>
                </w14:textFill>
              </w:rPr>
              <w:t>）</w:t>
            </w:r>
          </w:p>
          <w:tbl>
            <w:tblPr>
              <w:tblStyle w:val="23"/>
              <w:tblW w:w="4996"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780"/>
              <w:gridCol w:w="619"/>
              <w:gridCol w:w="619"/>
              <w:gridCol w:w="644"/>
              <w:gridCol w:w="1121"/>
              <w:gridCol w:w="2953"/>
            </w:tblGrid>
            <w:tr w14:paraId="298C0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2" w:hRule="atLeast"/>
                <w:hidden/>
              </w:trPr>
              <w:tc>
                <w:tcPr>
                  <w:tcW w:w="1451" w:type="pct"/>
                  <w:gridSpan w:val="2"/>
                  <w:tcBorders>
                    <w:tl2br w:val="nil"/>
                    <w:tr2bl w:val="nil"/>
                  </w:tcBorders>
                  <w:noWrap w:val="0"/>
                  <w:vAlign w:val="top"/>
                </w:tcPr>
                <w:p w14:paraId="4E303CC5">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b w:val="0"/>
                      <w:bCs w:val="0"/>
                      <w:vanish w:val="0"/>
                      <w:color w:val="000000" w:themeColor="text1"/>
                      <w:sz w:val="21"/>
                      <w:szCs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-49530</wp:posOffset>
                            </wp:positionH>
                            <wp:positionV relativeFrom="paragraph">
                              <wp:posOffset>10160</wp:posOffset>
                            </wp:positionV>
                            <wp:extent cx="1471295" cy="534035"/>
                            <wp:effectExtent l="1905" t="4445" r="12700" b="13970"/>
                            <wp:wrapNone/>
                            <wp:docPr id="7" name="直接连接符 8"/>
                            <wp:cNvGraphicFramePr/>
                            <a:graphic xmlns:a="http://schemas.openxmlformats.org/drawingml/2006/main">
                              <a:graphicData uri="http://schemas.microsoft.com/office/word/2010/wordprocessingShape">
                                <wps:wsp>
                                  <wps:cNvCnPr/>
                                  <wps:spPr>
                                    <a:xfrm>
                                      <a:off x="0" y="0"/>
                                      <a:ext cx="1471295" cy="534035"/>
                                    </a:xfrm>
                                    <a:prstGeom prst="straightConnector1">
                                      <a:avLst/>
                                    </a:prstGeom>
                                    <a:ln w="3175" cap="flat" cmpd="sng">
                                      <a:solidFill>
                                        <a:srgbClr val="000000"/>
                                      </a:solidFill>
                                      <a:prstDash val="solid"/>
                                      <a:round/>
                                      <a:headEnd type="none" w="med" len="med"/>
                                      <a:tailEnd type="none" w="med" len="med"/>
                                    </a:ln>
                                  </wps:spPr>
                                  <wps:bodyPr/>
                                </wps:wsp>
                              </a:graphicData>
                            </a:graphic>
                          </wp:anchor>
                        </w:drawing>
                      </mc:Choice>
                      <mc:Fallback>
                        <w:pict>
                          <v:shape id="直接连接符 8" o:spid="_x0000_s1026" o:spt="32" type="#_x0000_t32" style="position:absolute;left:0pt;margin-left:-3.9pt;margin-top:0.8pt;height:42.05pt;width:115.85pt;z-index:251663360;mso-width-relative:page;mso-height-relative:page;" filled="f" stroked="t" coordsize="21600,21600" o:gfxdata="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BVQjPWAAAABwEAAA8AAAAAAAAAAQAgAAAAIgAAAGRycy9kb3ducmV2&#10;LnhtbFBLAQIUABQAAAAIAIdO4kB3rRQW/gEAAPUDAAAOAAAAAAAAAAEAIAAAACUBAABkcnMvZTJv&#10;RG9jLnhtbFBLBQYAAAAABgAGAFkBAACVBQAAAAA=&#10;">
                            <v:fill on="f" focussize="0,0"/>
                            <v:stroke weight="0.25pt" color="#000000" joinstyle="round"/>
                            <v:imagedata o:title=""/>
                            <o:lock v:ext="edit" aspectratio="f"/>
                          </v:shape>
                        </w:pict>
                      </mc:Fallback>
                    </mc:AlternateContent>
                  </w:r>
                  <w:r>
                    <w:rPr>
                      <w:rFonts w:hint="eastAsia" w:ascii="Times New Roman" w:hAnsi="Times New Roman" w:cs="Times New Roman"/>
                      <w:b w:val="0"/>
                      <w:bCs w:val="0"/>
                      <w:vanish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val="0"/>
                      <w:bCs w:val="0"/>
                      <w:vanish w:val="0"/>
                      <w:color w:val="000000" w:themeColor="text1"/>
                      <w:sz w:val="21"/>
                      <w:szCs w:val="21"/>
                      <w14:textFill>
                        <w14:solidFill>
                          <w14:schemeClr w14:val="tx1"/>
                        </w14:solidFill>
                      </w14:textFill>
                    </w:rPr>
                    <w:t>环评类别</w:t>
                  </w:r>
                </w:p>
                <w:p w14:paraId="61CAE007">
                  <w:pPr>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00" w:lineRule="exact"/>
                    <w:ind w:left="0" w:leftChars="0" w:right="0" w:firstLine="0" w:firstLineChars="0"/>
                    <w:jc w:val="left"/>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项目分类</w:t>
                  </w:r>
                </w:p>
              </w:tc>
              <w:tc>
                <w:tcPr>
                  <w:tcW w:w="369" w:type="pct"/>
                  <w:tcBorders>
                    <w:tl2br w:val="nil"/>
                    <w:tr2bl w:val="nil"/>
                  </w:tcBorders>
                  <w:noWrap w:val="0"/>
                  <w:vAlign w:val="center"/>
                </w:tcPr>
                <w:p w14:paraId="375F669A">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报告书</w:t>
                  </w:r>
                </w:p>
              </w:tc>
              <w:tc>
                <w:tcPr>
                  <w:tcW w:w="369" w:type="pct"/>
                  <w:tcBorders>
                    <w:tl2br w:val="nil"/>
                    <w:tr2bl w:val="nil"/>
                  </w:tcBorders>
                  <w:noWrap w:val="0"/>
                  <w:vAlign w:val="center"/>
                </w:tcPr>
                <w:p w14:paraId="7E6D08DE">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报告表</w:t>
                  </w:r>
                </w:p>
              </w:tc>
              <w:tc>
                <w:tcPr>
                  <w:tcW w:w="384" w:type="pct"/>
                  <w:tcBorders>
                    <w:tl2br w:val="nil"/>
                    <w:tr2bl w:val="nil"/>
                  </w:tcBorders>
                  <w:noWrap w:val="0"/>
                  <w:vAlign w:val="center"/>
                </w:tcPr>
                <w:p w14:paraId="7E595F0C">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登记表</w:t>
                  </w:r>
                </w:p>
              </w:tc>
              <w:tc>
                <w:tcPr>
                  <w:tcW w:w="668" w:type="pct"/>
                  <w:tcBorders>
                    <w:tl2br w:val="nil"/>
                    <w:tr2bl w:val="nil"/>
                  </w:tcBorders>
                  <w:noWrap w:val="0"/>
                  <w:vAlign w:val="center"/>
                </w:tcPr>
                <w:p w14:paraId="3A629DEE">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本栏目环境敏感区含义</w:t>
                  </w:r>
                </w:p>
              </w:tc>
              <w:tc>
                <w:tcPr>
                  <w:tcW w:w="1756" w:type="pct"/>
                  <w:tcBorders>
                    <w:tl2br w:val="nil"/>
                    <w:tr2bl w:val="nil"/>
                  </w:tcBorders>
                  <w:noWrap w:val="0"/>
                  <w:vAlign w:val="center"/>
                </w:tcPr>
                <w:p w14:paraId="24745013">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lang w:eastAsia="zh-CN"/>
                      <w14:textFill>
                        <w14:solidFill>
                          <w14:schemeClr w14:val="tx1"/>
                        </w14:solidFill>
                      </w14:textFill>
                    </w:rPr>
                    <w:t>本项目情况</w:t>
                  </w:r>
                </w:p>
              </w:tc>
            </w:tr>
            <w:tr w14:paraId="1FDDC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 w:hRule="atLeast"/>
                <w:hidden/>
              </w:trPr>
              <w:tc>
                <w:tcPr>
                  <w:tcW w:w="5000" w:type="pct"/>
                  <w:gridSpan w:val="7"/>
                  <w:tcBorders>
                    <w:tl2br w:val="nil"/>
                    <w:tr2bl w:val="nil"/>
                  </w:tcBorders>
                  <w:noWrap w:val="0"/>
                  <w:vAlign w:val="center"/>
                </w:tcPr>
                <w:p w14:paraId="7A0AD038">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textAlignment w:val="auto"/>
                    <w:rPr>
                      <w:rFonts w:hint="default" w:ascii="Times New Roman" w:hAnsi="Times New Roman"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lang w:val="en-US" w:eastAsia="zh-CN"/>
                      <w14:textFill>
                        <w14:solidFill>
                          <w14:schemeClr w14:val="tx1"/>
                        </w14:solidFill>
                      </w14:textFill>
                    </w:rPr>
                    <w:t>四十三、水的生产和供应业</w:t>
                  </w:r>
                </w:p>
              </w:tc>
            </w:tr>
            <w:tr w14:paraId="57E9C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hidden/>
              </w:trPr>
              <w:tc>
                <w:tcPr>
                  <w:tcW w:w="390" w:type="pct"/>
                  <w:tcBorders>
                    <w:tl2br w:val="nil"/>
                    <w:tr2bl w:val="nil"/>
                  </w:tcBorders>
                  <w:noWrap w:val="0"/>
                  <w:vAlign w:val="center"/>
                </w:tcPr>
                <w:p w14:paraId="544C0F90">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cs="Times New Roman"/>
                      <w:b w:val="0"/>
                      <w:bCs w:val="0"/>
                      <w:vanish w:val="0"/>
                      <w:color w:val="000000" w:themeColor="text1"/>
                      <w:sz w:val="21"/>
                      <w:szCs w:val="21"/>
                      <w:lang w:val="en-US" w:eastAsia="zh-CN"/>
                      <w14:textFill>
                        <w14:solidFill>
                          <w14:schemeClr w14:val="tx1"/>
                        </w14:solidFill>
                      </w14:textFill>
                    </w:rPr>
                    <w:t>94</w:t>
                  </w:r>
                </w:p>
              </w:tc>
              <w:tc>
                <w:tcPr>
                  <w:tcW w:w="1061" w:type="pct"/>
                  <w:tcBorders>
                    <w:tl2br w:val="nil"/>
                    <w:tr2bl w:val="nil"/>
                  </w:tcBorders>
                  <w:noWrap w:val="0"/>
                  <w:vAlign w:val="center"/>
                </w:tcPr>
                <w:p w14:paraId="5D41318B">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cs="Times New Roman"/>
                      <w:b w:val="0"/>
                      <w:bCs w:val="0"/>
                      <w:vanish w:val="0"/>
                      <w:color w:val="000000" w:themeColor="text1"/>
                      <w:sz w:val="21"/>
                      <w:szCs w:val="21"/>
                      <w:lang w:val="en-US" w:eastAsia="zh-CN"/>
                      <w14:textFill>
                        <w14:solidFill>
                          <w14:schemeClr w14:val="tx1"/>
                        </w14:solidFill>
                      </w14:textFill>
                    </w:rPr>
                    <w:t>自来水生产和供应461（不含供应工程：不含村庄供应工程）</w:t>
                  </w:r>
                </w:p>
              </w:tc>
              <w:tc>
                <w:tcPr>
                  <w:tcW w:w="369" w:type="pct"/>
                  <w:tcBorders>
                    <w:tl2br w:val="nil"/>
                    <w:tr2bl w:val="nil"/>
                  </w:tcBorders>
                  <w:noWrap w:val="0"/>
                  <w:vAlign w:val="center"/>
                </w:tcPr>
                <w:p w14:paraId="1F9C4C5C">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vanish w:val="0"/>
                      <w:color w:val="000000" w:themeColor="text1"/>
                      <w:kern w:val="0"/>
                      <w:sz w:val="21"/>
                      <w:szCs w:val="21"/>
                      <w:lang w:val="en-US" w:eastAsia="zh-CN" w:bidi="ar"/>
                      <w14:textFill>
                        <w14:solidFill>
                          <w14:schemeClr w14:val="tx1"/>
                        </w14:solidFill>
                      </w14:textFill>
                    </w:rPr>
                    <w:t>/</w:t>
                  </w:r>
                </w:p>
              </w:tc>
              <w:tc>
                <w:tcPr>
                  <w:tcW w:w="369" w:type="pct"/>
                  <w:tcBorders>
                    <w:tl2br w:val="nil"/>
                    <w:tr2bl w:val="nil"/>
                  </w:tcBorders>
                  <w:noWrap w:val="0"/>
                  <w:vAlign w:val="center"/>
                </w:tcPr>
                <w:p w14:paraId="15F1489F">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全部</w:t>
                  </w:r>
                </w:p>
              </w:tc>
              <w:tc>
                <w:tcPr>
                  <w:tcW w:w="384" w:type="pct"/>
                  <w:tcBorders>
                    <w:tl2br w:val="nil"/>
                    <w:tr2bl w:val="nil"/>
                  </w:tcBorders>
                  <w:noWrap w:val="0"/>
                  <w:vAlign w:val="center"/>
                </w:tcPr>
                <w:p w14:paraId="0BBE443A">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p>
              </w:tc>
              <w:tc>
                <w:tcPr>
                  <w:tcW w:w="668" w:type="pct"/>
                  <w:tcBorders>
                    <w:tl2br w:val="nil"/>
                    <w:tr2bl w:val="nil"/>
                  </w:tcBorders>
                  <w:noWrap w:val="0"/>
                  <w:vAlign w:val="center"/>
                </w:tcPr>
                <w:p w14:paraId="1A19640F">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cs="Times New Roman"/>
                      <w:b w:val="0"/>
                      <w:bCs w:val="0"/>
                      <w:vanish w:val="0"/>
                      <w:color w:val="000000" w:themeColor="text1"/>
                      <w:sz w:val="21"/>
                      <w:szCs w:val="21"/>
                      <w14:textFill>
                        <w14:solidFill>
                          <w14:schemeClr w14:val="tx1"/>
                        </w14:solidFill>
                      </w14:textFill>
                    </w:rPr>
                  </w:pPr>
                </w:p>
              </w:tc>
              <w:tc>
                <w:tcPr>
                  <w:tcW w:w="1756" w:type="pct"/>
                  <w:tcBorders>
                    <w:tl2br w:val="nil"/>
                    <w:tr2bl w:val="nil"/>
                  </w:tcBorders>
                  <w:noWrap w:val="0"/>
                  <w:vAlign w:val="center"/>
                </w:tcPr>
                <w:p w14:paraId="4E33CE68">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项目主要为桃川镇6个行政村自来水的供应工程，同时涉及进水水厂等，故应编制报告表。</w:t>
                  </w:r>
                </w:p>
              </w:tc>
            </w:tr>
          </w:tbl>
          <w:p w14:paraId="0672FC0F">
            <w:pPr>
              <w:numPr>
                <w:ilvl w:val="0"/>
                <w:numId w:val="0"/>
              </w:numPr>
              <w:spacing w:line="360" w:lineRule="auto"/>
              <w:ind w:firstLine="420" w:firstLineChars="200"/>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建设单位于2026年6月委托我公司</w:t>
            </w:r>
            <w:r>
              <w:rPr>
                <w:rFonts w:hint="default" w:ascii="Times New Roman" w:hAnsi="Times New Roman" w:eastAsia="宋体" w:cs="Times New Roman"/>
                <w:vanish w:val="0"/>
                <w:color w:val="000000" w:themeColor="text1"/>
                <w:lang w:val="zh-CN" w:eastAsia="zh-CN"/>
                <w14:textFill>
                  <w14:solidFill>
                    <w14:schemeClr w14:val="tx1"/>
                  </w14:solidFill>
                </w14:textFill>
              </w:rPr>
              <w:t>承担本项目环境影响报告表的编制工作</w:t>
            </w:r>
            <w:r>
              <w:rPr>
                <w:rFonts w:hint="eastAsia" w:ascii="Times New Roman" w:hAnsi="Times New Roman" w:eastAsia="宋体" w:cs="Times New Roman"/>
                <w:vanish w:val="0"/>
                <w:color w:val="000000" w:themeColor="text1"/>
                <w:lang w:val="zh-CN" w:eastAsia="zh-CN"/>
                <w14:textFill>
                  <w14:solidFill>
                    <w14:schemeClr w14:val="tx1"/>
                  </w14:solidFill>
                </w14:textFill>
              </w:rPr>
              <w:t>（</w:t>
            </w:r>
            <w:r>
              <w:rPr>
                <w:rFonts w:hint="default" w:ascii="Times New Roman" w:hAnsi="Times New Roman" w:eastAsia="宋体" w:cs="Times New Roman"/>
                <w:vanish w:val="0"/>
                <w:color w:val="000000" w:themeColor="text1"/>
                <w:lang w:val="zh-CN" w:eastAsia="zh-CN"/>
                <w14:textFill>
                  <w14:solidFill>
                    <w14:schemeClr w14:val="tx1"/>
                  </w14:solidFill>
                </w14:textFill>
              </w:rPr>
              <w:t>委托书见附件1</w:t>
            </w:r>
            <w:r>
              <w:rPr>
                <w:rFonts w:hint="eastAsia" w:ascii="Times New Roman" w:hAnsi="Times New Roman" w:eastAsia="宋体" w:cs="Times New Roman"/>
                <w:vanish w:val="0"/>
                <w:color w:val="000000" w:themeColor="text1"/>
                <w:lang w:val="zh-CN" w:eastAsia="zh-CN"/>
                <w14:textFill>
                  <w14:solidFill>
                    <w14:schemeClr w14:val="tx1"/>
                  </w14:solidFill>
                </w14:textFill>
              </w:rPr>
              <w:t>），</w:t>
            </w:r>
            <w:r>
              <w:rPr>
                <w:rFonts w:hint="default" w:ascii="Times New Roman" w:hAnsi="Times New Roman" w:eastAsia="宋体" w:cs="Times New Roman"/>
                <w:vanish w:val="0"/>
                <w:color w:val="000000" w:themeColor="text1"/>
                <w:lang w:val="zh-CN" w:eastAsia="zh-CN"/>
                <w14:textFill>
                  <w14:solidFill>
                    <w14:schemeClr w14:val="tx1"/>
                  </w14:solidFill>
                </w14:textFill>
              </w:rPr>
              <w:t>接受委托后，我单位组织有关技术人员对本</w:t>
            </w:r>
            <w:r>
              <w:rPr>
                <w:rFonts w:hint="eastAsia" w:ascii="Times New Roman" w:hAnsi="Times New Roman" w:eastAsia="宋体" w:cs="Times New Roman"/>
                <w:vanish w:val="0"/>
                <w:color w:val="000000" w:themeColor="text1"/>
                <w:lang w:val="zh-CN" w:eastAsia="zh-CN"/>
                <w14:textFill>
                  <w14:solidFill>
                    <w14:schemeClr w14:val="tx1"/>
                  </w14:solidFill>
                </w14:textFill>
              </w:rPr>
              <w:t>项目</w:t>
            </w:r>
            <w:r>
              <w:rPr>
                <w:rFonts w:hint="default" w:ascii="Times New Roman" w:hAnsi="Times New Roman" w:eastAsia="宋体" w:cs="Times New Roman"/>
                <w:vanish w:val="0"/>
                <w:color w:val="000000" w:themeColor="text1"/>
                <w:lang w:val="zh-CN" w:eastAsia="zh-CN"/>
                <w14:textFill>
                  <w14:solidFill>
                    <w14:schemeClr w14:val="tx1"/>
                  </w14:solidFill>
                </w14:textFill>
              </w:rPr>
              <w:t>进行了详细的现场踏勘、资料收集，在对有关环境现状和可能造成的环境影响进行分析的基础上，</w:t>
            </w:r>
            <w:r>
              <w:rPr>
                <w:rFonts w:hint="eastAsia" w:ascii="Times New Roman" w:hAnsi="Times New Roman" w:eastAsia="宋体" w:cs="Times New Roman"/>
                <w:vanish w:val="0"/>
                <w:color w:val="000000" w:themeColor="text1"/>
                <w:lang w:val="en-US" w:eastAsia="zh-CN"/>
                <w14:textFill>
                  <w14:solidFill>
                    <w14:schemeClr w14:val="tx1"/>
                  </w14:solidFill>
                </w14:textFill>
              </w:rPr>
              <w:t>本着</w:t>
            </w:r>
            <w:r>
              <w:rPr>
                <w:rFonts w:hint="eastAsia" w:cs="Times New Roman"/>
                <w:vanish w:val="0"/>
                <w:color w:val="000000" w:themeColor="text1"/>
                <w:lang w:val="en-US" w:eastAsia="zh-CN"/>
                <w14:textFill>
                  <w14:solidFill>
                    <w14:schemeClr w14:val="tx1"/>
                  </w14:solidFill>
                </w14:textFill>
              </w:rPr>
              <w:t>“</w:t>
            </w:r>
            <w:r>
              <w:rPr>
                <w:rFonts w:hint="eastAsia" w:ascii="Times New Roman" w:hAnsi="Times New Roman" w:eastAsia="宋体" w:cs="Times New Roman"/>
                <w:vanish w:val="0"/>
                <w:color w:val="000000" w:themeColor="text1"/>
                <w:lang w:val="en-US" w:eastAsia="zh-CN"/>
                <w14:textFill>
                  <w14:solidFill>
                    <w14:schemeClr w14:val="tx1"/>
                  </w14:solidFill>
                </w14:textFill>
              </w:rPr>
              <w:t>科学、公正、客观、严谨</w:t>
            </w:r>
            <w:r>
              <w:rPr>
                <w:rFonts w:hint="eastAsia" w:cs="Times New Roman"/>
                <w:vanish w:val="0"/>
                <w:color w:val="000000" w:themeColor="text1"/>
                <w:lang w:val="en-US" w:eastAsia="zh-CN"/>
                <w14:textFill>
                  <w14:solidFill>
                    <w14:schemeClr w14:val="tx1"/>
                  </w14:solidFill>
                </w14:textFill>
              </w:rPr>
              <w:t>”</w:t>
            </w:r>
            <w:r>
              <w:rPr>
                <w:rFonts w:hint="eastAsia" w:ascii="Times New Roman" w:hAnsi="Times New Roman" w:eastAsia="宋体" w:cs="Times New Roman"/>
                <w:vanish w:val="0"/>
                <w:color w:val="000000" w:themeColor="text1"/>
                <w:lang w:val="en-US" w:eastAsia="zh-CN"/>
                <w14:textFill>
                  <w14:solidFill>
                    <w14:schemeClr w14:val="tx1"/>
                  </w14:solidFill>
                </w14:textFill>
              </w:rPr>
              <w:t>的态度，编制</w:t>
            </w:r>
            <w:r>
              <w:rPr>
                <w:rFonts w:hint="default" w:ascii="Times New Roman" w:hAnsi="Times New Roman" w:eastAsia="宋体" w:cs="Times New Roman"/>
                <w:vanish w:val="0"/>
                <w:color w:val="000000" w:themeColor="text1"/>
                <w:lang w:val="zh-CN" w:eastAsia="zh-CN"/>
                <w14:textFill>
                  <w14:solidFill>
                    <w14:schemeClr w14:val="tx1"/>
                  </w14:solidFill>
                </w14:textFill>
              </w:rPr>
              <w:t>完成</w:t>
            </w:r>
            <w:r>
              <w:rPr>
                <w:rFonts w:hint="eastAsia" w:ascii="Times New Roman" w:hAnsi="Times New Roman" w:eastAsia="宋体" w:cs="Times New Roman"/>
                <w:vanish w:val="0"/>
                <w:color w:val="000000" w:themeColor="text1"/>
                <w:lang w:val="zh-CN" w:eastAsia="zh-CN"/>
                <w14:textFill>
                  <w14:solidFill>
                    <w14:schemeClr w14:val="tx1"/>
                  </w14:solidFill>
                </w14:textFill>
              </w:rPr>
              <w:t>了</w:t>
            </w:r>
            <w:r>
              <w:rPr>
                <w:rFonts w:hint="default" w:ascii="Times New Roman" w:hAnsi="Times New Roman" w:eastAsia="宋体" w:cs="Times New Roman"/>
                <w:vanish w:val="0"/>
                <w:color w:val="000000" w:themeColor="text1"/>
                <w:lang w:val="zh-CN"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太白县桃川镇集中供水工程</w:t>
            </w:r>
            <w:r>
              <w:rPr>
                <w:rFonts w:hint="default" w:ascii="Times New Roman" w:hAnsi="Times New Roman" w:eastAsia="宋体" w:cs="Times New Roman"/>
                <w:vanish w:val="0"/>
                <w:color w:val="000000" w:themeColor="text1"/>
                <w:lang w:val="zh-CN" w:eastAsia="zh-CN"/>
                <w14:textFill>
                  <w14:solidFill>
                    <w14:schemeClr w14:val="tx1"/>
                  </w14:solidFill>
                </w14:textFill>
              </w:rPr>
              <w:t>环境影响报告表》</w:t>
            </w:r>
            <w:r>
              <w:rPr>
                <w:rFonts w:hint="eastAsia" w:ascii="Times New Roman" w:hAnsi="Times New Roman" w:eastAsia="宋体" w:cs="Times New Roman"/>
                <w:vanish w:val="0"/>
                <w:color w:val="000000" w:themeColor="text1"/>
                <w:lang w:val="zh-CN" w:eastAsia="zh-CN"/>
                <w14:textFill>
                  <w14:solidFill>
                    <w14:schemeClr w14:val="tx1"/>
                  </w14:solidFill>
                </w14:textFill>
              </w:rPr>
              <w:t>。</w:t>
            </w:r>
          </w:p>
          <w:p w14:paraId="006FA543">
            <w:pPr>
              <w:numPr>
                <w:ilvl w:val="0"/>
                <w:numId w:val="0"/>
              </w:numPr>
              <w:spacing w:line="360" w:lineRule="auto"/>
              <w:ind w:firstLine="420" w:firstLineChars="200"/>
              <w:rPr>
                <w:rFonts w:hint="default"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lang w:val="en-US" w:eastAsia="zh-CN"/>
                <w14:textFill>
                  <w14:solidFill>
                    <w14:schemeClr w14:val="tx1"/>
                  </w14:solidFill>
                </w14:textFill>
              </w:rPr>
              <w:t>二、项目概况</w:t>
            </w:r>
          </w:p>
          <w:p w14:paraId="51F2BC8A">
            <w:pPr>
              <w:numPr>
                <w:ilvl w:val="0"/>
                <w:numId w:val="0"/>
              </w:numPr>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1、项目组成</w:t>
            </w:r>
          </w:p>
          <w:p w14:paraId="12FAAE44">
            <w:pPr>
              <w:numPr>
                <w:ilvl w:val="0"/>
                <w:numId w:val="0"/>
              </w:numPr>
              <w:spacing w:line="360" w:lineRule="auto"/>
              <w:ind w:firstLine="420" w:firstLineChars="200"/>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项目名称：</w:t>
            </w:r>
            <w:r>
              <w:rPr>
                <w:rFonts w:hint="default" w:ascii="Times New Roman" w:hAnsi="Times New Roman" w:eastAsia="宋体" w:cs="Times New Roman"/>
                <w:vanish w:val="0"/>
                <w:color w:val="000000" w:themeColor="text1"/>
                <w:lang w:val="en-US" w:eastAsia="zh-CN"/>
                <w14:textFill>
                  <w14:solidFill>
                    <w14:schemeClr w14:val="tx1"/>
                  </w14:solidFill>
                </w14:textFill>
              </w:rPr>
              <w:t>太白县桃川镇集中供水工程</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p>
          <w:p w14:paraId="3FBB5CCE">
            <w:pPr>
              <w:numPr>
                <w:ilvl w:val="0"/>
                <w:numId w:val="0"/>
              </w:numPr>
              <w:spacing w:line="360" w:lineRule="auto"/>
              <w:ind w:firstLine="420" w:firstLineChars="200"/>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建设单位：太白县农业农村和水利局；</w:t>
            </w:r>
          </w:p>
          <w:p w14:paraId="10CDD9A9">
            <w:pPr>
              <w:numPr>
                <w:ilvl w:val="0"/>
                <w:numId w:val="0"/>
              </w:numPr>
              <w:spacing w:line="360" w:lineRule="auto"/>
              <w:ind w:firstLine="420" w:firstLineChars="200"/>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建设性质：新建；</w:t>
            </w:r>
          </w:p>
          <w:p w14:paraId="7830A746">
            <w:pPr>
              <w:numPr>
                <w:ilvl w:val="0"/>
                <w:numId w:val="0"/>
              </w:numPr>
              <w:spacing w:line="360" w:lineRule="auto"/>
              <w:ind w:firstLine="420" w:firstLineChars="200"/>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建设地点：宝鸡市太白县桃川镇，具体地理位置见附图1。</w:t>
            </w:r>
          </w:p>
          <w:p w14:paraId="2968069B">
            <w:pPr>
              <w:numPr>
                <w:ilvl w:val="0"/>
                <w:numId w:val="0"/>
              </w:numPr>
              <w:spacing w:line="360" w:lineRule="auto"/>
              <w:ind w:firstLine="420" w:firstLineChars="200"/>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供水对象：桃川镇6个行政村及镇区，共计1845户、</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15864人</w:t>
            </w: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w:t>
            </w:r>
          </w:p>
          <w:p w14:paraId="1FE66E79">
            <w:pPr>
              <w:numPr>
                <w:ilvl w:val="0"/>
                <w:numId w:val="0"/>
              </w:numPr>
              <w:spacing w:line="360" w:lineRule="auto"/>
              <w:ind w:firstLine="420" w:firstLineChars="200"/>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供水水源：水源为石头河，本次环评范围不涉及取水，后期另行环评。</w:t>
            </w:r>
          </w:p>
          <w:p w14:paraId="57666A36">
            <w:pPr>
              <w:numPr>
                <w:ilvl w:val="0"/>
                <w:numId w:val="0"/>
              </w:numPr>
              <w:spacing w:line="360" w:lineRule="auto"/>
              <w:ind w:firstLine="420" w:firstLineChars="200"/>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项目建设内容：输配水管网及相应附属设施、水池、一体</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化泵站、供配电及信息化等。</w:t>
            </w:r>
          </w:p>
          <w:p w14:paraId="2CE25BD5">
            <w:pPr>
              <w:numPr>
                <w:ilvl w:val="0"/>
                <w:numId w:val="0"/>
              </w:numPr>
              <w:spacing w:line="360" w:lineRule="auto"/>
              <w:ind w:firstLine="420" w:firstLineChars="200"/>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建设内容：</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新建C30预制钢筋砼大口井1座、日处理能力800m</w:t>
            </w:r>
            <w:r>
              <w:rPr>
                <w:rFonts w:hint="default" w:ascii="Times New Roman" w:hAnsi="Times New Roman" w:eastAsia="宋体" w:cs="Times New Roman"/>
                <w:vanish w:val="0"/>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/d水厂1座、200m</w:t>
            </w:r>
            <w:r>
              <w:rPr>
                <w:rFonts w:hint="eastAsia" w:ascii="Times New Roman" w:hAnsi="Times New Roman" w:eastAsia="宋体" w:cs="Times New Roman"/>
                <w:vanish w:val="0"/>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清水池1座、20m</w:t>
            </w:r>
            <w:r>
              <w:rPr>
                <w:rFonts w:hint="default" w:ascii="Times New Roman" w:hAnsi="Times New Roman" w:eastAsia="宋体" w:cs="Times New Roman"/>
                <w:vanish w:val="0"/>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减压池1座、50m</w:t>
            </w:r>
            <w:r>
              <w:rPr>
                <w:rFonts w:hint="default" w:ascii="Times New Roman" w:hAnsi="Times New Roman" w:eastAsia="宋体" w:cs="Times New Roman"/>
                <w:vanish w:val="0"/>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减压池2座、100m</w:t>
            </w:r>
            <w:r>
              <w:rPr>
                <w:rFonts w:hint="default" w:ascii="Times New Roman" w:hAnsi="Times New Roman" w:eastAsia="宋体" w:cs="Times New Roman"/>
                <w:vanish w:val="0"/>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t>减压池1座，新铺设输配水管线23.96km，阀井152座，入户工程1845套。</w:t>
            </w:r>
          </w:p>
          <w:p w14:paraId="2A7CFC7C">
            <w:pPr>
              <w:numPr>
                <w:ilvl w:val="0"/>
                <w:numId w:val="0"/>
              </w:numPr>
              <w:spacing w:line="360" w:lineRule="auto"/>
              <w:ind w:firstLine="420" w:firstLineChars="200"/>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项目总投资：2128.05万元，其中环保投资为73.6万元。</w:t>
            </w:r>
          </w:p>
          <w:p w14:paraId="784C8FB6">
            <w:pPr>
              <w:numPr>
                <w:ilvl w:val="0"/>
                <w:numId w:val="0"/>
              </w:numPr>
              <w:spacing w:line="360" w:lineRule="auto"/>
              <w:ind w:firstLine="420" w:firstLineChars="200"/>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劳动定员：水厂人员管理人员6人。</w:t>
            </w:r>
          </w:p>
          <w:p w14:paraId="1FFDD37A">
            <w:pPr>
              <w:numPr>
                <w:ilvl w:val="0"/>
                <w:numId w:val="0"/>
              </w:numPr>
              <w:spacing w:line="360" w:lineRule="auto"/>
              <w:ind w:firstLine="420" w:firstLineChars="200"/>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highlight w:val="none"/>
                <w:lang w:val="en-US" w:eastAsia="zh-CN"/>
                <w14:textFill>
                  <w14:solidFill>
                    <w14:schemeClr w14:val="tx1"/>
                  </w14:solidFill>
                </w14:textFill>
              </w:rPr>
              <w:t>项目工期：8个月。</w:t>
            </w:r>
          </w:p>
          <w:p w14:paraId="586388A7">
            <w:pPr>
              <w:numPr>
                <w:ilvl w:val="0"/>
                <w:numId w:val="0"/>
              </w:numPr>
              <w:spacing w:line="360" w:lineRule="auto"/>
              <w:ind w:firstLine="420" w:firstLineChars="200"/>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项目组成情况见下表2-2。</w:t>
            </w:r>
          </w:p>
          <w:p w14:paraId="1C579CEE">
            <w:pPr>
              <w:pStyle w:val="53"/>
              <w:bidi w:val="0"/>
              <w:rPr>
                <w:rFonts w:hint="eastAsia"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表2-2  项目组成及规模一览表</w:t>
            </w:r>
          </w:p>
          <w:tbl>
            <w:tblPr>
              <w:tblStyle w:val="23"/>
              <w:tblW w:w="49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828"/>
              <w:gridCol w:w="5999"/>
              <w:gridCol w:w="694"/>
            </w:tblGrid>
            <w:tr w14:paraId="7B1FD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1003" w:type="pct"/>
                  <w:gridSpan w:val="3"/>
                  <w:tcBorders>
                    <w:tl2br w:val="nil"/>
                    <w:tr2bl w:val="nil"/>
                  </w:tcBorders>
                  <w:noWrap w:val="0"/>
                  <w:vAlign w:val="center"/>
                </w:tcPr>
                <w:p w14:paraId="4DF889E0">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bCs/>
                      <w:vanish w:val="0"/>
                      <w:color w:val="000000" w:themeColor="text1"/>
                      <w:highlight w:val="none"/>
                      <w:lang w:val="en-US" w:eastAsia="zh-CN"/>
                      <w14:textFill>
                        <w14:solidFill>
                          <w14:schemeClr w14:val="tx1"/>
                        </w14:solidFill>
                      </w14:textFill>
                    </w:rPr>
                  </w:pPr>
                  <w:r>
                    <w:rPr>
                      <w:rFonts w:hint="eastAsia"/>
                      <w:b/>
                      <w:bCs/>
                      <w:vanish w:val="0"/>
                      <w:color w:val="000000" w:themeColor="text1"/>
                      <w:highlight w:val="none"/>
                      <w:lang w:val="en-US" w:eastAsia="zh-CN"/>
                      <w14:textFill>
                        <w14:solidFill>
                          <w14:schemeClr w14:val="tx1"/>
                        </w14:solidFill>
                      </w14:textFill>
                    </w:rPr>
                    <w:t>工程类别</w:t>
                  </w:r>
                </w:p>
              </w:tc>
              <w:tc>
                <w:tcPr>
                  <w:tcW w:w="3581" w:type="pct"/>
                  <w:tcBorders>
                    <w:tl2br w:val="nil"/>
                    <w:tr2bl w:val="nil"/>
                  </w:tcBorders>
                  <w:noWrap w:val="0"/>
                  <w:vAlign w:val="center"/>
                </w:tcPr>
                <w:p w14:paraId="7B277C92">
                  <w:pPr>
                    <w:pStyle w:val="6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b/>
                      <w:bCs/>
                      <w:vanish w:val="0"/>
                      <w:color w:val="000000" w:themeColor="text1"/>
                      <w:lang w:val="en-US" w:eastAsia="zh-CN"/>
                      <w14:textFill>
                        <w14:solidFill>
                          <w14:schemeClr w14:val="tx1"/>
                        </w14:solidFill>
                      </w14:textFill>
                    </w:rPr>
                  </w:pPr>
                  <w:r>
                    <w:rPr>
                      <w:rFonts w:hint="eastAsia"/>
                      <w:b/>
                      <w:bCs/>
                      <w:vanish w:val="0"/>
                      <w:color w:val="000000" w:themeColor="text1"/>
                      <w:lang w:val="en-US" w:eastAsia="zh-CN"/>
                      <w14:textFill>
                        <w14:solidFill>
                          <w14:schemeClr w14:val="tx1"/>
                        </w14:solidFill>
                      </w14:textFill>
                    </w:rPr>
                    <w:t>工程内容</w:t>
                  </w:r>
                </w:p>
              </w:tc>
              <w:tc>
                <w:tcPr>
                  <w:tcW w:w="414" w:type="pct"/>
                  <w:tcBorders>
                    <w:tl2br w:val="nil"/>
                    <w:tr2bl w:val="nil"/>
                  </w:tcBorders>
                  <w:noWrap w:val="0"/>
                  <w:vAlign w:val="center"/>
                </w:tcPr>
                <w:p w14:paraId="34004B6E">
                  <w:pPr>
                    <w:pStyle w:val="6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b/>
                      <w:bCs/>
                      <w:vanish w:val="0"/>
                      <w:color w:val="000000" w:themeColor="text1"/>
                      <w:lang w:val="en-US" w:eastAsia="zh-CN"/>
                      <w14:textFill>
                        <w14:solidFill>
                          <w14:schemeClr w14:val="tx1"/>
                        </w14:solidFill>
                      </w14:textFill>
                    </w:rPr>
                  </w:pPr>
                  <w:r>
                    <w:rPr>
                      <w:rFonts w:hint="eastAsia"/>
                      <w:b/>
                      <w:bCs/>
                      <w:vanish w:val="0"/>
                      <w:color w:val="000000" w:themeColor="text1"/>
                      <w:lang w:val="en-US" w:eastAsia="zh-CN"/>
                      <w14:textFill>
                        <w14:solidFill>
                          <w14:schemeClr w14:val="tx1"/>
                        </w14:solidFill>
                      </w14:textFill>
                    </w:rPr>
                    <w:t>备注</w:t>
                  </w:r>
                </w:p>
              </w:tc>
            </w:tr>
            <w:tr w14:paraId="52CC7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restart"/>
                  <w:tcBorders>
                    <w:tl2br w:val="nil"/>
                    <w:tr2bl w:val="nil"/>
                  </w:tcBorders>
                  <w:noWrap w:val="0"/>
                  <w:vAlign w:val="center"/>
                </w:tcPr>
                <w:p w14:paraId="0ACACFC2">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主体工程</w:t>
                  </w:r>
                </w:p>
              </w:tc>
              <w:tc>
                <w:tcPr>
                  <w:tcW w:w="749" w:type="pct"/>
                  <w:gridSpan w:val="2"/>
                  <w:tcBorders>
                    <w:tl2br w:val="nil"/>
                    <w:tr2bl w:val="nil"/>
                  </w:tcBorders>
                  <w:noWrap w:val="0"/>
                  <w:vAlign w:val="center"/>
                </w:tcPr>
                <w:p w14:paraId="6E43C95F">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净化</w:t>
                  </w:r>
                </w:p>
                <w:p w14:paraId="6CA7DD31">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水厂</w:t>
                  </w:r>
                </w:p>
              </w:tc>
              <w:tc>
                <w:tcPr>
                  <w:tcW w:w="3581" w:type="pct"/>
                  <w:tcBorders>
                    <w:tl2br w:val="nil"/>
                    <w:tr2bl w:val="nil"/>
                  </w:tcBorders>
                  <w:noWrap w:val="0"/>
                  <w:vAlign w:val="center"/>
                </w:tcPr>
                <w:p w14:paraId="7B5D3CD9">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b w:val="0"/>
                      <w:bCs w:val="0"/>
                      <w:vanish w:val="0"/>
                      <w:color w:val="000000" w:themeColor="text1"/>
                      <w:lang w:val="en-US" w:eastAsia="zh-CN"/>
                      <w14:textFill>
                        <w14:solidFill>
                          <w14:schemeClr w14:val="tx1"/>
                        </w14:solidFill>
                      </w14:textFill>
                    </w:rPr>
                    <w:t>建设1座</w:t>
                  </w:r>
                  <w:r>
                    <w:rPr>
                      <w:rFonts w:hint="default" w:ascii="Times New Roman" w:hAnsi="Times New Roman" w:eastAsia="宋体" w:cs="Times New Roman"/>
                      <w:vanish w:val="0"/>
                      <w:color w:val="000000" w:themeColor="text1"/>
                      <w:lang w:val="en-US" w:eastAsia="zh-CN"/>
                      <w14:textFill>
                        <w14:solidFill>
                          <w14:schemeClr w14:val="tx1"/>
                        </w14:solidFill>
                      </w14:textFill>
                    </w:rPr>
                    <w:t>日处理能力800m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/d</w:t>
                  </w:r>
                  <w:r>
                    <w:rPr>
                      <w:rFonts w:hint="eastAsia" w:ascii="Times New Roman" w:hAnsi="Times New Roman" w:eastAsia="宋体" w:cs="Times New Roman"/>
                      <w:vanish w:val="0"/>
                      <w:color w:val="000000" w:themeColor="text1"/>
                      <w:lang w:val="en-US" w:eastAsia="zh-CN"/>
                      <w14:textFill>
                        <w14:solidFill>
                          <w14:schemeClr w14:val="tx1"/>
                        </w14:solidFill>
                      </w14:textFill>
                    </w:rPr>
                    <w:t>净化</w:t>
                  </w:r>
                  <w:r>
                    <w:rPr>
                      <w:rFonts w:hint="default" w:ascii="Times New Roman" w:hAnsi="Times New Roman" w:eastAsia="宋体" w:cs="Times New Roman"/>
                      <w:vanish w:val="0"/>
                      <w:color w:val="000000" w:themeColor="text1"/>
                      <w:lang w:val="en-US" w:eastAsia="zh-CN"/>
                      <w14:textFill>
                        <w14:solidFill>
                          <w14:schemeClr w14:val="tx1"/>
                        </w14:solidFill>
                      </w14:textFill>
                    </w:rPr>
                    <w:t>水厂</w:t>
                  </w:r>
                  <w:r>
                    <w:rPr>
                      <w:rFonts w:hint="eastAsia" w:ascii="Times New Roman" w:hAnsi="Times New Roman" w:eastAsia="宋体" w:cs="Times New Roman"/>
                      <w:vanish w:val="0"/>
                      <w:color w:val="000000" w:themeColor="text1"/>
                      <w:lang w:val="en-US" w:eastAsia="zh-CN"/>
                      <w14:textFill>
                        <w14:solidFill>
                          <w14:schemeClr w14:val="tx1"/>
                        </w14:solidFill>
                      </w14:textFill>
                    </w:rPr>
                    <w:t>，总占地面积1600m</w:t>
                  </w:r>
                  <w:r>
                    <w:rPr>
                      <w:rFonts w:hint="eastAsia" w:ascii="Times New Roman" w:hAnsi="Times New Roman" w:eastAsia="宋体" w:cs="Times New Roman"/>
                      <w:vanish w:val="0"/>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p>
                <w:p w14:paraId="747B73D9">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cs="Times New Roman"/>
                      <w:b w:val="0"/>
                      <w:bCs w:val="0"/>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长40m×宽40m，配套建设净化水房、200m</w:t>
                  </w:r>
                  <w:r>
                    <w:rPr>
                      <w:rFonts w:hint="eastAsia"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vanish w:val="0"/>
                      <w:color w:val="000000" w:themeColor="text1"/>
                      <w:lang w:val="en-US" w:eastAsia="zh-CN"/>
                      <w14:textFill>
                        <w14:solidFill>
                          <w14:schemeClr w14:val="tx1"/>
                        </w14:solidFill>
                      </w14:textFill>
                    </w:rPr>
                    <w:t>清水池、管理用房以及其他辅助设施。</w:t>
                  </w:r>
                </w:p>
              </w:tc>
              <w:tc>
                <w:tcPr>
                  <w:tcW w:w="414" w:type="pct"/>
                  <w:tcBorders>
                    <w:tl2br w:val="nil"/>
                    <w:tr2bl w:val="nil"/>
                  </w:tcBorders>
                  <w:noWrap w:val="0"/>
                  <w:vAlign w:val="center"/>
                </w:tcPr>
                <w:p w14:paraId="01B322AF">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cs="Times New Roman"/>
                      <w:vanish w:val="0"/>
                      <w:color w:val="000000" w:themeColor="text1"/>
                      <w:lang w:val="en-US" w:eastAsia="zh-CN"/>
                      <w14:textFill>
                        <w14:solidFill>
                          <w14:schemeClr w14:val="tx1"/>
                        </w14:solidFill>
                      </w14:textFill>
                    </w:rPr>
                    <w:t>厂房主体已建成，设备未安装</w:t>
                  </w:r>
                </w:p>
              </w:tc>
            </w:tr>
            <w:tr w14:paraId="0680C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hidden/>
              </w:trPr>
              <w:tc>
                <w:tcPr>
                  <w:tcW w:w="254" w:type="pct"/>
                  <w:vMerge w:val="continue"/>
                  <w:tcBorders>
                    <w:tl2br w:val="nil"/>
                    <w:tr2bl w:val="nil"/>
                  </w:tcBorders>
                  <w:noWrap w:val="0"/>
                  <w:vAlign w:val="center"/>
                </w:tcPr>
                <w:p w14:paraId="2810838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tcBorders>
                    <w:tl2br w:val="nil"/>
                    <w:tr2bl w:val="nil"/>
                  </w:tcBorders>
                  <w:noWrap w:val="0"/>
                  <w:vAlign w:val="center"/>
                </w:tcPr>
                <w:p w14:paraId="503FA697">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配水</w:t>
                  </w:r>
                </w:p>
                <w:p w14:paraId="2B3293CB">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管网</w:t>
                  </w:r>
                </w:p>
              </w:tc>
              <w:tc>
                <w:tcPr>
                  <w:tcW w:w="3581" w:type="pct"/>
                  <w:tcBorders>
                    <w:tl2br w:val="nil"/>
                    <w:tr2bl w:val="nil"/>
                  </w:tcBorders>
                  <w:noWrap w:val="0"/>
                  <w:vAlign w:val="center"/>
                </w:tcPr>
                <w:p w14:paraId="557E294C">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配水采用重力自流结合局部加压的供水系统，</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均采用</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直埋式。</w:t>
                  </w:r>
                </w:p>
                <w:p w14:paraId="00AD8373">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新建配水管线共</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23.96</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km，其中Φ</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165PE供水主干</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（水厂至减压池）5.5</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km，Φ</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110PE供水支</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（减压池至魁星楼村分水口）</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km</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Φ</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90PE供水支</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10.66</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km</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Φ</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75PE供水支</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km</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p>
                <w:p w14:paraId="64D895A3">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Φ</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50PE供水支</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3.2</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km</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p>
                <w:p w14:paraId="1EB21519">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管网配套建设泄水阀井27座、排气阀井27座、检修阀井29座，检验阀井58座、减压阀</w:t>
                  </w:r>
                  <w:r>
                    <w:rPr>
                      <w:rFonts w:hint="eastAsia" w:cs="Times New Roman"/>
                      <w:vanish w:val="0"/>
                      <w:color w:val="000000" w:themeColor="text1"/>
                      <w:sz w:val="21"/>
                      <w:szCs w:val="21"/>
                      <w:highlight w:val="none"/>
                      <w:lang w:val="en-US" w:eastAsia="zh-CN"/>
                      <w14:textFill>
                        <w14:solidFill>
                          <w14:schemeClr w14:val="tx1"/>
                        </w14:solidFill>
                      </w14:textFill>
                    </w:rPr>
                    <w:t>井</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7座。</w:t>
                  </w:r>
                </w:p>
              </w:tc>
              <w:tc>
                <w:tcPr>
                  <w:tcW w:w="414" w:type="pct"/>
                  <w:tcBorders>
                    <w:tl2br w:val="nil"/>
                    <w:tr2bl w:val="nil"/>
                  </w:tcBorders>
                  <w:noWrap w:val="0"/>
                  <w:vAlign w:val="center"/>
                </w:tcPr>
                <w:p w14:paraId="096AD58B">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0A779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hidden/>
              </w:trPr>
              <w:tc>
                <w:tcPr>
                  <w:tcW w:w="254" w:type="pct"/>
                  <w:vMerge w:val="continue"/>
                  <w:tcBorders>
                    <w:tl2br w:val="nil"/>
                    <w:tr2bl w:val="nil"/>
                  </w:tcBorders>
                  <w:noWrap w:val="0"/>
                  <w:vAlign w:val="center"/>
                </w:tcPr>
                <w:p w14:paraId="1FF11593">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tcBorders>
                    <w:tl2br w:val="nil"/>
                    <w:tr2bl w:val="nil"/>
                  </w:tcBorders>
                  <w:noWrap w:val="0"/>
                  <w:vAlign w:val="center"/>
                </w:tcPr>
                <w:p w14:paraId="67418C84">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改造</w:t>
                  </w:r>
                </w:p>
                <w:p w14:paraId="10AC44DA">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工程</w:t>
                  </w:r>
                </w:p>
              </w:tc>
              <w:tc>
                <w:tcPr>
                  <w:tcW w:w="3581" w:type="pct"/>
                  <w:tcBorders>
                    <w:tl2br w:val="nil"/>
                    <w:tr2bl w:val="nil"/>
                  </w:tcBorders>
                  <w:noWrap w:val="0"/>
                  <w:vAlign w:val="center"/>
                </w:tcPr>
                <w:p w14:paraId="455B2DFE">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对现有10座蓄水池改造利用，主要包括杜家庄村现有50m</w:t>
                  </w:r>
                  <w:r>
                    <w:rPr>
                      <w:rFonts w:hint="default"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蓄水池、灵丹庙村水厂现有200m</w:t>
                  </w:r>
                  <w:r>
                    <w:rPr>
                      <w:rFonts w:hint="default"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蓄水池、白杨塬水厂60m</w:t>
                  </w:r>
                  <w:r>
                    <w:rPr>
                      <w:rFonts w:hint="default"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蓄水池及原系统2座减压池、杨下村水厂100m</w:t>
                  </w:r>
                  <w:r>
                    <w:rPr>
                      <w:rFonts w:hint="default"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蓄水池及原系统3座减压池，枣园村现有50m</w:t>
                  </w:r>
                  <w:r>
                    <w:rPr>
                      <w:rFonts w:hint="default"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蓄水池，改造内容包括进水池主管上减压阀减压及浮球阀控制水位。</w:t>
                  </w:r>
                </w:p>
              </w:tc>
              <w:tc>
                <w:tcPr>
                  <w:tcW w:w="414" w:type="pct"/>
                  <w:tcBorders>
                    <w:tl2br w:val="nil"/>
                    <w:tr2bl w:val="nil"/>
                  </w:tcBorders>
                  <w:noWrap w:val="0"/>
                  <w:vAlign w:val="center"/>
                </w:tcPr>
                <w:p w14:paraId="0B99E103">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改造</w:t>
                  </w:r>
                </w:p>
              </w:tc>
            </w:tr>
            <w:tr w14:paraId="7F3CE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hidden/>
              </w:trPr>
              <w:tc>
                <w:tcPr>
                  <w:tcW w:w="254" w:type="pct"/>
                  <w:vMerge w:val="continue"/>
                  <w:tcBorders>
                    <w:tl2br w:val="nil"/>
                    <w:tr2bl w:val="nil"/>
                  </w:tcBorders>
                  <w:noWrap w:val="0"/>
                  <w:vAlign w:val="center"/>
                </w:tcPr>
                <w:p w14:paraId="7BAB74EB">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tcBorders>
                    <w:tl2br w:val="nil"/>
                    <w:tr2bl w:val="nil"/>
                  </w:tcBorders>
                  <w:noWrap w:val="0"/>
                  <w:vAlign w:val="center"/>
                </w:tcPr>
                <w:p w14:paraId="71CF400F">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入户</w:t>
                  </w:r>
                </w:p>
                <w:p w14:paraId="34794796">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工程</w:t>
                  </w:r>
                </w:p>
              </w:tc>
              <w:tc>
                <w:tcPr>
                  <w:tcW w:w="3581" w:type="pct"/>
                  <w:tcBorders>
                    <w:tl2br w:val="nil"/>
                    <w:tr2bl w:val="nil"/>
                  </w:tcBorders>
                  <w:noWrap w:val="0"/>
                  <w:vAlign w:val="center"/>
                </w:tcPr>
                <w:p w14:paraId="365F11FD">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入户工程主要包括排空式出水装置</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防冻龙头</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和混凝土洗衣池。</w:t>
                  </w:r>
                </w:p>
                <w:p w14:paraId="7B373BF0">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①排空式出水装置</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防冻龙头</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，共计1845套。</w:t>
                  </w:r>
                </w:p>
                <w:p w14:paraId="06959C95">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采用SYFD-600/750型号，地上部分60cm 为不锈钢出水弯管，地下锥形腔埋</w:t>
                  </w:r>
                  <w:r>
                    <w:rPr>
                      <w:rFonts w:hint="eastAsia" w:cs="Times New Roman"/>
                      <w:vanish w:val="0"/>
                      <w:color w:val="000000" w:themeColor="text1"/>
                      <w:sz w:val="21"/>
                      <w:szCs w:val="21"/>
                      <w:highlight w:val="none"/>
                      <w:lang w:val="en-US" w:eastAsia="zh-CN"/>
                      <w14:textFill>
                        <w14:solidFill>
                          <w14:schemeClr w14:val="tx1"/>
                        </w14:solidFill>
                      </w14:textFill>
                    </w:rPr>
                    <w:t>深度</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大于冻土层厚度，设计取75cm。</w:t>
                  </w:r>
                </w:p>
                <w:p w14:paraId="4DF73150">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②混凝土洗衣池</w:t>
                  </w:r>
                  <w:r>
                    <w:rPr>
                      <w:rFonts w:hint="eastAsia"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砖砌洗衣池共计1845座。</w:t>
                  </w:r>
                </w:p>
                <w:p w14:paraId="03512714">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新建排空式出水装置出水下方设置洗衣水池，采用混凝土结构，外尺寸长70cm、宽45cm、高25cm，内尺寸长60cm、宽35cm、高20cm，设置地漏一处。</w:t>
                  </w:r>
                </w:p>
              </w:tc>
              <w:tc>
                <w:tcPr>
                  <w:tcW w:w="414" w:type="pct"/>
                  <w:tcBorders>
                    <w:tl2br w:val="nil"/>
                    <w:tr2bl w:val="nil"/>
                  </w:tcBorders>
                  <w:noWrap w:val="0"/>
                  <w:vAlign w:val="center"/>
                </w:tcPr>
                <w:p w14:paraId="7C0D5DE4">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7301D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tcBorders>
                    <w:tl2br w:val="nil"/>
                    <w:tr2bl w:val="nil"/>
                  </w:tcBorders>
                  <w:noWrap w:val="0"/>
                  <w:vAlign w:val="center"/>
                </w:tcPr>
                <w:p w14:paraId="4CC46571">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vanish w:val="0"/>
                      <w:color w:val="000000" w:themeColor="text1"/>
                      <w:sz w:val="21"/>
                      <w:szCs w:val="24"/>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辅助工程</w:t>
                  </w:r>
                </w:p>
              </w:tc>
              <w:tc>
                <w:tcPr>
                  <w:tcW w:w="749" w:type="pct"/>
                  <w:gridSpan w:val="2"/>
                  <w:tcBorders>
                    <w:tl2br w:val="nil"/>
                    <w:tr2bl w:val="nil"/>
                  </w:tcBorders>
                  <w:noWrap w:val="0"/>
                  <w:vAlign w:val="center"/>
                </w:tcPr>
                <w:p w14:paraId="10D7A5C7">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vanish w:val="0"/>
                      <w:color w:val="000000" w:themeColor="text1"/>
                      <w:sz w:val="21"/>
                      <w:szCs w:val="24"/>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减压池</w:t>
                  </w:r>
                </w:p>
              </w:tc>
              <w:tc>
                <w:tcPr>
                  <w:tcW w:w="3581" w:type="pct"/>
                  <w:tcBorders>
                    <w:tl2br w:val="nil"/>
                    <w:tr2bl w:val="nil"/>
                  </w:tcBorders>
                  <w:noWrap w:val="0"/>
                  <w:vAlign w:val="center"/>
                </w:tcPr>
                <w:p w14:paraId="20D7276F">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输水沿线采用分段减压，在主管上新建2处减压调蓄池，分别位于供水节点J1（20m</w:t>
                  </w:r>
                  <w:r>
                    <w:rPr>
                      <w:rFonts w:hint="eastAsia"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减压池）、J2处（100m</w:t>
                  </w:r>
                  <w:r>
                    <w:rPr>
                      <w:rFonts w:hint="eastAsia"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减压调蓄池），且在进水池之前安装淹没式多喷孔套筒调节阀减压；此外，对枣园村现有5座水池进行合并，在枣园村新建2处50m</w:t>
                  </w:r>
                  <w:r>
                    <w:rPr>
                      <w:rFonts w:hint="eastAsia"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减压调蓄池，减压池配套设施有进水管</w:t>
                  </w:r>
                  <w:r>
                    <w:rPr>
                      <w:rFonts w:hint="eastAsia" w:cs="Times New Roman"/>
                      <w:vanish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溢流管、出水管、泄水管，</w:t>
                  </w:r>
                </w:p>
                <w:p w14:paraId="6D9D770B">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b w:val="0"/>
                      <w:bCs w:val="0"/>
                      <w:vanish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池顶设有检修孔、通风孔、水位标尺。</w:t>
                  </w:r>
                </w:p>
              </w:tc>
              <w:tc>
                <w:tcPr>
                  <w:tcW w:w="414" w:type="pct"/>
                  <w:tcBorders>
                    <w:tl2br w:val="nil"/>
                    <w:tr2bl w:val="nil"/>
                  </w:tcBorders>
                  <w:noWrap w:val="0"/>
                  <w:vAlign w:val="center"/>
                </w:tcPr>
                <w:p w14:paraId="2B00892A">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576A5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restart"/>
                  <w:tcBorders>
                    <w:tl2br w:val="nil"/>
                    <w:tr2bl w:val="nil"/>
                  </w:tcBorders>
                  <w:noWrap w:val="0"/>
                  <w:vAlign w:val="center"/>
                </w:tcPr>
                <w:p w14:paraId="39749E5B">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依托工程</w:t>
                  </w:r>
                </w:p>
              </w:tc>
              <w:tc>
                <w:tcPr>
                  <w:tcW w:w="749" w:type="pct"/>
                  <w:gridSpan w:val="2"/>
                  <w:tcBorders>
                    <w:tl2br w:val="nil"/>
                    <w:tr2bl w:val="nil"/>
                  </w:tcBorders>
                  <w:noWrap w:val="0"/>
                  <w:vAlign w:val="center"/>
                </w:tcPr>
                <w:p w14:paraId="68358638">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施工</w:t>
                  </w:r>
                </w:p>
                <w:p w14:paraId="0D6E22D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用水</w:t>
                  </w:r>
                </w:p>
              </w:tc>
              <w:tc>
                <w:tcPr>
                  <w:tcW w:w="3581" w:type="pct"/>
                  <w:tcBorders>
                    <w:tl2br w:val="nil"/>
                    <w:tr2bl w:val="nil"/>
                  </w:tcBorders>
                  <w:noWrap w:val="0"/>
                  <w:vAlign w:val="center"/>
                </w:tcPr>
                <w:p w14:paraId="77C455F9">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lang w:val="en-US" w:eastAsia="zh-CN"/>
                      <w14:textFill>
                        <w14:solidFill>
                          <w14:schemeClr w14:val="tx1"/>
                        </w14:solidFill>
                      </w14:textFill>
                    </w:rPr>
                  </w:pPr>
                  <w:r>
                    <w:rPr>
                      <w:rFonts w:hint="eastAsia"/>
                      <w:b w:val="0"/>
                      <w:bCs w:val="0"/>
                      <w:vanish w:val="0"/>
                      <w:color w:val="000000" w:themeColor="text1"/>
                      <w:lang w:val="en-US" w:eastAsia="zh-CN"/>
                      <w14:textFill>
                        <w14:solidFill>
                          <w14:schemeClr w14:val="tx1"/>
                        </w14:solidFill>
                      </w14:textFill>
                    </w:rPr>
                    <w:t>接引附近村镇中的饮用水，水质满足饮用和施工要求</w:t>
                  </w:r>
                </w:p>
              </w:tc>
              <w:tc>
                <w:tcPr>
                  <w:tcW w:w="414" w:type="pct"/>
                  <w:tcBorders>
                    <w:tl2br w:val="nil"/>
                    <w:tr2bl w:val="nil"/>
                  </w:tcBorders>
                  <w:noWrap w:val="0"/>
                  <w:vAlign w:val="center"/>
                </w:tcPr>
                <w:p w14:paraId="36E8158B">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依托</w:t>
                  </w:r>
                </w:p>
              </w:tc>
            </w:tr>
            <w:tr w14:paraId="05B63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hidden/>
              </w:trPr>
              <w:tc>
                <w:tcPr>
                  <w:tcW w:w="254" w:type="pct"/>
                  <w:vMerge w:val="continue"/>
                  <w:tcBorders>
                    <w:tl2br w:val="nil"/>
                    <w:tr2bl w:val="nil"/>
                  </w:tcBorders>
                  <w:noWrap w:val="0"/>
                  <w:vAlign w:val="center"/>
                </w:tcPr>
                <w:p w14:paraId="7C3271E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tcBorders>
                    <w:tl2br w:val="nil"/>
                    <w:tr2bl w:val="nil"/>
                  </w:tcBorders>
                  <w:noWrap w:val="0"/>
                  <w:vAlign w:val="center"/>
                </w:tcPr>
                <w:p w14:paraId="00F5C9B0">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施工</w:t>
                  </w:r>
                </w:p>
                <w:p w14:paraId="6BC28984">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用电</w:t>
                  </w:r>
                </w:p>
              </w:tc>
              <w:tc>
                <w:tcPr>
                  <w:tcW w:w="3581" w:type="pct"/>
                  <w:tcBorders>
                    <w:tl2br w:val="nil"/>
                    <w:tr2bl w:val="nil"/>
                  </w:tcBorders>
                  <w:noWrap w:val="0"/>
                  <w:vAlign w:val="center"/>
                </w:tcPr>
                <w:p w14:paraId="51B8AA94">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lang w:val="en-US" w:eastAsia="zh-CN"/>
                      <w14:textFill>
                        <w14:solidFill>
                          <w14:schemeClr w14:val="tx1"/>
                        </w14:solidFill>
                      </w14:textFill>
                    </w:rPr>
                  </w:pPr>
                  <w:r>
                    <w:rPr>
                      <w:rFonts w:hint="eastAsia"/>
                      <w:b w:val="0"/>
                      <w:bCs w:val="0"/>
                      <w:vanish w:val="0"/>
                      <w:color w:val="000000" w:themeColor="text1"/>
                      <w:lang w:val="en-US" w:eastAsia="zh-CN"/>
                      <w14:textFill>
                        <w14:solidFill>
                          <w14:schemeClr w14:val="tx1"/>
                        </w14:solidFill>
                      </w14:textFill>
                    </w:rPr>
                    <w:t>依托当地电网直接供给。</w:t>
                  </w:r>
                </w:p>
              </w:tc>
              <w:tc>
                <w:tcPr>
                  <w:tcW w:w="414" w:type="pct"/>
                  <w:tcBorders>
                    <w:tl2br w:val="nil"/>
                    <w:tr2bl w:val="nil"/>
                  </w:tcBorders>
                  <w:noWrap w:val="0"/>
                  <w:vAlign w:val="center"/>
                </w:tcPr>
                <w:p w14:paraId="4DDB0C8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依托</w:t>
                  </w:r>
                </w:p>
              </w:tc>
            </w:tr>
            <w:tr w14:paraId="09214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hidden/>
              </w:trPr>
              <w:tc>
                <w:tcPr>
                  <w:tcW w:w="254" w:type="pct"/>
                  <w:vMerge w:val="restart"/>
                  <w:tcBorders>
                    <w:tl2br w:val="nil"/>
                    <w:tr2bl w:val="nil"/>
                  </w:tcBorders>
                  <w:noWrap w:val="0"/>
                  <w:vAlign w:val="center"/>
                </w:tcPr>
                <w:p w14:paraId="3BF9A083">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公用工程</w:t>
                  </w:r>
                </w:p>
              </w:tc>
              <w:tc>
                <w:tcPr>
                  <w:tcW w:w="749" w:type="pct"/>
                  <w:gridSpan w:val="2"/>
                  <w:tcBorders>
                    <w:tl2br w:val="nil"/>
                    <w:tr2bl w:val="nil"/>
                  </w:tcBorders>
                  <w:noWrap w:val="0"/>
                  <w:vAlign w:val="center"/>
                </w:tcPr>
                <w:p w14:paraId="29757CDD">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vanish w:val="0"/>
                      <w:color w:val="000000" w:themeColor="text1"/>
                      <w:sz w:val="21"/>
                      <w:szCs w:val="21"/>
                      <w:vertAlign w:val="baseline"/>
                      <w:lang w:val="en-US" w:eastAsia="zh-CN"/>
                      <w14:textFill>
                        <w14:solidFill>
                          <w14:schemeClr w14:val="tx1"/>
                        </w14:solidFill>
                      </w14:textFill>
                    </w:rPr>
                    <w:t>供水</w:t>
                  </w:r>
                </w:p>
              </w:tc>
              <w:tc>
                <w:tcPr>
                  <w:tcW w:w="3581" w:type="pct"/>
                  <w:tcBorders>
                    <w:tl2br w:val="nil"/>
                    <w:tr2bl w:val="nil"/>
                  </w:tcBorders>
                  <w:noWrap w:val="0"/>
                  <w:vAlign w:val="center"/>
                </w:tcPr>
                <w:p w14:paraId="2282EA50">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vanish w:val="0"/>
                      <w:color w:val="000000" w:themeColor="text1"/>
                      <w:lang w:val="en-US" w:eastAsia="zh-CN"/>
                      <w14:textFill>
                        <w14:solidFill>
                          <w14:schemeClr w14:val="tx1"/>
                        </w14:solidFill>
                      </w14:textFill>
                    </w:rPr>
                  </w:pPr>
                  <w:r>
                    <w:rPr>
                      <w:rFonts w:hint="eastAsia"/>
                      <w:b w:val="0"/>
                      <w:bCs w:val="0"/>
                      <w:vanish w:val="0"/>
                      <w:color w:val="000000" w:themeColor="text1"/>
                      <w:lang w:val="en-US" w:eastAsia="zh-CN"/>
                      <w14:textFill>
                        <w14:solidFill>
                          <w14:schemeClr w14:val="tx1"/>
                        </w14:solidFill>
                      </w14:textFill>
                    </w:rPr>
                    <w:t>项目从石头河取水，依托现有取水口</w:t>
                  </w:r>
                </w:p>
              </w:tc>
              <w:tc>
                <w:tcPr>
                  <w:tcW w:w="414" w:type="pct"/>
                  <w:tcBorders>
                    <w:tl2br w:val="nil"/>
                    <w:tr2bl w:val="nil"/>
                  </w:tcBorders>
                  <w:noWrap w:val="0"/>
                  <w:vAlign w:val="center"/>
                </w:tcPr>
                <w:p w14:paraId="4C573E8F">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依托</w:t>
                  </w:r>
                </w:p>
              </w:tc>
            </w:tr>
            <w:tr w14:paraId="640C5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hidden/>
              </w:trPr>
              <w:tc>
                <w:tcPr>
                  <w:tcW w:w="254" w:type="pct"/>
                  <w:vMerge w:val="continue"/>
                  <w:tcBorders>
                    <w:tl2br w:val="nil"/>
                    <w:tr2bl w:val="nil"/>
                  </w:tcBorders>
                  <w:noWrap w:val="0"/>
                  <w:vAlign w:val="center"/>
                </w:tcPr>
                <w:p w14:paraId="76C62822">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tcBorders>
                    <w:tl2br w:val="nil"/>
                    <w:tr2bl w:val="nil"/>
                  </w:tcBorders>
                  <w:noWrap w:val="0"/>
                  <w:vAlign w:val="center"/>
                </w:tcPr>
                <w:p w14:paraId="221AFC13">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vanish w:val="0"/>
                      <w:color w:val="000000" w:themeColor="text1"/>
                      <w:sz w:val="21"/>
                      <w:szCs w:val="21"/>
                      <w:vertAlign w:val="baseline"/>
                      <w:lang w:val="en-US" w:eastAsia="zh-CN"/>
                      <w14:textFill>
                        <w14:solidFill>
                          <w14:schemeClr w14:val="tx1"/>
                        </w14:solidFill>
                      </w14:textFill>
                    </w:rPr>
                    <w:t>排水</w:t>
                  </w:r>
                </w:p>
              </w:tc>
              <w:tc>
                <w:tcPr>
                  <w:tcW w:w="3581" w:type="pct"/>
                  <w:tcBorders>
                    <w:tl2br w:val="nil"/>
                    <w:tr2bl w:val="nil"/>
                  </w:tcBorders>
                  <w:noWrap w:val="0"/>
                  <w:vAlign w:val="center"/>
                </w:tcPr>
                <w:p w14:paraId="21303628">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vanish w:val="0"/>
                      <w:color w:val="000000" w:themeColor="text1"/>
                      <w:lang w:val="en-US" w:eastAsia="zh-CN"/>
                      <w14:textFill>
                        <w14:solidFill>
                          <w14:schemeClr w14:val="tx1"/>
                        </w14:solidFill>
                      </w14:textFill>
                    </w:rPr>
                  </w:pPr>
                  <w:r>
                    <w:rPr>
                      <w:rFonts w:hint="eastAsia"/>
                      <w:vanish w:val="0"/>
                      <w:color w:val="000000" w:themeColor="text1"/>
                      <w:sz w:val="21"/>
                      <w:szCs w:val="21"/>
                      <w:vertAlign w:val="baseline"/>
                      <w:lang w:val="en-US" w:eastAsia="zh-CN"/>
                      <w14:textFill>
                        <w14:solidFill>
                          <w14:schemeClr w14:val="tx1"/>
                        </w14:solidFill>
                      </w14:textFill>
                    </w:rPr>
                    <w:t>雨污分流。生活污水经化粪池处理后，定期清掏。</w:t>
                  </w:r>
                </w:p>
              </w:tc>
              <w:tc>
                <w:tcPr>
                  <w:tcW w:w="414" w:type="pct"/>
                  <w:tcBorders>
                    <w:tl2br w:val="nil"/>
                    <w:tr2bl w:val="nil"/>
                  </w:tcBorders>
                  <w:noWrap w:val="0"/>
                  <w:vAlign w:val="center"/>
                </w:tcPr>
                <w:p w14:paraId="5587734F">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依托</w:t>
                  </w:r>
                </w:p>
              </w:tc>
            </w:tr>
            <w:tr w14:paraId="6B6FE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hidden/>
              </w:trPr>
              <w:tc>
                <w:tcPr>
                  <w:tcW w:w="254" w:type="pct"/>
                  <w:vMerge w:val="continue"/>
                  <w:tcBorders>
                    <w:tl2br w:val="nil"/>
                    <w:tr2bl w:val="nil"/>
                  </w:tcBorders>
                  <w:noWrap w:val="0"/>
                  <w:vAlign w:val="center"/>
                </w:tcPr>
                <w:p w14:paraId="56F51F6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tcBorders>
                    <w:tl2br w:val="nil"/>
                    <w:tr2bl w:val="nil"/>
                  </w:tcBorders>
                  <w:noWrap w:val="0"/>
                  <w:vAlign w:val="center"/>
                </w:tcPr>
                <w:p w14:paraId="618C444E">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vanish w:val="0"/>
                      <w:color w:val="000000" w:themeColor="text1"/>
                      <w:sz w:val="21"/>
                      <w:szCs w:val="21"/>
                      <w:vertAlign w:val="baseline"/>
                      <w:lang w:val="en-US" w:eastAsia="zh-CN"/>
                      <w14:textFill>
                        <w14:solidFill>
                          <w14:schemeClr w14:val="tx1"/>
                        </w14:solidFill>
                      </w14:textFill>
                    </w:rPr>
                    <w:t>供电</w:t>
                  </w:r>
                </w:p>
              </w:tc>
              <w:tc>
                <w:tcPr>
                  <w:tcW w:w="3581" w:type="pct"/>
                  <w:tcBorders>
                    <w:tl2br w:val="nil"/>
                    <w:tr2bl w:val="nil"/>
                  </w:tcBorders>
                  <w:noWrap w:val="0"/>
                  <w:vAlign w:val="center"/>
                </w:tcPr>
                <w:p w14:paraId="34A31BDB">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vanish w:val="0"/>
                      <w:color w:val="000000" w:themeColor="text1"/>
                      <w:lang w:val="en-US" w:eastAsia="zh-CN"/>
                      <w14:textFill>
                        <w14:solidFill>
                          <w14:schemeClr w14:val="tx1"/>
                        </w14:solidFill>
                      </w14:textFill>
                    </w:rPr>
                  </w:pPr>
                  <w:r>
                    <w:rPr>
                      <w:rFonts w:hint="eastAsia"/>
                      <w:vanish w:val="0"/>
                      <w:color w:val="000000" w:themeColor="text1"/>
                      <w:sz w:val="21"/>
                      <w:szCs w:val="21"/>
                      <w:vertAlign w:val="baseline"/>
                      <w:lang w:val="en-US" w:eastAsia="zh-CN"/>
                      <w14:textFill>
                        <w14:solidFill>
                          <w14:schemeClr w14:val="tx1"/>
                        </w14:solidFill>
                      </w14:textFill>
                    </w:rPr>
                    <w:t>由当地电管网供给。</w:t>
                  </w:r>
                </w:p>
              </w:tc>
              <w:tc>
                <w:tcPr>
                  <w:tcW w:w="414" w:type="pct"/>
                  <w:tcBorders>
                    <w:tl2br w:val="nil"/>
                    <w:tr2bl w:val="nil"/>
                  </w:tcBorders>
                  <w:noWrap w:val="0"/>
                  <w:vAlign w:val="center"/>
                </w:tcPr>
                <w:p w14:paraId="4DA3228A">
                  <w:pPr>
                    <w:pStyle w:val="1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依托</w:t>
                  </w:r>
                </w:p>
              </w:tc>
            </w:tr>
            <w:tr w14:paraId="06143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restart"/>
                  <w:tcBorders>
                    <w:tl2br w:val="nil"/>
                    <w:tr2bl w:val="nil"/>
                  </w:tcBorders>
                  <w:noWrap w:val="0"/>
                  <w:vAlign w:val="center"/>
                </w:tcPr>
                <w:p w14:paraId="32455E98">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临时工程</w:t>
                  </w:r>
                </w:p>
              </w:tc>
              <w:tc>
                <w:tcPr>
                  <w:tcW w:w="749" w:type="pct"/>
                  <w:gridSpan w:val="2"/>
                  <w:tcBorders>
                    <w:tl2br w:val="nil"/>
                    <w:tr2bl w:val="nil"/>
                  </w:tcBorders>
                  <w:noWrap w:val="0"/>
                  <w:vAlign w:val="center"/>
                </w:tcPr>
                <w:p w14:paraId="5935F5B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vanish w:val="0"/>
                      <w:color w:val="000000" w:themeColor="text1"/>
                      <w:sz w:val="21"/>
                      <w:szCs w:val="24"/>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弃土场</w:t>
                  </w:r>
                </w:p>
              </w:tc>
              <w:tc>
                <w:tcPr>
                  <w:tcW w:w="3581" w:type="pct"/>
                  <w:tcBorders>
                    <w:tl2br w:val="nil"/>
                    <w:tr2bl w:val="nil"/>
                  </w:tcBorders>
                  <w:noWrap w:val="0"/>
                  <w:vAlign w:val="center"/>
                </w:tcPr>
                <w:p w14:paraId="3B51FC3E">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vanish w:val="0"/>
                      <w:color w:val="000000" w:themeColor="text1"/>
                      <w:kern w:val="2"/>
                      <w:sz w:val="24"/>
                      <w:szCs w:val="24"/>
                      <w:lang w:val="en-US" w:eastAsia="zh-CN" w:bidi="ar-SA"/>
                      <w14:textFill>
                        <w14:solidFill>
                          <w14:schemeClr w14:val="tx1"/>
                        </w14:solidFill>
                      </w14:textFill>
                    </w:rPr>
                  </w:pPr>
                  <w:r>
                    <w:rPr>
                      <w:rFonts w:hint="eastAsia"/>
                      <w:b w:val="0"/>
                      <w:bCs w:val="0"/>
                      <w:vanish w:val="0"/>
                      <w:color w:val="000000" w:themeColor="text1"/>
                      <w:lang w:val="en-US" w:eastAsia="zh-CN"/>
                      <w14:textFill>
                        <w14:solidFill>
                          <w14:schemeClr w14:val="tx1"/>
                        </w14:solidFill>
                      </w14:textFill>
                    </w:rPr>
                    <w:t>项目无弃方产生，不设弃土场</w:t>
                  </w:r>
                </w:p>
              </w:tc>
              <w:tc>
                <w:tcPr>
                  <w:tcW w:w="414" w:type="pct"/>
                  <w:tcBorders>
                    <w:tl2br w:val="nil"/>
                    <w:tr2bl w:val="nil"/>
                  </w:tcBorders>
                  <w:noWrap w:val="0"/>
                  <w:vAlign w:val="center"/>
                </w:tcPr>
                <w:p w14:paraId="59D7D0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vanish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vertAlign w:val="baseline"/>
                      <w:lang w:val="en-US" w:eastAsia="zh-CN" w:bidi="ar-SA"/>
                      <w14:textFill>
                        <w14:solidFill>
                          <w14:schemeClr w14:val="tx1"/>
                        </w14:solidFill>
                      </w14:textFill>
                    </w:rPr>
                    <w:t>/</w:t>
                  </w:r>
                </w:p>
              </w:tc>
            </w:tr>
            <w:tr w14:paraId="26737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2D179833">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tcBorders>
                    <w:tl2br w:val="nil"/>
                    <w:tr2bl w:val="nil"/>
                  </w:tcBorders>
                  <w:noWrap w:val="0"/>
                  <w:vAlign w:val="center"/>
                </w:tcPr>
                <w:p w14:paraId="11E2E232">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yellow"/>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施工道路</w:t>
                  </w:r>
                </w:p>
              </w:tc>
              <w:tc>
                <w:tcPr>
                  <w:tcW w:w="3581" w:type="pct"/>
                  <w:tcBorders>
                    <w:tl2br w:val="nil"/>
                    <w:tr2bl w:val="nil"/>
                  </w:tcBorders>
                  <w:noWrap w:val="0"/>
                  <w:vAlign w:val="center"/>
                </w:tcPr>
                <w:p w14:paraId="4FC18920">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t>项目周围对外交通极为便利，</w:t>
                  </w:r>
                  <w:r>
                    <w:rPr>
                      <w:rFonts w:hint="default" w:ascii="Times New Roman" w:hAnsi="Times New Roman" w:eastAsia="宋体" w:cs="Times New Roman"/>
                      <w:b w:val="0"/>
                      <w:bCs w:val="0"/>
                      <w:vanish w:val="0"/>
                      <w:color w:val="000000" w:themeColor="text1"/>
                      <w:lang w:val="en-US" w:eastAsia="zh-CN"/>
                      <w14:textFill>
                        <w14:solidFill>
                          <w14:schemeClr w14:val="tx1"/>
                        </w14:solidFill>
                      </w14:textFill>
                    </w:rPr>
                    <w:t>场内交通运输可结合当地村镇现有道路布置</w:t>
                  </w:r>
                  <w:r>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lang w:val="en-US" w:eastAsia="zh-CN"/>
                      <w14:textFill>
                        <w14:solidFill>
                          <w14:schemeClr w14:val="tx1"/>
                        </w14:solidFill>
                      </w14:textFill>
                    </w:rPr>
                    <w:t>配水支线尽量利用周边现有道路解决。</w:t>
                  </w:r>
                </w:p>
              </w:tc>
              <w:tc>
                <w:tcPr>
                  <w:tcW w:w="414" w:type="pct"/>
                  <w:tcBorders>
                    <w:tl2br w:val="nil"/>
                    <w:tr2bl w:val="nil"/>
                  </w:tcBorders>
                  <w:noWrap w:val="0"/>
                  <w:vAlign w:val="center"/>
                </w:tcPr>
                <w:p w14:paraId="577A1E2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依托</w:t>
                  </w:r>
                </w:p>
              </w:tc>
            </w:tr>
            <w:tr w14:paraId="6C70E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590C723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tcBorders>
                    <w:tl2br w:val="nil"/>
                    <w:tr2bl w:val="nil"/>
                  </w:tcBorders>
                  <w:noWrap w:val="0"/>
                  <w:vAlign w:val="center"/>
                </w:tcPr>
                <w:p w14:paraId="622BF1A7">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施工区</w:t>
                  </w:r>
                </w:p>
              </w:tc>
              <w:tc>
                <w:tcPr>
                  <w:tcW w:w="3581" w:type="pct"/>
                  <w:tcBorders>
                    <w:tl2br w:val="nil"/>
                    <w:tr2bl w:val="nil"/>
                  </w:tcBorders>
                  <w:noWrap w:val="0"/>
                  <w:vAlign w:val="center"/>
                </w:tcPr>
                <w:p w14:paraId="6B4DFF54">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lang w:val="en-US" w:eastAsia="zh-CN"/>
                      <w14:textFill>
                        <w14:solidFill>
                          <w14:schemeClr w14:val="tx1"/>
                        </w14:solidFill>
                      </w14:textFill>
                    </w:rPr>
                  </w:pPr>
                  <w:r>
                    <w:rPr>
                      <w:rFonts w:hint="eastAsia"/>
                      <w:b w:val="0"/>
                      <w:bCs w:val="0"/>
                      <w:vanish w:val="0"/>
                      <w:color w:val="000000" w:themeColor="text1"/>
                      <w:lang w:val="en-US" w:eastAsia="zh-CN"/>
                      <w14:textFill>
                        <w14:solidFill>
                          <w14:schemeClr w14:val="tx1"/>
                        </w14:solidFill>
                      </w14:textFill>
                    </w:rPr>
                    <w:t>净化水厂拟建地设置临时施工区1处，主要用于施工材料堆放区、施工人员休息区</w:t>
                  </w:r>
                </w:p>
              </w:tc>
              <w:tc>
                <w:tcPr>
                  <w:tcW w:w="414" w:type="pct"/>
                  <w:tcBorders>
                    <w:tl2br w:val="nil"/>
                    <w:tr2bl w:val="nil"/>
                  </w:tcBorders>
                  <w:noWrap w:val="0"/>
                  <w:vAlign w:val="center"/>
                </w:tcPr>
                <w:p w14:paraId="44CCD61D">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lang w:val="en-US" w:eastAsia="zh-CN"/>
                      <w14:textFill>
                        <w14:solidFill>
                          <w14:schemeClr w14:val="tx1"/>
                        </w14:solidFill>
                      </w14:textFill>
                    </w:rPr>
                  </w:pPr>
                  <w:r>
                    <w:rPr>
                      <w:rFonts w:hint="eastAsia"/>
                      <w:b w:val="0"/>
                      <w:bCs w:val="0"/>
                      <w:vanish w:val="0"/>
                      <w:color w:val="000000" w:themeColor="text1"/>
                      <w:lang w:val="en-US" w:eastAsia="zh-CN"/>
                      <w14:textFill>
                        <w14:solidFill>
                          <w14:schemeClr w14:val="tx1"/>
                        </w14:solidFill>
                      </w14:textFill>
                    </w:rPr>
                    <w:t>/</w:t>
                  </w:r>
                </w:p>
              </w:tc>
            </w:tr>
            <w:tr w14:paraId="06507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restart"/>
                  <w:tcBorders>
                    <w:tl2br w:val="nil"/>
                    <w:tr2bl w:val="nil"/>
                  </w:tcBorders>
                  <w:noWrap w:val="0"/>
                  <w:vAlign w:val="center"/>
                </w:tcPr>
                <w:p w14:paraId="29BDBBF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环保工程</w:t>
                  </w:r>
                </w:p>
              </w:tc>
              <w:tc>
                <w:tcPr>
                  <w:tcW w:w="254" w:type="pct"/>
                  <w:vMerge w:val="restart"/>
                  <w:tcBorders>
                    <w:tl2br w:val="nil"/>
                    <w:tr2bl w:val="nil"/>
                  </w:tcBorders>
                  <w:noWrap w:val="0"/>
                  <w:vAlign w:val="center"/>
                </w:tcPr>
                <w:p w14:paraId="1F5DA1F2">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生态</w:t>
                  </w:r>
                </w:p>
              </w:tc>
              <w:tc>
                <w:tcPr>
                  <w:tcW w:w="494" w:type="pct"/>
                  <w:tcBorders>
                    <w:tl2br w:val="nil"/>
                    <w:tr2bl w:val="nil"/>
                  </w:tcBorders>
                  <w:noWrap w:val="0"/>
                  <w:vAlign w:val="center"/>
                </w:tcPr>
                <w:p w14:paraId="3BBA6852">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占地</w:t>
                  </w:r>
                </w:p>
              </w:tc>
              <w:tc>
                <w:tcPr>
                  <w:tcW w:w="3581" w:type="pct"/>
                  <w:tcBorders>
                    <w:tl2br w:val="nil"/>
                    <w:tr2bl w:val="nil"/>
                  </w:tcBorders>
                  <w:noWrap w:val="0"/>
                  <w:vAlign w:val="center"/>
                </w:tcPr>
                <w:p w14:paraId="51AEE5ED">
                  <w:pPr>
                    <w:pStyle w:val="6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b w:val="0"/>
                      <w:bCs w:val="0"/>
                      <w:vanish w:val="0"/>
                      <w:color w:val="000000" w:themeColor="text1"/>
                      <w:lang w:val="en-US" w:eastAsia="zh-CN"/>
                      <w14:textFill>
                        <w14:solidFill>
                          <w14:schemeClr w14:val="tx1"/>
                        </w14:solidFill>
                      </w14:textFill>
                    </w:rPr>
                  </w:pPr>
                  <w:r>
                    <w:rPr>
                      <w:rFonts w:hint="default"/>
                      <w:vanish w:val="0"/>
                      <w:color w:val="000000" w:themeColor="text1"/>
                      <w:highlight w:val="none"/>
                      <w:lang w:val="en-US" w:eastAsia="zh-CN"/>
                      <w14:textFill>
                        <w14:solidFill>
                          <w14:schemeClr w14:val="tx1"/>
                        </w14:solidFill>
                      </w14:textFill>
                    </w:rPr>
                    <w:t>严格控制临时用地数量</w:t>
                  </w:r>
                  <w:r>
                    <w:rPr>
                      <w:rFonts w:hint="eastAsia"/>
                      <w:vanish w:val="0"/>
                      <w:color w:val="000000" w:themeColor="text1"/>
                      <w:highlight w:val="none"/>
                      <w:lang w:val="en-US" w:eastAsia="zh-CN"/>
                      <w14:textFill>
                        <w14:solidFill>
                          <w14:schemeClr w14:val="tx1"/>
                        </w14:solidFill>
                      </w14:textFill>
                    </w:rPr>
                    <w:t>，</w:t>
                  </w:r>
                  <w:r>
                    <w:rPr>
                      <w:rFonts w:hint="default"/>
                      <w:vanish w:val="0"/>
                      <w:color w:val="000000" w:themeColor="text1"/>
                      <w:highlight w:val="none"/>
                      <w:lang w:val="en-US" w:eastAsia="zh-CN"/>
                      <w14:textFill>
                        <w14:solidFill>
                          <w14:schemeClr w14:val="tx1"/>
                        </w14:solidFill>
                      </w14:textFill>
                    </w:rPr>
                    <w:t>做好耕地调整、补划工作</w:t>
                  </w:r>
                </w:p>
              </w:tc>
              <w:tc>
                <w:tcPr>
                  <w:tcW w:w="414" w:type="pct"/>
                  <w:tcBorders>
                    <w:tl2br w:val="nil"/>
                    <w:tr2bl w:val="nil"/>
                  </w:tcBorders>
                  <w:noWrap w:val="0"/>
                  <w:vAlign w:val="center"/>
                </w:tcPr>
                <w:p w14:paraId="004529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3BBAA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4252FA3C">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7209AC92">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tcBorders>
                    <w:tl2br w:val="nil"/>
                    <w:tr2bl w:val="nil"/>
                  </w:tcBorders>
                  <w:noWrap w:val="0"/>
                  <w:vAlign w:val="center"/>
                </w:tcPr>
                <w:p w14:paraId="6F5217E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临时</w:t>
                  </w:r>
                </w:p>
                <w:p w14:paraId="23FB3764">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土石方</w:t>
                  </w:r>
                </w:p>
              </w:tc>
              <w:tc>
                <w:tcPr>
                  <w:tcW w:w="3581" w:type="pct"/>
                  <w:tcBorders>
                    <w:tl2br w:val="nil"/>
                    <w:tr2bl w:val="nil"/>
                  </w:tcBorders>
                  <w:noWrap w:val="0"/>
                  <w:vAlign w:val="center"/>
                </w:tcPr>
                <w:p w14:paraId="40AABC6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14:textFill>
                        <w14:solidFill>
                          <w14:schemeClr w14:val="tx1"/>
                        </w14:solidFill>
                      </w14:textFill>
                    </w:rPr>
                    <w:t>临时</w:t>
                  </w:r>
                  <w:r>
                    <w:rPr>
                      <w:vanish w:val="0"/>
                      <w:color w:val="000000" w:themeColor="text1"/>
                      <w:highlight w:val="none"/>
                      <w14:textFill>
                        <w14:solidFill>
                          <w14:schemeClr w14:val="tx1"/>
                        </w14:solidFill>
                      </w14:textFill>
                    </w:rPr>
                    <w:t>土</w:t>
                  </w:r>
                  <w:r>
                    <w:rPr>
                      <w:rFonts w:hint="eastAsia"/>
                      <w:vanish w:val="0"/>
                      <w:color w:val="000000" w:themeColor="text1"/>
                      <w:highlight w:val="none"/>
                      <w14:textFill>
                        <w14:solidFill>
                          <w14:schemeClr w14:val="tx1"/>
                        </w14:solidFill>
                      </w14:textFill>
                    </w:rPr>
                    <w:t>石</w:t>
                  </w:r>
                  <w:r>
                    <w:rPr>
                      <w:vanish w:val="0"/>
                      <w:color w:val="000000" w:themeColor="text1"/>
                      <w:highlight w:val="none"/>
                      <w14:textFill>
                        <w14:solidFill>
                          <w14:schemeClr w14:val="tx1"/>
                        </w14:solidFill>
                      </w14:textFill>
                    </w:rPr>
                    <w:t>方</w:t>
                  </w:r>
                  <w:r>
                    <w:rPr>
                      <w:rFonts w:hint="eastAsia"/>
                      <w:vanish w:val="0"/>
                      <w:color w:val="000000" w:themeColor="text1"/>
                      <w:highlight w:val="none"/>
                      <w14:textFill>
                        <w14:solidFill>
                          <w14:schemeClr w14:val="tx1"/>
                        </w14:solidFill>
                      </w14:textFill>
                    </w:rPr>
                    <w:t>需立即使用</w:t>
                  </w:r>
                  <w:r>
                    <w:rPr>
                      <w:rFonts w:hint="eastAsia"/>
                      <w:vanish w:val="0"/>
                      <w:color w:val="000000" w:themeColor="text1"/>
                      <w:highlight w:val="none"/>
                      <w:lang w:val="en-US" w:eastAsia="zh-CN"/>
                      <w14:textFill>
                        <w14:solidFill>
                          <w14:schemeClr w14:val="tx1"/>
                        </w14:solidFill>
                      </w14:textFill>
                    </w:rPr>
                    <w:t>，</w:t>
                  </w:r>
                  <w:r>
                    <w:rPr>
                      <w:rFonts w:hint="eastAsia"/>
                      <w:vanish w:val="0"/>
                      <w:color w:val="000000" w:themeColor="text1"/>
                      <w:highlight w:val="none"/>
                      <w14:textFill>
                        <w14:solidFill>
                          <w14:schemeClr w14:val="tx1"/>
                        </w14:solidFill>
                      </w14:textFill>
                    </w:rPr>
                    <w:t>需</w:t>
                  </w:r>
                  <w:r>
                    <w:rPr>
                      <w:vanish w:val="0"/>
                      <w:color w:val="000000" w:themeColor="text1"/>
                      <w:highlight w:val="none"/>
                      <w14:textFill>
                        <w14:solidFill>
                          <w14:schemeClr w14:val="tx1"/>
                        </w14:solidFill>
                      </w14:textFill>
                    </w:rPr>
                    <w:t>定点堆放在场区内</w:t>
                  </w:r>
                  <w:r>
                    <w:rPr>
                      <w:rFonts w:hint="eastAsia"/>
                      <w:vanish w:val="0"/>
                      <w:color w:val="000000" w:themeColor="text1"/>
                      <w:highlight w:val="none"/>
                      <w:lang w:val="en-US" w:eastAsia="zh-CN"/>
                      <w14:textFill>
                        <w14:solidFill>
                          <w14:schemeClr w14:val="tx1"/>
                        </w14:solidFill>
                      </w14:textFill>
                    </w:rPr>
                    <w:t>的</w:t>
                  </w:r>
                  <w:r>
                    <w:rPr>
                      <w:vanish w:val="0"/>
                      <w:color w:val="000000" w:themeColor="text1"/>
                      <w:highlight w:val="none"/>
                      <w14:textFill>
                        <w14:solidFill>
                          <w14:schemeClr w14:val="tx1"/>
                        </w14:solidFill>
                      </w14:textFill>
                    </w:rPr>
                    <w:t>，周围</w:t>
                  </w:r>
                  <w:r>
                    <w:rPr>
                      <w:rFonts w:hint="eastAsia"/>
                      <w:vanish w:val="0"/>
                      <w:color w:val="000000" w:themeColor="text1"/>
                      <w:highlight w:val="none"/>
                      <w:lang w:val="en-US" w:eastAsia="zh-CN"/>
                      <w14:textFill>
                        <w14:solidFill>
                          <w14:schemeClr w14:val="tx1"/>
                        </w14:solidFill>
                      </w14:textFill>
                    </w:rPr>
                    <w:t>应</w:t>
                  </w:r>
                  <w:r>
                    <w:rPr>
                      <w:vanish w:val="0"/>
                      <w:color w:val="000000" w:themeColor="text1"/>
                      <w:highlight w:val="none"/>
                      <w14:textFill>
                        <w14:solidFill>
                          <w14:schemeClr w14:val="tx1"/>
                        </w14:solidFill>
                      </w14:textFill>
                    </w:rPr>
                    <w:t>设置围挡及覆盖，防止出现水土流失</w:t>
                  </w:r>
                </w:p>
              </w:tc>
              <w:tc>
                <w:tcPr>
                  <w:tcW w:w="414" w:type="pct"/>
                  <w:tcBorders>
                    <w:tl2br w:val="nil"/>
                    <w:tr2bl w:val="nil"/>
                  </w:tcBorders>
                  <w:noWrap w:val="0"/>
                  <w:vAlign w:val="center"/>
                </w:tcPr>
                <w:p w14:paraId="0D1AD4E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4A731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66AA8831">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249C32B4">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tcBorders>
                    <w:tl2br w:val="nil"/>
                    <w:tr2bl w:val="nil"/>
                  </w:tcBorders>
                  <w:noWrap w:val="0"/>
                  <w:vAlign w:val="center"/>
                </w:tcPr>
                <w:p w14:paraId="4F6407E4">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表土剥离与堆放</w:t>
                  </w:r>
                </w:p>
              </w:tc>
              <w:tc>
                <w:tcPr>
                  <w:tcW w:w="3581" w:type="pct"/>
                  <w:tcBorders>
                    <w:tl2br w:val="nil"/>
                    <w:tr2bl w:val="nil"/>
                  </w:tcBorders>
                  <w:noWrap w:val="0"/>
                  <w:vAlign w:val="center"/>
                </w:tcPr>
                <w:p w14:paraId="560F2D3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施工前期对新增占地范围内的表土进行剥离，各层土壤分层堆放，避免熟土和半熟土混在一起；表土堆高一般不超过5m，避免土壤因自重被过分压实，保证土壤具有良好的通气作用，使土壤内微生物得以存活；在不影响主体工程建设情况下，表土堆放位置优先选择项目占地内部预留场地或建设期暂不扰动、扰动极少的空地</w:t>
                  </w:r>
                </w:p>
              </w:tc>
              <w:tc>
                <w:tcPr>
                  <w:tcW w:w="414" w:type="pct"/>
                  <w:tcBorders>
                    <w:tl2br w:val="nil"/>
                    <w:tr2bl w:val="nil"/>
                  </w:tcBorders>
                  <w:noWrap w:val="0"/>
                  <w:vAlign w:val="center"/>
                </w:tcPr>
                <w:p w14:paraId="180B3C1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6E11E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44F2521F">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7AEEAF59">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tcBorders>
                    <w:tl2br w:val="nil"/>
                    <w:tr2bl w:val="nil"/>
                  </w:tcBorders>
                  <w:noWrap w:val="0"/>
                  <w:vAlign w:val="center"/>
                </w:tcPr>
                <w:p w14:paraId="0B3988EC">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用地</w:t>
                  </w:r>
                </w:p>
                <w:p w14:paraId="44ACB8CA">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恢复</w:t>
                  </w:r>
                </w:p>
              </w:tc>
              <w:tc>
                <w:tcPr>
                  <w:tcW w:w="3581" w:type="pct"/>
                  <w:tcBorders>
                    <w:tl2br w:val="nil"/>
                    <w:tr2bl w:val="nil"/>
                  </w:tcBorders>
                  <w:noWrap w:val="0"/>
                  <w:vAlign w:val="center"/>
                </w:tcPr>
                <w:p w14:paraId="6DF58451">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anish w:val="0"/>
                      <w:color w:val="000000" w:themeColor="text1"/>
                      <w:sz w:val="21"/>
                      <w:highlight w:val="none"/>
                      <w:lang w:val="en-US" w:eastAsia="zh-CN"/>
                      <w14:textFill>
                        <w14:solidFill>
                          <w14:schemeClr w14:val="tx1"/>
                        </w14:solidFill>
                      </w14:textFill>
                    </w:rPr>
                  </w:pPr>
                  <w:r>
                    <w:rPr>
                      <w:vanish w:val="0"/>
                      <w:color w:val="000000" w:themeColor="text1"/>
                      <w:highlight w:val="none"/>
                      <w14:textFill>
                        <w14:solidFill>
                          <w14:schemeClr w14:val="tx1"/>
                        </w14:solidFill>
                      </w14:textFill>
                    </w:rPr>
                    <w:t>强化施工期的保护和恢复，</w:t>
                  </w:r>
                  <w:r>
                    <w:rPr>
                      <w:rFonts w:hint="eastAsia"/>
                      <w:vanish w:val="0"/>
                      <w:color w:val="000000" w:themeColor="text1"/>
                      <w:highlight w:val="none"/>
                      <w14:textFill>
                        <w14:solidFill>
                          <w14:schemeClr w14:val="tx1"/>
                        </w14:solidFill>
                      </w14:textFill>
                    </w:rPr>
                    <w:t>施工结束</w:t>
                  </w:r>
                  <w:r>
                    <w:rPr>
                      <w:rFonts w:hint="eastAsia"/>
                      <w:vanish w:val="0"/>
                      <w:color w:val="000000" w:themeColor="text1"/>
                      <w:highlight w:val="none"/>
                      <w:lang w:val="en-US" w:eastAsia="zh-CN"/>
                      <w14:textFill>
                        <w14:solidFill>
                          <w14:schemeClr w14:val="tx1"/>
                        </w14:solidFill>
                      </w14:textFill>
                    </w:rPr>
                    <w:t>后对临时占地</w:t>
                  </w:r>
                  <w:r>
                    <w:rPr>
                      <w:rFonts w:hint="eastAsia"/>
                      <w:vanish w:val="0"/>
                      <w:color w:val="000000" w:themeColor="text1"/>
                      <w:highlight w:val="none"/>
                      <w14:textFill>
                        <w14:solidFill>
                          <w14:schemeClr w14:val="tx1"/>
                        </w14:solidFill>
                      </w14:textFill>
                    </w:rPr>
                    <w:t>进行表土回覆</w:t>
                  </w:r>
                  <w:r>
                    <w:rPr>
                      <w:rFonts w:hint="eastAsia"/>
                      <w:vanish w:val="0"/>
                      <w:color w:val="000000" w:themeColor="text1"/>
                      <w:highlight w:val="none"/>
                      <w:lang w:eastAsia="zh-CN"/>
                      <w14:textFill>
                        <w14:solidFill>
                          <w14:schemeClr w14:val="tx1"/>
                        </w14:solidFill>
                      </w14:textFill>
                    </w:rPr>
                    <w:t>，</w:t>
                  </w:r>
                  <w:r>
                    <w:rPr>
                      <w:rFonts w:hint="eastAsia"/>
                      <w:vanish w:val="0"/>
                      <w:color w:val="000000" w:themeColor="text1"/>
                      <w:highlight w:val="none"/>
                      <w:lang w:val="en-US" w:eastAsia="zh-CN"/>
                      <w14:textFill>
                        <w14:solidFill>
                          <w14:schemeClr w14:val="tx1"/>
                        </w14:solidFill>
                      </w14:textFill>
                    </w:rPr>
                    <w:t>恢复绿化或复耕</w:t>
                  </w:r>
                </w:p>
              </w:tc>
              <w:tc>
                <w:tcPr>
                  <w:tcW w:w="414" w:type="pct"/>
                  <w:tcBorders>
                    <w:tl2br w:val="nil"/>
                    <w:tr2bl w:val="nil"/>
                  </w:tcBorders>
                  <w:noWrap w:val="0"/>
                  <w:vAlign w:val="center"/>
                </w:tcPr>
                <w:p w14:paraId="0131929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vanish w:val="0"/>
                      <w:color w:val="000000" w:themeColor="text1"/>
                      <w:highlight w:val="none"/>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4DB54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hidden/>
              </w:trPr>
              <w:tc>
                <w:tcPr>
                  <w:tcW w:w="254" w:type="pct"/>
                  <w:vMerge w:val="continue"/>
                  <w:tcBorders>
                    <w:tl2br w:val="nil"/>
                    <w:tr2bl w:val="nil"/>
                  </w:tcBorders>
                  <w:noWrap w:val="0"/>
                  <w:vAlign w:val="center"/>
                </w:tcPr>
                <w:p w14:paraId="551AE8EB">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40F4FC0D">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tcBorders>
                    <w:tl2br w:val="nil"/>
                    <w:tr2bl w:val="nil"/>
                  </w:tcBorders>
                  <w:noWrap w:val="0"/>
                  <w:vAlign w:val="center"/>
                </w:tcPr>
                <w:p w14:paraId="7AD3B21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植被</w:t>
                  </w:r>
                </w:p>
              </w:tc>
              <w:tc>
                <w:tcPr>
                  <w:tcW w:w="3581" w:type="pct"/>
                  <w:tcBorders>
                    <w:tl2br w:val="nil"/>
                    <w:tr2bl w:val="nil"/>
                  </w:tcBorders>
                  <w:noWrap w:val="0"/>
                  <w:vAlign w:val="center"/>
                </w:tcPr>
                <w:p w14:paraId="0EC98B8F">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vanish w:val="0"/>
                      <w:color w:val="000000" w:themeColor="text1"/>
                      <w:highlight w:val="none"/>
                      <w:lang w:val="en-US" w:eastAsia="zh-CN"/>
                      <w14:textFill>
                        <w14:solidFill>
                          <w14:schemeClr w14:val="tx1"/>
                        </w14:solidFill>
                      </w14:textFill>
                    </w:rPr>
                  </w:pPr>
                  <w:r>
                    <w:rPr>
                      <w:rFonts w:hint="default"/>
                      <w:vanish w:val="0"/>
                      <w:color w:val="000000" w:themeColor="text1"/>
                      <w:highlight w:val="none"/>
                      <w:lang w:val="en-US" w:eastAsia="zh-CN"/>
                      <w14:textFill>
                        <w14:solidFill>
                          <w14:schemeClr w14:val="tx1"/>
                        </w14:solidFill>
                      </w14:textFill>
                    </w:rPr>
                    <w:t>植被补偿</w:t>
                  </w:r>
                  <w:r>
                    <w:rPr>
                      <w:rFonts w:hint="eastAsia"/>
                      <w:vanish w:val="0"/>
                      <w:color w:val="000000" w:themeColor="text1"/>
                      <w:highlight w:val="none"/>
                      <w:lang w:val="en-US" w:eastAsia="zh-CN"/>
                      <w14:textFill>
                        <w14:solidFill>
                          <w14:schemeClr w14:val="tx1"/>
                        </w14:solidFill>
                      </w14:textFill>
                    </w:rPr>
                    <w:t>：严格控制施工范围，尽量减小施工活动区域，对因施工而遭到破坏的植物，在施工完毕后进行补栽</w:t>
                  </w:r>
                  <w:r>
                    <w:rPr>
                      <w:rFonts w:hint="default"/>
                      <w:vanish w:val="0"/>
                      <w:color w:val="000000" w:themeColor="text1"/>
                      <w:highlight w:val="none"/>
                      <w:lang w:val="en-US" w:eastAsia="zh-CN"/>
                      <w14:textFill>
                        <w14:solidFill>
                          <w14:schemeClr w14:val="tx1"/>
                        </w14:solidFill>
                      </w14:textFill>
                    </w:rPr>
                    <w:t>；禁止引种带有病虫害的植物；施工场地要洒水降尘，减少扬尘覆盖植物叶面而影响植物光合作用</w:t>
                  </w:r>
                  <w:r>
                    <w:rPr>
                      <w:rFonts w:hint="eastAsia"/>
                      <w:vanish w:val="0"/>
                      <w:color w:val="000000" w:themeColor="text1"/>
                      <w:highlight w:val="none"/>
                      <w:lang w:val="en-US" w:eastAsia="zh-CN"/>
                      <w14:textFill>
                        <w14:solidFill>
                          <w14:schemeClr w14:val="tx1"/>
                        </w14:solidFill>
                      </w14:textFill>
                    </w:rPr>
                    <w:t>；</w:t>
                  </w:r>
                </w:p>
                <w:p w14:paraId="047E8518">
                  <w:pPr>
                    <w:pStyle w:val="65"/>
                    <w:keepNext w:val="0"/>
                    <w:keepLines w:val="0"/>
                    <w:pageBreakBefore w:val="0"/>
                    <w:widowControl/>
                    <w:numPr>
                      <w:ilvl w:val="0"/>
                      <w:numId w:val="0"/>
                    </w:numPr>
                    <w:kinsoku/>
                    <w:wordWrap/>
                    <w:overflowPunct/>
                    <w:topLinePunct w:val="0"/>
                    <w:autoSpaceDE/>
                    <w:autoSpaceDN/>
                    <w:bidi w:val="0"/>
                    <w:adjustRightInd/>
                    <w:snapToGrid/>
                    <w:spacing w:line="240" w:lineRule="auto"/>
                    <w:ind w:right="0" w:rightChars="0"/>
                    <w:jc w:val="center"/>
                    <w:textAlignment w:val="auto"/>
                    <w:rPr>
                      <w:rFonts w:hint="default"/>
                      <w:vanish w:val="0"/>
                      <w:color w:val="000000" w:themeColor="text1"/>
                      <w:highlight w:val="none"/>
                      <w:lang w:val="en-US" w:eastAsia="zh-CN"/>
                      <w14:textFill>
                        <w14:solidFill>
                          <w14:schemeClr w14:val="tx1"/>
                        </w14:solidFill>
                      </w14:textFill>
                    </w:rPr>
                  </w:pPr>
                  <w:r>
                    <w:rPr>
                      <w:rFonts w:hint="default"/>
                      <w:vanish w:val="0"/>
                      <w:color w:val="000000" w:themeColor="text1"/>
                      <w:highlight w:val="none"/>
                      <w:lang w:val="en-US" w:eastAsia="zh-CN"/>
                      <w14:textFill>
                        <w14:solidFill>
                          <w14:schemeClr w14:val="tx1"/>
                        </w14:solidFill>
                      </w14:textFill>
                    </w:rPr>
                    <w:t>植被恢复</w:t>
                  </w:r>
                  <w:r>
                    <w:rPr>
                      <w:rFonts w:hint="eastAsia"/>
                      <w:vanish w:val="0"/>
                      <w:color w:val="000000" w:themeColor="text1"/>
                      <w:highlight w:val="none"/>
                      <w:lang w:val="en-US" w:eastAsia="zh-CN"/>
                      <w14:textFill>
                        <w14:solidFill>
                          <w14:schemeClr w14:val="tx1"/>
                        </w14:solidFill>
                      </w14:textFill>
                    </w:rPr>
                    <w:t>：</w:t>
                  </w:r>
                  <w:r>
                    <w:rPr>
                      <w:rFonts w:hint="default"/>
                      <w:vanish w:val="0"/>
                      <w:color w:val="000000" w:themeColor="text1"/>
                      <w:highlight w:val="none"/>
                      <w:lang w:val="en-US" w:eastAsia="zh-CN"/>
                      <w14:textFill>
                        <w14:solidFill>
                          <w14:schemeClr w14:val="tx1"/>
                        </w14:solidFill>
                      </w14:textFill>
                    </w:rPr>
                    <w:t>施工结束</w:t>
                  </w:r>
                  <w:r>
                    <w:rPr>
                      <w:rFonts w:hint="eastAsia"/>
                      <w:vanish w:val="0"/>
                      <w:color w:val="000000" w:themeColor="text1"/>
                      <w:highlight w:val="none"/>
                      <w:lang w:val="en-US" w:eastAsia="zh-CN"/>
                      <w14:textFill>
                        <w14:solidFill>
                          <w14:schemeClr w14:val="tx1"/>
                        </w14:solidFill>
                      </w14:textFill>
                    </w:rPr>
                    <w:t>后</w:t>
                  </w:r>
                  <w:r>
                    <w:rPr>
                      <w:rFonts w:hint="default"/>
                      <w:vanish w:val="0"/>
                      <w:color w:val="000000" w:themeColor="text1"/>
                      <w:highlight w:val="none"/>
                      <w:lang w:val="en-US" w:eastAsia="zh-CN"/>
                      <w14:textFill>
                        <w14:solidFill>
                          <w14:schemeClr w14:val="tx1"/>
                        </w14:solidFill>
                      </w14:textFill>
                    </w:rPr>
                    <w:t>及时</w:t>
                  </w:r>
                  <w:r>
                    <w:rPr>
                      <w:rFonts w:hint="eastAsia"/>
                      <w:vanish w:val="0"/>
                      <w:color w:val="000000" w:themeColor="text1"/>
                      <w:highlight w:val="none"/>
                      <w:lang w:val="en-US" w:eastAsia="zh-CN"/>
                      <w14:textFill>
                        <w14:solidFill>
                          <w14:schemeClr w14:val="tx1"/>
                        </w14:solidFill>
                      </w14:textFill>
                    </w:rPr>
                    <w:t>对临时占地</w:t>
                  </w:r>
                  <w:r>
                    <w:rPr>
                      <w:rFonts w:hint="default"/>
                      <w:vanish w:val="0"/>
                      <w:color w:val="000000" w:themeColor="text1"/>
                      <w:highlight w:val="none"/>
                      <w:lang w:val="en-US" w:eastAsia="zh-CN"/>
                      <w14:textFill>
                        <w14:solidFill>
                          <w14:schemeClr w14:val="tx1"/>
                        </w14:solidFill>
                      </w14:textFill>
                    </w:rPr>
                    <w:t>进行土地整治</w:t>
                  </w:r>
                  <w:r>
                    <w:rPr>
                      <w:rFonts w:hint="eastAsia"/>
                      <w:vanish w:val="0"/>
                      <w:color w:val="000000" w:themeColor="text1"/>
                      <w:highlight w:val="none"/>
                      <w:lang w:val="en-US" w:eastAsia="zh-CN"/>
                      <w14:textFill>
                        <w14:solidFill>
                          <w14:schemeClr w14:val="tx1"/>
                        </w14:solidFill>
                      </w14:textFill>
                    </w:rPr>
                    <w:t>（</w:t>
                  </w:r>
                  <w:r>
                    <w:rPr>
                      <w:rFonts w:hint="default"/>
                      <w:vanish w:val="0"/>
                      <w:color w:val="000000" w:themeColor="text1"/>
                      <w:highlight w:val="none"/>
                      <w:lang w:val="en-US" w:eastAsia="zh-CN"/>
                      <w14:textFill>
                        <w14:solidFill>
                          <w14:schemeClr w14:val="tx1"/>
                        </w14:solidFill>
                      </w14:textFill>
                    </w:rPr>
                    <w:t>清理、松土、覆盖熟土等</w:t>
                  </w:r>
                  <w:r>
                    <w:rPr>
                      <w:rFonts w:hint="eastAsia"/>
                      <w:vanish w:val="0"/>
                      <w:color w:val="000000" w:themeColor="text1"/>
                      <w:highlight w:val="none"/>
                      <w:lang w:val="en-US" w:eastAsia="zh-CN"/>
                      <w14:textFill>
                        <w14:solidFill>
                          <w14:schemeClr w14:val="tx1"/>
                        </w14:solidFill>
                      </w14:textFill>
                    </w:rPr>
                    <w:t>）</w:t>
                  </w:r>
                  <w:r>
                    <w:rPr>
                      <w:rFonts w:hint="default"/>
                      <w:vanish w:val="0"/>
                      <w:color w:val="000000" w:themeColor="text1"/>
                      <w:highlight w:val="none"/>
                      <w:lang w:val="en-US" w:eastAsia="zh-CN"/>
                      <w14:textFill>
                        <w14:solidFill>
                          <w14:schemeClr w14:val="tx1"/>
                        </w14:solidFill>
                      </w14:textFill>
                    </w:rPr>
                    <w:t>，恢复地表原有植被；用地范围以外因施工损坏植被的土地均应恢复植被，不得遗留裸露地表面</w:t>
                  </w:r>
                </w:p>
              </w:tc>
              <w:tc>
                <w:tcPr>
                  <w:tcW w:w="414" w:type="pct"/>
                  <w:tcBorders>
                    <w:tl2br w:val="nil"/>
                    <w:tr2bl w:val="nil"/>
                  </w:tcBorders>
                  <w:noWrap w:val="0"/>
                  <w:vAlign w:val="center"/>
                </w:tcPr>
                <w:p w14:paraId="415523ED">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rightChars="0"/>
                    <w:jc w:val="center"/>
                    <w:textAlignment w:val="auto"/>
                    <w:rPr>
                      <w:rFonts w:hint="default"/>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3C01E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282ACADD">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12615BAC">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tcBorders>
                    <w:tl2br w:val="nil"/>
                    <w:tr2bl w:val="nil"/>
                  </w:tcBorders>
                  <w:noWrap w:val="0"/>
                  <w:vAlign w:val="center"/>
                </w:tcPr>
                <w:p w14:paraId="6A511C0D">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动物</w:t>
                  </w:r>
                </w:p>
              </w:tc>
              <w:tc>
                <w:tcPr>
                  <w:tcW w:w="3581" w:type="pct"/>
                  <w:tcBorders>
                    <w:tl2br w:val="nil"/>
                    <w:tr2bl w:val="nil"/>
                  </w:tcBorders>
                  <w:noWrap w:val="0"/>
                  <w:vAlign w:val="center"/>
                </w:tcPr>
                <w:p w14:paraId="25C23D4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合理安排工期，避开动物的繁殖期、迁徙期等特别保护时段；</w:t>
                  </w:r>
                  <w:r>
                    <w:rPr>
                      <w:rFonts w:hint="default"/>
                      <w:vanish w:val="0"/>
                      <w:color w:val="000000" w:themeColor="text1"/>
                      <w:highlight w:val="none"/>
                      <w:lang w:val="en-US" w:eastAsia="zh-CN"/>
                      <w14:textFill>
                        <w14:solidFill>
                          <w14:schemeClr w14:val="tx1"/>
                        </w14:solidFill>
                      </w14:textFill>
                    </w:rPr>
                    <w:t>宣传野生动物保护法规，打击捕杀野生动物的行为</w:t>
                  </w:r>
                </w:p>
              </w:tc>
              <w:tc>
                <w:tcPr>
                  <w:tcW w:w="414" w:type="pct"/>
                  <w:tcBorders>
                    <w:tl2br w:val="nil"/>
                    <w:tr2bl w:val="nil"/>
                  </w:tcBorders>
                  <w:noWrap w:val="0"/>
                  <w:vAlign w:val="center"/>
                </w:tcPr>
                <w:p w14:paraId="63E62BE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64418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56A708A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6600433B">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tcBorders>
                    <w:tl2br w:val="nil"/>
                    <w:tr2bl w:val="nil"/>
                  </w:tcBorders>
                  <w:noWrap w:val="0"/>
                  <w:vAlign w:val="center"/>
                </w:tcPr>
                <w:p w14:paraId="504AE0A9">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水生</w:t>
                  </w:r>
                </w:p>
                <w:p w14:paraId="1A1370A2">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生态</w:t>
                  </w:r>
                </w:p>
              </w:tc>
              <w:tc>
                <w:tcPr>
                  <w:tcW w:w="3581" w:type="pct"/>
                  <w:tcBorders>
                    <w:tl2br w:val="nil"/>
                    <w:tr2bl w:val="nil"/>
                  </w:tcBorders>
                  <w:noWrap w:val="0"/>
                  <w:vAlign w:val="center"/>
                </w:tcPr>
                <w:p w14:paraId="79B5CFB0">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严格管理施工人员施工行为，严禁乱撒乱抛废弃物，采取必要的水土保持措施，优化施工方式，最大限度减少对河流水质造成的污染</w:t>
                  </w:r>
                </w:p>
              </w:tc>
              <w:tc>
                <w:tcPr>
                  <w:tcW w:w="414" w:type="pct"/>
                  <w:tcBorders>
                    <w:tl2br w:val="nil"/>
                    <w:tr2bl w:val="nil"/>
                  </w:tcBorders>
                  <w:noWrap w:val="0"/>
                  <w:vAlign w:val="center"/>
                </w:tcPr>
                <w:p w14:paraId="5A3185E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7749E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71C786AF">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restart"/>
                  <w:tcBorders>
                    <w:tl2br w:val="nil"/>
                    <w:tr2bl w:val="nil"/>
                  </w:tcBorders>
                  <w:noWrap w:val="0"/>
                  <w:vAlign w:val="center"/>
                </w:tcPr>
                <w:p w14:paraId="45283F39">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废气</w:t>
                  </w:r>
                </w:p>
              </w:tc>
              <w:tc>
                <w:tcPr>
                  <w:tcW w:w="494" w:type="pct"/>
                  <w:tcBorders>
                    <w:tl2br w:val="nil"/>
                    <w:tr2bl w:val="nil"/>
                  </w:tcBorders>
                  <w:noWrap w:val="0"/>
                  <w:vAlign w:val="center"/>
                </w:tcPr>
                <w:p w14:paraId="2EF9E2F9">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施工</w:t>
                  </w:r>
                </w:p>
                <w:p w14:paraId="34C4C540">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扬尘</w:t>
                  </w:r>
                </w:p>
              </w:tc>
              <w:tc>
                <w:tcPr>
                  <w:tcW w:w="3581" w:type="pct"/>
                  <w:tcBorders>
                    <w:tl2br w:val="nil"/>
                    <w:tr2bl w:val="nil"/>
                  </w:tcBorders>
                  <w:noWrap w:val="0"/>
                  <w:vAlign w:val="center"/>
                </w:tcPr>
                <w:p w14:paraId="0F54DFA1">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施工材料运输及堆放时采用密目网苫盖，施工场地洒水抑尘、必要路段设置围挡</w:t>
                  </w:r>
                </w:p>
              </w:tc>
              <w:tc>
                <w:tcPr>
                  <w:tcW w:w="414" w:type="pct"/>
                  <w:tcBorders>
                    <w:tl2br w:val="nil"/>
                    <w:tr2bl w:val="nil"/>
                  </w:tcBorders>
                  <w:noWrap w:val="0"/>
                  <w:vAlign w:val="center"/>
                </w:tcPr>
                <w:p w14:paraId="35C2762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7BDAA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30090484">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3B9C462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tcBorders>
                    <w:tl2br w:val="nil"/>
                    <w:tr2bl w:val="nil"/>
                  </w:tcBorders>
                  <w:noWrap w:val="0"/>
                  <w:vAlign w:val="center"/>
                </w:tcPr>
                <w:p w14:paraId="0146308F">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运输</w:t>
                  </w:r>
                </w:p>
                <w:p w14:paraId="008856CB">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扬尘</w:t>
                  </w:r>
                </w:p>
              </w:tc>
              <w:tc>
                <w:tcPr>
                  <w:tcW w:w="3581" w:type="pct"/>
                  <w:tcBorders>
                    <w:tl2br w:val="nil"/>
                    <w:tr2bl w:val="nil"/>
                  </w:tcBorders>
                  <w:noWrap w:val="0"/>
                  <w:vAlign w:val="center"/>
                </w:tcPr>
                <w:p w14:paraId="6B2E04E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eastAsia="zh-CN"/>
                      <w14:textFill>
                        <w14:solidFill>
                          <w14:schemeClr w14:val="tx1"/>
                        </w14:solidFill>
                      </w14:textFill>
                    </w:rPr>
                    <w:t>运输</w:t>
                  </w:r>
                  <w:r>
                    <w:rPr>
                      <w:vanish w:val="0"/>
                      <w:color w:val="000000" w:themeColor="text1"/>
                      <w:highlight w:val="none"/>
                      <w:lang w:eastAsia="zh-CN"/>
                      <w14:textFill>
                        <w14:solidFill>
                          <w14:schemeClr w14:val="tx1"/>
                        </w14:solidFill>
                      </w14:textFill>
                    </w:rPr>
                    <w:t>车辆采取密闭措施</w:t>
                  </w:r>
                  <w:r>
                    <w:rPr>
                      <w:rFonts w:hint="eastAsia"/>
                      <w:vanish w:val="0"/>
                      <w:color w:val="000000" w:themeColor="text1"/>
                      <w:highlight w:val="none"/>
                      <w:lang w:eastAsia="zh-CN"/>
                      <w14:textFill>
                        <w14:solidFill>
                          <w14:schemeClr w14:val="tx1"/>
                        </w14:solidFill>
                      </w14:textFill>
                    </w:rPr>
                    <w:t>，</w:t>
                  </w:r>
                  <w:r>
                    <w:rPr>
                      <w:rFonts w:hint="eastAsia"/>
                      <w:vanish w:val="0"/>
                      <w:color w:val="000000" w:themeColor="text1"/>
                      <w:highlight w:val="none"/>
                      <w:lang w:val="en-US" w:eastAsia="zh-CN"/>
                      <w14:textFill>
                        <w14:solidFill>
                          <w14:schemeClr w14:val="tx1"/>
                        </w14:solidFill>
                      </w14:textFill>
                    </w:rPr>
                    <w:t>保持车辆清洁</w:t>
                  </w:r>
                </w:p>
              </w:tc>
              <w:tc>
                <w:tcPr>
                  <w:tcW w:w="414" w:type="pct"/>
                  <w:tcBorders>
                    <w:tl2br w:val="nil"/>
                    <w:tr2bl w:val="nil"/>
                  </w:tcBorders>
                  <w:noWrap w:val="0"/>
                  <w:vAlign w:val="center"/>
                </w:tcPr>
                <w:p w14:paraId="54A439A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157D7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12D69ACA">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38E9797D">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tcBorders>
                    <w:tl2br w:val="nil"/>
                    <w:tr2bl w:val="nil"/>
                  </w:tcBorders>
                  <w:noWrap w:val="0"/>
                  <w:vAlign w:val="center"/>
                </w:tcPr>
                <w:p w14:paraId="68B1C61D">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机械</w:t>
                  </w:r>
                </w:p>
                <w:p w14:paraId="11716543">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尾气</w:t>
                  </w:r>
                </w:p>
              </w:tc>
              <w:tc>
                <w:tcPr>
                  <w:tcW w:w="3581" w:type="pct"/>
                  <w:tcBorders>
                    <w:tl2br w:val="nil"/>
                    <w:tr2bl w:val="nil"/>
                  </w:tcBorders>
                  <w:noWrap w:val="0"/>
                  <w:vAlign w:val="center"/>
                </w:tcPr>
                <w:p w14:paraId="47680E01">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加强施工机械的保养，使施工机械处于良好的工作状态</w:t>
                  </w:r>
                </w:p>
              </w:tc>
              <w:tc>
                <w:tcPr>
                  <w:tcW w:w="414" w:type="pct"/>
                  <w:tcBorders>
                    <w:tl2br w:val="nil"/>
                    <w:tr2bl w:val="nil"/>
                  </w:tcBorders>
                  <w:noWrap w:val="0"/>
                  <w:vAlign w:val="center"/>
                </w:tcPr>
                <w:p w14:paraId="73B4635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710FC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7F967147">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restart"/>
                  <w:tcBorders>
                    <w:tl2br w:val="nil"/>
                    <w:tr2bl w:val="nil"/>
                  </w:tcBorders>
                  <w:noWrap w:val="0"/>
                  <w:vAlign w:val="center"/>
                </w:tcPr>
                <w:p w14:paraId="65DED1A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废水</w:t>
                  </w:r>
                </w:p>
              </w:tc>
              <w:tc>
                <w:tcPr>
                  <w:tcW w:w="494" w:type="pct"/>
                  <w:tcBorders>
                    <w:tl2br w:val="nil"/>
                    <w:tr2bl w:val="nil"/>
                  </w:tcBorders>
                  <w:noWrap w:val="0"/>
                  <w:vAlign w:val="center"/>
                </w:tcPr>
                <w:p w14:paraId="2850F55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施工</w:t>
                  </w:r>
                </w:p>
                <w:p w14:paraId="44D43F7E">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废水</w:t>
                  </w:r>
                </w:p>
              </w:tc>
              <w:tc>
                <w:tcPr>
                  <w:tcW w:w="3581" w:type="pct"/>
                  <w:tcBorders>
                    <w:tl2br w:val="nil"/>
                    <w:tr2bl w:val="nil"/>
                  </w:tcBorders>
                  <w:noWrap w:val="0"/>
                  <w:vAlign w:val="center"/>
                </w:tcPr>
                <w:p w14:paraId="03B477BF">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包括机械冲洗废水、基坑渗水，采用临时隔油沉淀池隔油沉淀后回用于施工场地内洒水抑尘</w:t>
                  </w:r>
                </w:p>
              </w:tc>
              <w:tc>
                <w:tcPr>
                  <w:tcW w:w="414" w:type="pct"/>
                  <w:tcBorders>
                    <w:tl2br w:val="nil"/>
                    <w:tr2bl w:val="nil"/>
                  </w:tcBorders>
                  <w:noWrap w:val="0"/>
                  <w:vAlign w:val="center"/>
                </w:tcPr>
                <w:p w14:paraId="2EA0484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37497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3D64C38B">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3194DF1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vMerge w:val="restart"/>
                  <w:tcBorders>
                    <w:tl2br w:val="nil"/>
                    <w:tr2bl w:val="nil"/>
                  </w:tcBorders>
                  <w:noWrap w:val="0"/>
                  <w:vAlign w:val="center"/>
                </w:tcPr>
                <w:p w14:paraId="6B3BFF37">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生活</w:t>
                  </w:r>
                </w:p>
                <w:p w14:paraId="44C916C1">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污水</w:t>
                  </w:r>
                </w:p>
              </w:tc>
              <w:tc>
                <w:tcPr>
                  <w:tcW w:w="3581" w:type="pct"/>
                  <w:tcBorders>
                    <w:tl2br w:val="nil"/>
                    <w:tr2bl w:val="nil"/>
                  </w:tcBorders>
                  <w:noWrap w:val="0"/>
                  <w:vAlign w:val="center"/>
                </w:tcPr>
                <w:p w14:paraId="5BE4813C">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vanish w:val="0"/>
                      <w:color w:val="000000" w:themeColor="text1"/>
                      <w:sz w:val="2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施工期：施工区设置化粪池，生活污水经化粪池处理后定期清掏用作周围农田施肥</w:t>
                  </w:r>
                </w:p>
              </w:tc>
              <w:tc>
                <w:tcPr>
                  <w:tcW w:w="414" w:type="pct"/>
                  <w:tcBorders>
                    <w:tl2br w:val="nil"/>
                    <w:tr2bl w:val="nil"/>
                  </w:tcBorders>
                  <w:noWrap w:val="0"/>
                  <w:vAlign w:val="center"/>
                </w:tcPr>
                <w:p w14:paraId="01B002A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51166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23B8AB59">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3308294C">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vMerge w:val="continue"/>
                  <w:tcBorders>
                    <w:tl2br w:val="nil"/>
                    <w:tr2bl w:val="nil"/>
                  </w:tcBorders>
                  <w:noWrap w:val="0"/>
                  <w:vAlign w:val="center"/>
                </w:tcPr>
                <w:p w14:paraId="39560338">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p>
              </w:tc>
              <w:tc>
                <w:tcPr>
                  <w:tcW w:w="3581" w:type="pct"/>
                  <w:tcBorders>
                    <w:tl2br w:val="nil"/>
                    <w:tr2bl w:val="nil"/>
                  </w:tcBorders>
                  <w:noWrap w:val="0"/>
                  <w:vAlign w:val="center"/>
                </w:tcPr>
                <w:p w14:paraId="1EACAAC7">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运营期：净化水厂反冲洗废水经处理后回用；管理房人员生活污水经化粪池处理后定期清掏用作周围农田施肥</w:t>
                  </w:r>
                </w:p>
              </w:tc>
              <w:tc>
                <w:tcPr>
                  <w:tcW w:w="414" w:type="pct"/>
                  <w:tcBorders>
                    <w:tl2br w:val="nil"/>
                    <w:tr2bl w:val="nil"/>
                  </w:tcBorders>
                  <w:noWrap w:val="0"/>
                  <w:vAlign w:val="center"/>
                </w:tcPr>
                <w:p w14:paraId="79AE5C9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5950D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28A9EBA8">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vMerge w:val="restart"/>
                  <w:tcBorders>
                    <w:tl2br w:val="nil"/>
                    <w:tr2bl w:val="nil"/>
                  </w:tcBorders>
                  <w:noWrap w:val="0"/>
                  <w:vAlign w:val="center"/>
                </w:tcPr>
                <w:p w14:paraId="53536029">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噪声</w:t>
                  </w:r>
                </w:p>
              </w:tc>
              <w:tc>
                <w:tcPr>
                  <w:tcW w:w="3581" w:type="pct"/>
                  <w:tcBorders>
                    <w:tl2br w:val="nil"/>
                    <w:tr2bl w:val="nil"/>
                  </w:tcBorders>
                  <w:noWrap w:val="0"/>
                  <w:vAlign w:val="center"/>
                </w:tcPr>
                <w:p w14:paraId="06EE860C">
                  <w:pPr>
                    <w:pStyle w:val="6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施工期：</w:t>
                  </w:r>
                  <w:r>
                    <w:rPr>
                      <w:rFonts w:hint="eastAsia"/>
                      <w:vanish w:val="0"/>
                      <w:color w:val="000000" w:themeColor="text1"/>
                      <w:highlight w:val="none"/>
                      <w14:textFill>
                        <w14:solidFill>
                          <w14:schemeClr w14:val="tx1"/>
                        </w14:solidFill>
                      </w14:textFill>
                    </w:rPr>
                    <w:t>选用符合国家标准的低噪声设备，及时维护保养设备</w:t>
                  </w:r>
                  <w:r>
                    <w:rPr>
                      <w:rFonts w:hint="eastAsia"/>
                      <w:vanish w:val="0"/>
                      <w:color w:val="000000" w:themeColor="text1"/>
                      <w:highlight w:val="none"/>
                      <w:lang w:eastAsia="zh-CN"/>
                      <w14:textFill>
                        <w14:solidFill>
                          <w14:schemeClr w14:val="tx1"/>
                        </w14:solidFill>
                      </w14:textFill>
                    </w:rPr>
                    <w:t>，</w:t>
                  </w:r>
                  <w:r>
                    <w:rPr>
                      <w:rFonts w:hint="eastAsia"/>
                      <w:vanish w:val="0"/>
                      <w:color w:val="000000" w:themeColor="text1"/>
                      <w:highlight w:val="none"/>
                      <w:lang w:val="en-US" w:eastAsia="zh-CN"/>
                      <w14:textFill>
                        <w14:solidFill>
                          <w14:schemeClr w14:val="tx1"/>
                        </w14:solidFill>
                      </w14:textFill>
                    </w:rPr>
                    <w:t>合理安排施工进度和时间</w:t>
                  </w:r>
                </w:p>
              </w:tc>
              <w:tc>
                <w:tcPr>
                  <w:tcW w:w="414" w:type="pct"/>
                  <w:tcBorders>
                    <w:tl2br w:val="nil"/>
                    <w:tr2bl w:val="nil"/>
                  </w:tcBorders>
                  <w:noWrap w:val="0"/>
                  <w:vAlign w:val="center"/>
                </w:tcPr>
                <w:p w14:paraId="53F0C6F9">
                  <w:pPr>
                    <w:pStyle w:val="6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37ADB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0A7878E5">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749" w:type="pct"/>
                  <w:gridSpan w:val="2"/>
                  <w:vMerge w:val="continue"/>
                  <w:tcBorders>
                    <w:tl2br w:val="nil"/>
                    <w:tr2bl w:val="nil"/>
                  </w:tcBorders>
                  <w:noWrap w:val="0"/>
                  <w:vAlign w:val="center"/>
                </w:tcPr>
                <w:p w14:paraId="70DD22EF">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3581" w:type="pct"/>
                  <w:tcBorders>
                    <w:tl2br w:val="nil"/>
                    <w:tr2bl w:val="nil"/>
                  </w:tcBorders>
                  <w:noWrap w:val="0"/>
                  <w:vAlign w:val="center"/>
                </w:tcPr>
                <w:p w14:paraId="3F210280">
                  <w:pPr>
                    <w:pStyle w:val="6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vanish w:val="0"/>
                      <w:color w:val="000000" w:themeColor="text1"/>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运营期：选用低噪音水泵，采取安装减振基座、泵房隔声措施</w:t>
                  </w:r>
                </w:p>
              </w:tc>
              <w:tc>
                <w:tcPr>
                  <w:tcW w:w="414" w:type="pct"/>
                  <w:tcBorders>
                    <w:tl2br w:val="nil"/>
                    <w:tr2bl w:val="nil"/>
                  </w:tcBorders>
                  <w:noWrap w:val="0"/>
                  <w:vAlign w:val="center"/>
                </w:tcPr>
                <w:p w14:paraId="2997AA65">
                  <w:pPr>
                    <w:pStyle w:val="6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0B77A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73442656">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restart"/>
                  <w:tcBorders>
                    <w:tl2br w:val="nil"/>
                    <w:tr2bl w:val="nil"/>
                  </w:tcBorders>
                  <w:noWrap w:val="0"/>
                  <w:vAlign w:val="center"/>
                </w:tcPr>
                <w:p w14:paraId="4683D6F8">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固废</w:t>
                  </w:r>
                </w:p>
              </w:tc>
              <w:tc>
                <w:tcPr>
                  <w:tcW w:w="494" w:type="pct"/>
                  <w:tcBorders>
                    <w:tl2br w:val="nil"/>
                    <w:tr2bl w:val="nil"/>
                  </w:tcBorders>
                  <w:noWrap w:val="0"/>
                  <w:vAlign w:val="center"/>
                </w:tcPr>
                <w:p w14:paraId="2E1D1264">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建筑</w:t>
                  </w:r>
                </w:p>
                <w:p w14:paraId="3F45F982">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vanish w:val="0"/>
                      <w:color w:val="000000" w:themeColor="text1"/>
                      <w:sz w:val="21"/>
                      <w:szCs w:val="24"/>
                      <w:highlight w:val="yellow"/>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垃圾</w:t>
                  </w:r>
                </w:p>
              </w:tc>
              <w:tc>
                <w:tcPr>
                  <w:tcW w:w="3581" w:type="pct"/>
                  <w:tcBorders>
                    <w:tl2br w:val="nil"/>
                    <w:tr2bl w:val="nil"/>
                  </w:tcBorders>
                  <w:noWrap w:val="0"/>
                  <w:vAlign w:val="center"/>
                </w:tcPr>
                <w:p w14:paraId="7F1EBF64">
                  <w:pPr>
                    <w:pStyle w:val="6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vanish w:val="0"/>
                      <w:color w:val="000000" w:themeColor="text1"/>
                      <w:sz w:val="21"/>
                      <w:szCs w:val="24"/>
                      <w:highlight w:val="yellow"/>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可利用的回收利用，不能利用的外运处置</w:t>
                  </w:r>
                </w:p>
              </w:tc>
              <w:tc>
                <w:tcPr>
                  <w:tcW w:w="414" w:type="pct"/>
                  <w:tcBorders>
                    <w:tl2br w:val="nil"/>
                    <w:tr2bl w:val="nil"/>
                  </w:tcBorders>
                  <w:noWrap w:val="0"/>
                  <w:vAlign w:val="center"/>
                </w:tcPr>
                <w:p w14:paraId="13619A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6E9F3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5B0C758A">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48424ACA">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vMerge w:val="restart"/>
                  <w:tcBorders>
                    <w:tl2br w:val="nil"/>
                    <w:tr2bl w:val="nil"/>
                  </w:tcBorders>
                  <w:noWrap w:val="0"/>
                  <w:vAlign w:val="center"/>
                </w:tcPr>
                <w:p w14:paraId="79685023">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生活</w:t>
                  </w:r>
                </w:p>
                <w:p w14:paraId="242D344C">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vanish w:val="0"/>
                      <w:color w:val="000000" w:themeColor="text1"/>
                      <w:sz w:val="21"/>
                      <w:szCs w:val="24"/>
                      <w:highlight w:val="none"/>
                      <w:lang w:val="en-US" w:eastAsia="zh-CN"/>
                      <w14:textFill>
                        <w14:solidFill>
                          <w14:schemeClr w14:val="tx1"/>
                        </w14:solidFill>
                      </w14:textFill>
                    </w:rPr>
                  </w:pPr>
                  <w:r>
                    <w:rPr>
                      <w:rFonts w:hint="eastAsia"/>
                      <w:b w:val="0"/>
                      <w:bCs w:val="0"/>
                      <w:vanish w:val="0"/>
                      <w:color w:val="000000" w:themeColor="text1"/>
                      <w:highlight w:val="none"/>
                      <w:lang w:val="en-US" w:eastAsia="zh-CN"/>
                      <w14:textFill>
                        <w14:solidFill>
                          <w14:schemeClr w14:val="tx1"/>
                        </w14:solidFill>
                      </w14:textFill>
                    </w:rPr>
                    <w:t>垃圾</w:t>
                  </w:r>
                </w:p>
              </w:tc>
              <w:tc>
                <w:tcPr>
                  <w:tcW w:w="3581" w:type="pct"/>
                  <w:tcBorders>
                    <w:tl2br w:val="nil"/>
                    <w:tr2bl w:val="nil"/>
                  </w:tcBorders>
                  <w:noWrap w:val="0"/>
                  <w:vAlign w:val="center"/>
                </w:tcPr>
                <w:p w14:paraId="747B5596">
                  <w:pPr>
                    <w:pStyle w:val="6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vanish w:val="0"/>
                      <w:color w:val="000000" w:themeColor="text1"/>
                      <w:sz w:val="21"/>
                      <w:szCs w:val="24"/>
                      <w:highlight w:val="none"/>
                      <w:lang w:val="en-US" w:eastAsia="zh-CN"/>
                      <w14:textFill>
                        <w14:solidFill>
                          <w14:schemeClr w14:val="tx1"/>
                        </w14:solidFill>
                      </w14:textFill>
                    </w:rPr>
                  </w:pPr>
                  <w:r>
                    <w:rPr>
                      <w:rFonts w:hint="eastAsia"/>
                      <w:vanish w:val="0"/>
                      <w:color w:val="000000" w:themeColor="text1"/>
                      <w:highlight w:val="none"/>
                      <w:lang w:val="en-US" w:eastAsia="zh-CN"/>
                      <w14:textFill>
                        <w14:solidFill>
                          <w14:schemeClr w14:val="tx1"/>
                        </w14:solidFill>
                      </w14:textFill>
                    </w:rPr>
                    <w:t>施工期：依托租赁民房收集后运往环卫部门指定地点处理</w:t>
                  </w:r>
                </w:p>
              </w:tc>
              <w:tc>
                <w:tcPr>
                  <w:tcW w:w="414" w:type="pct"/>
                  <w:tcBorders>
                    <w:tl2br w:val="nil"/>
                    <w:tr2bl w:val="nil"/>
                  </w:tcBorders>
                  <w:noWrap w:val="0"/>
                  <w:vAlign w:val="center"/>
                </w:tcPr>
                <w:p w14:paraId="40EB73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r w14:paraId="68D74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hidden/>
              </w:trPr>
              <w:tc>
                <w:tcPr>
                  <w:tcW w:w="254" w:type="pct"/>
                  <w:vMerge w:val="continue"/>
                  <w:tcBorders>
                    <w:tl2br w:val="nil"/>
                    <w:tr2bl w:val="nil"/>
                  </w:tcBorders>
                  <w:noWrap w:val="0"/>
                  <w:vAlign w:val="center"/>
                </w:tcPr>
                <w:p w14:paraId="2445B347">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254" w:type="pct"/>
                  <w:vMerge w:val="continue"/>
                  <w:tcBorders>
                    <w:tl2br w:val="nil"/>
                    <w:tr2bl w:val="nil"/>
                  </w:tcBorders>
                  <w:noWrap w:val="0"/>
                  <w:vAlign w:val="center"/>
                </w:tcPr>
                <w:p w14:paraId="1F6D613B">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b w:val="0"/>
                      <w:bCs w:val="0"/>
                      <w:vanish w:val="0"/>
                      <w:color w:val="000000" w:themeColor="text1"/>
                      <w:highlight w:val="none"/>
                      <w:lang w:val="en-US" w:eastAsia="zh-CN"/>
                      <w14:textFill>
                        <w14:solidFill>
                          <w14:schemeClr w14:val="tx1"/>
                        </w14:solidFill>
                      </w14:textFill>
                    </w:rPr>
                  </w:pPr>
                </w:p>
              </w:tc>
              <w:tc>
                <w:tcPr>
                  <w:tcW w:w="494" w:type="pct"/>
                  <w:vMerge w:val="continue"/>
                  <w:tcBorders>
                    <w:tl2br w:val="nil"/>
                    <w:tr2bl w:val="nil"/>
                  </w:tcBorders>
                  <w:noWrap w:val="0"/>
                  <w:vAlign w:val="center"/>
                </w:tcPr>
                <w:p w14:paraId="417649D8">
                  <w:pPr>
                    <w:pStyle w:val="6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vanish w:val="0"/>
                      <w:color w:val="000000" w:themeColor="text1"/>
                      <w:sz w:val="21"/>
                      <w:szCs w:val="24"/>
                      <w:highlight w:val="none"/>
                      <w:lang w:val="en-US" w:eastAsia="zh-CN"/>
                      <w14:textFill>
                        <w14:solidFill>
                          <w14:schemeClr w14:val="tx1"/>
                        </w14:solidFill>
                      </w14:textFill>
                    </w:rPr>
                  </w:pPr>
                </w:p>
              </w:tc>
              <w:tc>
                <w:tcPr>
                  <w:tcW w:w="3581" w:type="pct"/>
                  <w:tcBorders>
                    <w:tl2br w:val="nil"/>
                    <w:tr2bl w:val="nil"/>
                  </w:tcBorders>
                  <w:noWrap w:val="0"/>
                  <w:vAlign w:val="center"/>
                </w:tcPr>
                <w:p w14:paraId="03BF2F10">
                  <w:pPr>
                    <w:pStyle w:val="65"/>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b w:val="0"/>
                      <w:bCs w:val="0"/>
                      <w:vanish w:val="0"/>
                      <w:color w:val="000000" w:themeColor="text1"/>
                      <w:sz w:val="21"/>
                      <w:szCs w:val="24"/>
                      <w:highlight w:val="none"/>
                      <w:lang w:val="en-US" w:eastAsia="zh-CN"/>
                      <w14:textFill>
                        <w14:solidFill>
                          <w14:schemeClr w14:val="tx1"/>
                        </w14:solidFill>
                      </w14:textFill>
                    </w:rPr>
                  </w:pPr>
                  <w:r>
                    <w:rPr>
                      <w:rFonts w:hint="eastAsia"/>
                      <w:b w:val="0"/>
                      <w:bCs w:val="0"/>
                      <w:vanish w:val="0"/>
                      <w:color w:val="000000" w:themeColor="text1"/>
                      <w:sz w:val="21"/>
                      <w:szCs w:val="24"/>
                      <w:highlight w:val="none"/>
                      <w:lang w:val="en-US" w:eastAsia="zh-CN"/>
                      <w14:textFill>
                        <w14:solidFill>
                          <w14:schemeClr w14:val="tx1"/>
                        </w14:solidFill>
                      </w14:textFill>
                    </w:rPr>
                    <w:t>运营期：①净化水厂管理生活垃圾分类收集后运往环卫部门指定地点处理；</w:t>
                  </w:r>
                </w:p>
                <w:p w14:paraId="3DCD1C6A">
                  <w:pPr>
                    <w:pStyle w:val="65"/>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b w:val="0"/>
                      <w:bCs w:val="0"/>
                      <w:vanish w:val="0"/>
                      <w:color w:val="000000" w:themeColor="text1"/>
                      <w:sz w:val="21"/>
                      <w:szCs w:val="24"/>
                      <w:highlight w:val="none"/>
                      <w:lang w:val="en-US" w:eastAsia="zh-CN"/>
                      <w14:textFill>
                        <w14:solidFill>
                          <w14:schemeClr w14:val="tx1"/>
                        </w14:solidFill>
                      </w14:textFill>
                    </w:rPr>
                  </w:pPr>
                  <w:r>
                    <w:rPr>
                      <w:rFonts w:hint="eastAsia"/>
                      <w:b w:val="0"/>
                      <w:bCs w:val="0"/>
                      <w:vanish w:val="0"/>
                      <w:color w:val="000000" w:themeColor="text1"/>
                      <w:sz w:val="21"/>
                      <w:szCs w:val="24"/>
                      <w:highlight w:val="none"/>
                      <w:lang w:val="en-US" w:eastAsia="zh-CN"/>
                      <w14:textFill>
                        <w14:solidFill>
                          <w14:schemeClr w14:val="tx1"/>
                        </w14:solidFill>
                      </w14:textFill>
                    </w:rPr>
                    <w:t>②设置污泥固化池1座，污泥自然脱水固化后综合利用；</w:t>
                  </w:r>
                </w:p>
                <w:p w14:paraId="40A2B8B7">
                  <w:pPr>
                    <w:pStyle w:val="65"/>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b w:val="0"/>
                      <w:bCs w:val="0"/>
                      <w:vanish w:val="0"/>
                      <w:color w:val="000000" w:themeColor="text1"/>
                      <w:sz w:val="21"/>
                      <w:szCs w:val="24"/>
                      <w:highlight w:val="none"/>
                      <w:lang w:val="en-US" w:eastAsia="zh-CN"/>
                      <w14:textFill>
                        <w14:solidFill>
                          <w14:schemeClr w14:val="tx1"/>
                        </w14:solidFill>
                      </w14:textFill>
                    </w:rPr>
                  </w:pPr>
                  <w:r>
                    <w:rPr>
                      <w:rFonts w:hint="eastAsia"/>
                      <w:b w:val="0"/>
                      <w:bCs w:val="0"/>
                      <w:vanish w:val="0"/>
                      <w:color w:val="000000" w:themeColor="text1"/>
                      <w:sz w:val="21"/>
                      <w:szCs w:val="24"/>
                      <w:highlight w:val="none"/>
                      <w:lang w:val="en-US" w:eastAsia="zh-CN"/>
                      <w14:textFill>
                        <w14:solidFill>
                          <w14:schemeClr w14:val="tx1"/>
                        </w14:solidFill>
                      </w14:textFill>
                    </w:rPr>
                    <w:t>③规范设置危废贮存库1座，专用容器收集，定期交有资质单位处置</w:t>
                  </w:r>
                </w:p>
              </w:tc>
              <w:tc>
                <w:tcPr>
                  <w:tcW w:w="414" w:type="pct"/>
                  <w:tcBorders>
                    <w:tl2br w:val="nil"/>
                    <w:tr2bl w:val="nil"/>
                  </w:tcBorders>
                  <w:noWrap w:val="0"/>
                  <w:vAlign w:val="center"/>
                </w:tcPr>
                <w:p w14:paraId="75539A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val="0"/>
                      <w:bCs w:val="0"/>
                      <w:vanish w:val="0"/>
                      <w:color w:val="000000" w:themeColor="text1"/>
                      <w:sz w:val="21"/>
                      <w:szCs w:val="24"/>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新建</w:t>
                  </w:r>
                </w:p>
              </w:tc>
            </w:tr>
          </w:tbl>
          <w:p w14:paraId="1857E667">
            <w:pPr>
              <w:numPr>
                <w:ilvl w:val="0"/>
                <w:numId w:val="0"/>
              </w:numPr>
              <w:spacing w:line="360" w:lineRule="auto"/>
              <w:ind w:leftChars="0" w:firstLine="420" w:firstLineChars="200"/>
              <w:rPr>
                <w:rFonts w:hint="eastAsia"/>
                <w:b/>
                <w:vanish w:val="0"/>
                <w:color w:val="000000" w:themeColor="text1"/>
                <w:sz w:val="21"/>
                <w:szCs w:val="21"/>
                <w:highlight w:val="none"/>
                <w14:textFill>
                  <w14:solidFill>
                    <w14:schemeClr w14:val="tx1"/>
                  </w14:solidFill>
                </w14:textFill>
              </w:rPr>
            </w:pPr>
            <w:r>
              <w:rPr>
                <w:rFonts w:hint="eastAsia"/>
                <w:b/>
                <w:vanish w:val="0"/>
                <w:color w:val="000000" w:themeColor="text1"/>
                <w:sz w:val="21"/>
                <w:szCs w:val="21"/>
                <w:highlight w:val="none"/>
                <w:lang w:val="en-US" w:eastAsia="zh-CN"/>
                <w14:textFill>
                  <w14:solidFill>
                    <w14:schemeClr w14:val="tx1"/>
                  </w14:solidFill>
                </w14:textFill>
              </w:rPr>
              <w:t>2、</w:t>
            </w:r>
            <w:r>
              <w:rPr>
                <w:rFonts w:hint="eastAsia"/>
                <w:b/>
                <w:vanish w:val="0"/>
                <w:color w:val="000000" w:themeColor="text1"/>
                <w:sz w:val="21"/>
                <w:szCs w:val="21"/>
                <w:highlight w:val="none"/>
                <w:lang w:eastAsia="zh-CN"/>
                <w14:textFill>
                  <w14:solidFill>
                    <w14:schemeClr w14:val="tx1"/>
                  </w14:solidFill>
                </w14:textFill>
              </w:rPr>
              <w:t>供水范围及供水规模</w:t>
            </w:r>
          </w:p>
          <w:p w14:paraId="539F86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（1）供水范围</w:t>
            </w:r>
          </w:p>
          <w:p w14:paraId="78BB14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工程供水对象主要考虑太白县桃川镇居民日常生活用水。桃川镇辖6个行政村，41个小组及镇区，分别为杜家庄村、魁星楼村、枣园村、灵丹庙村、白杨塬村、杨下村，共计1845户，6268人。</w:t>
            </w:r>
          </w:p>
          <w:p w14:paraId="4555BC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（2）供水规模</w:t>
            </w:r>
          </w:p>
          <w:p w14:paraId="4A85BE91">
            <w:pPr>
              <w:numPr>
                <w:ilvl w:val="0"/>
                <w:numId w:val="0"/>
              </w:numPr>
              <w:spacing w:line="360" w:lineRule="auto"/>
              <w:ind w:leftChars="0" w:firstLine="420" w:firstLineChars="200"/>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工程供水规模约为800m</w:t>
            </w:r>
            <w:r>
              <w:rPr>
                <w:rFonts w:hint="eastAsia"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/d，设计出水率为45.85m</w:t>
            </w:r>
            <w:r>
              <w:rPr>
                <w:rFonts w:hint="eastAsia"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/h。</w:t>
            </w:r>
          </w:p>
          <w:p w14:paraId="25694B5F">
            <w:pPr>
              <w:numPr>
                <w:ilvl w:val="0"/>
                <w:numId w:val="0"/>
              </w:numPr>
              <w:spacing w:line="360" w:lineRule="auto"/>
              <w:ind w:leftChars="0" w:firstLine="420" w:firstLineChars="200"/>
              <w:rPr>
                <w:rFonts w:hint="eastAsia" w:ascii="Times New Roman" w:hAnsi="Times New Roman" w:eastAsia="宋体" w:cs="Times New Roman"/>
                <w:b/>
                <w:vanish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nish w:val="0"/>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b/>
                <w:vanish w:val="0"/>
                <w:color w:val="000000" w:themeColor="text1"/>
                <w:sz w:val="21"/>
                <w:szCs w:val="21"/>
                <w:highlight w:val="none"/>
                <w:lang w:eastAsia="zh-CN"/>
                <w14:textFill>
                  <w14:solidFill>
                    <w14:schemeClr w14:val="tx1"/>
                  </w14:solidFill>
                </w14:textFill>
              </w:rPr>
              <w:t>水源保证</w:t>
            </w:r>
          </w:p>
          <w:p w14:paraId="6C4337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本项目取水水源依托现有的取水口，该取水口位于青峰峡景区北侧石头河河道，水质、水量均能满足供水要求，涉及的相关取水工程以及环境影响分析不在本次环评范围之内，需另行环评。</w:t>
            </w:r>
          </w:p>
          <w:p w14:paraId="4B94BE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default"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 xml:space="preserve">主要原辅材料消耗、能耗 </w:t>
            </w:r>
          </w:p>
          <w:p w14:paraId="266054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0" w:firstLineChars="200"/>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项目原辅材料及能源消耗见</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下</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表。</w:t>
            </w:r>
          </w:p>
          <w:p w14:paraId="2FA9E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表2-</w:t>
            </w:r>
            <w:r>
              <w:rPr>
                <w:rFonts w:hint="eastAsia"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 xml:space="preserve">  项目</w:t>
            </w:r>
            <w:r>
              <w:rPr>
                <w:rFonts w:hint="eastAsia"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运营期</w:t>
            </w:r>
            <w:r>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主要原辅料及能源消耗一览表</w:t>
            </w:r>
          </w:p>
          <w:tbl>
            <w:tblPr>
              <w:tblStyle w:val="24"/>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658"/>
              <w:gridCol w:w="966"/>
              <w:gridCol w:w="1648"/>
              <w:gridCol w:w="1372"/>
              <w:gridCol w:w="1060"/>
              <w:gridCol w:w="978"/>
            </w:tblGrid>
            <w:tr w14:paraId="2DB0D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hidden/>
              </w:trPr>
              <w:tc>
                <w:tcPr>
                  <w:tcW w:w="424" w:type="pct"/>
                  <w:tcBorders>
                    <w:tl2br w:val="nil"/>
                    <w:tr2bl w:val="nil"/>
                  </w:tcBorders>
                  <w:noWrap w:val="0"/>
                  <w:vAlign w:val="center"/>
                </w:tcPr>
                <w:p w14:paraId="240DD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vertAlign w:val="baseline"/>
                      <w:lang w:val="en-US" w:eastAsia="zh-CN"/>
                      <w14:textFill>
                        <w14:solidFill>
                          <w14:schemeClr w14:val="tx1"/>
                        </w14:solidFill>
                      </w14:textFill>
                    </w:rPr>
                    <w:t>类别</w:t>
                  </w:r>
                </w:p>
              </w:tc>
              <w:tc>
                <w:tcPr>
                  <w:tcW w:w="987" w:type="pct"/>
                  <w:tcBorders>
                    <w:tl2br w:val="nil"/>
                    <w:tr2bl w:val="nil"/>
                  </w:tcBorders>
                  <w:noWrap w:val="0"/>
                  <w:vAlign w:val="center"/>
                </w:tcPr>
                <w:p w14:paraId="76128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vertAlign w:val="baseline"/>
                      <w:lang w:val="en-US" w:eastAsia="zh-CN"/>
                      <w14:textFill>
                        <w14:solidFill>
                          <w14:schemeClr w14:val="tx1"/>
                        </w14:solidFill>
                      </w14:textFill>
                    </w:rPr>
                    <w:t>名称</w:t>
                  </w:r>
                </w:p>
              </w:tc>
              <w:tc>
                <w:tcPr>
                  <w:tcW w:w="575" w:type="pct"/>
                  <w:tcBorders>
                    <w:tl2br w:val="nil"/>
                    <w:tr2bl w:val="nil"/>
                  </w:tcBorders>
                  <w:noWrap w:val="0"/>
                  <w:vAlign w:val="center"/>
                </w:tcPr>
                <w:p w14:paraId="5A800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vertAlign w:val="baseline"/>
                      <w:lang w:val="en-US" w:eastAsia="zh-CN"/>
                      <w14:textFill>
                        <w14:solidFill>
                          <w14:schemeClr w14:val="tx1"/>
                        </w14:solidFill>
                      </w14:textFill>
                    </w:rPr>
                    <w:t>消耗量</w:t>
                  </w:r>
                </w:p>
              </w:tc>
              <w:tc>
                <w:tcPr>
                  <w:tcW w:w="981" w:type="pct"/>
                  <w:tcBorders>
                    <w:tl2br w:val="nil"/>
                    <w:tr2bl w:val="nil"/>
                  </w:tcBorders>
                  <w:noWrap w:val="0"/>
                  <w:vAlign w:val="center"/>
                </w:tcPr>
                <w:p w14:paraId="23DB6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vertAlign w:val="baseline"/>
                      <w:lang w:val="en-US" w:eastAsia="zh-CN"/>
                      <w14:textFill>
                        <w14:solidFill>
                          <w14:schemeClr w14:val="tx1"/>
                        </w14:solidFill>
                      </w14:textFill>
                    </w:rPr>
                    <w:t>状态/包装</w:t>
                  </w:r>
                </w:p>
              </w:tc>
              <w:tc>
                <w:tcPr>
                  <w:tcW w:w="817" w:type="pct"/>
                  <w:tcBorders>
                    <w:tl2br w:val="nil"/>
                    <w:tr2bl w:val="nil"/>
                  </w:tcBorders>
                  <w:noWrap w:val="0"/>
                  <w:vAlign w:val="center"/>
                </w:tcPr>
                <w:p w14:paraId="363115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vertAlign w:val="baseline"/>
                      <w:lang w:val="en-US" w:eastAsia="zh-CN"/>
                      <w14:textFill>
                        <w14:solidFill>
                          <w14:schemeClr w14:val="tx1"/>
                        </w14:solidFill>
                      </w14:textFill>
                    </w:rPr>
                    <w:t>最大储存量</w:t>
                  </w:r>
                </w:p>
              </w:tc>
              <w:tc>
                <w:tcPr>
                  <w:tcW w:w="631" w:type="pct"/>
                  <w:tcBorders>
                    <w:tl2br w:val="nil"/>
                    <w:tr2bl w:val="nil"/>
                  </w:tcBorders>
                  <w:noWrap w:val="0"/>
                  <w:vAlign w:val="center"/>
                </w:tcPr>
                <w:p w14:paraId="0FEB79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vertAlign w:val="baseline"/>
                      <w:lang w:val="en-US" w:eastAsia="zh-CN"/>
                      <w14:textFill>
                        <w14:solidFill>
                          <w14:schemeClr w14:val="tx1"/>
                        </w14:solidFill>
                      </w14:textFill>
                    </w:rPr>
                    <w:t>储存位置</w:t>
                  </w:r>
                </w:p>
              </w:tc>
              <w:tc>
                <w:tcPr>
                  <w:tcW w:w="582" w:type="pct"/>
                  <w:tcBorders>
                    <w:tl2br w:val="nil"/>
                    <w:tr2bl w:val="nil"/>
                  </w:tcBorders>
                  <w:noWrap w:val="0"/>
                  <w:vAlign w:val="center"/>
                </w:tcPr>
                <w:p w14:paraId="66044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vertAlign w:val="baseline"/>
                      <w:lang w:val="en-US" w:eastAsia="zh-CN"/>
                      <w14:textFill>
                        <w14:solidFill>
                          <w14:schemeClr w14:val="tx1"/>
                        </w14:solidFill>
                      </w14:textFill>
                    </w:rPr>
                    <w:t>备注</w:t>
                  </w:r>
                </w:p>
              </w:tc>
            </w:tr>
            <w:tr w14:paraId="2454B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424" w:type="pct"/>
                  <w:vMerge w:val="restart"/>
                  <w:tcBorders>
                    <w:tl2br w:val="nil"/>
                    <w:tr2bl w:val="nil"/>
                  </w:tcBorders>
                  <w:noWrap w:val="0"/>
                  <w:vAlign w:val="center"/>
                </w:tcPr>
                <w:p w14:paraId="1F2346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t>净化水厂</w:t>
                  </w:r>
                </w:p>
                <w:p w14:paraId="6B07D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vertAlign w:val="baseline"/>
                      <w:lang w:val="en-US" w:eastAsia="zh-CN"/>
                      <w14:textFill>
                        <w14:solidFill>
                          <w14:schemeClr w14:val="tx1"/>
                        </w14:solidFill>
                      </w14:textFill>
                    </w:rPr>
                    <w:t>原辅料</w:t>
                  </w:r>
                </w:p>
              </w:tc>
              <w:tc>
                <w:tcPr>
                  <w:tcW w:w="987" w:type="pct"/>
                  <w:tcBorders>
                    <w:tl2br w:val="nil"/>
                    <w:tr2bl w:val="nil"/>
                  </w:tcBorders>
                  <w:noWrap w:val="0"/>
                  <w:vAlign w:val="center"/>
                </w:tcPr>
                <w:p w14:paraId="68015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PAC</w:t>
                  </w:r>
                </w:p>
                <w:p w14:paraId="12D8E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（聚合氯化铝）</w:t>
                  </w:r>
                </w:p>
              </w:tc>
              <w:tc>
                <w:tcPr>
                  <w:tcW w:w="575" w:type="pct"/>
                  <w:tcBorders>
                    <w:tl2br w:val="nil"/>
                    <w:tr2bl w:val="nil"/>
                  </w:tcBorders>
                  <w:noWrap w:val="0"/>
                  <w:vAlign w:val="center"/>
                </w:tcPr>
                <w:p w14:paraId="3FFBD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5.96t/a</w:t>
                  </w:r>
                </w:p>
              </w:tc>
              <w:tc>
                <w:tcPr>
                  <w:tcW w:w="981" w:type="pct"/>
                  <w:tcBorders>
                    <w:tl2br w:val="nil"/>
                    <w:tr2bl w:val="nil"/>
                  </w:tcBorders>
                  <w:noWrap w:val="0"/>
                  <w:vAlign w:val="center"/>
                </w:tcPr>
                <w:p w14:paraId="5FF5B2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固态/25kg袋装</w:t>
                  </w:r>
                </w:p>
              </w:tc>
              <w:tc>
                <w:tcPr>
                  <w:tcW w:w="817" w:type="pct"/>
                  <w:tcBorders>
                    <w:tl2br w:val="nil"/>
                    <w:tr2bl w:val="nil"/>
                  </w:tcBorders>
                  <w:noWrap w:val="0"/>
                  <w:vAlign w:val="center"/>
                </w:tcPr>
                <w:p w14:paraId="1FFC3B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0.5t/a</w:t>
                  </w:r>
                </w:p>
              </w:tc>
              <w:tc>
                <w:tcPr>
                  <w:tcW w:w="631" w:type="pct"/>
                  <w:tcBorders>
                    <w:tl2br w:val="nil"/>
                    <w:tr2bl w:val="nil"/>
                  </w:tcBorders>
                  <w:noWrap w:val="0"/>
                  <w:vAlign w:val="center"/>
                </w:tcPr>
                <w:p w14:paraId="5B0BF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加药间</w:t>
                  </w:r>
                </w:p>
              </w:tc>
              <w:tc>
                <w:tcPr>
                  <w:tcW w:w="582" w:type="pct"/>
                  <w:vMerge w:val="restart"/>
                  <w:tcBorders>
                    <w:tl2br w:val="nil"/>
                    <w:tr2bl w:val="nil"/>
                  </w:tcBorders>
                  <w:noWrap w:val="0"/>
                  <w:vAlign w:val="center"/>
                </w:tcPr>
                <w:p w14:paraId="2C497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水处理设施过程中净水、消毒作用</w:t>
                  </w:r>
                </w:p>
              </w:tc>
            </w:tr>
            <w:tr w14:paraId="58D26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424" w:type="pct"/>
                  <w:vMerge w:val="continue"/>
                  <w:tcBorders>
                    <w:tl2br w:val="nil"/>
                    <w:tr2bl w:val="nil"/>
                  </w:tcBorders>
                  <w:noWrap w:val="0"/>
                  <w:vAlign w:val="center"/>
                </w:tcPr>
                <w:p w14:paraId="2E036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pPr>
                </w:p>
              </w:tc>
              <w:tc>
                <w:tcPr>
                  <w:tcW w:w="987" w:type="pct"/>
                  <w:tcBorders>
                    <w:tl2br w:val="nil"/>
                    <w:tr2bl w:val="nil"/>
                  </w:tcBorders>
                  <w:noWrap w:val="0"/>
                  <w:vAlign w:val="center"/>
                </w:tcPr>
                <w:p w14:paraId="37869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PAM</w:t>
                  </w:r>
                </w:p>
                <w:p w14:paraId="50FB50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（聚丙烯酰胺）</w:t>
                  </w:r>
                </w:p>
              </w:tc>
              <w:tc>
                <w:tcPr>
                  <w:tcW w:w="575" w:type="pct"/>
                  <w:tcBorders>
                    <w:tl2br w:val="nil"/>
                    <w:tr2bl w:val="nil"/>
                  </w:tcBorders>
                  <w:noWrap w:val="0"/>
                  <w:vAlign w:val="center"/>
                </w:tcPr>
                <w:p w14:paraId="675000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90.2kg/a</w:t>
                  </w:r>
                </w:p>
              </w:tc>
              <w:tc>
                <w:tcPr>
                  <w:tcW w:w="981" w:type="pct"/>
                  <w:tcBorders>
                    <w:tl2br w:val="nil"/>
                    <w:tr2bl w:val="nil"/>
                  </w:tcBorders>
                  <w:noWrap w:val="0"/>
                  <w:vAlign w:val="center"/>
                </w:tcPr>
                <w:p w14:paraId="74C21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固态/25kg袋装</w:t>
                  </w:r>
                </w:p>
              </w:tc>
              <w:tc>
                <w:tcPr>
                  <w:tcW w:w="817" w:type="pct"/>
                  <w:tcBorders>
                    <w:tl2br w:val="nil"/>
                    <w:tr2bl w:val="nil"/>
                  </w:tcBorders>
                  <w:noWrap w:val="0"/>
                  <w:vAlign w:val="center"/>
                </w:tcPr>
                <w:p w14:paraId="3D927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0.03t/a</w:t>
                  </w:r>
                </w:p>
              </w:tc>
              <w:tc>
                <w:tcPr>
                  <w:tcW w:w="631" w:type="pct"/>
                  <w:tcBorders>
                    <w:tl2br w:val="nil"/>
                    <w:tr2bl w:val="nil"/>
                  </w:tcBorders>
                  <w:noWrap w:val="0"/>
                  <w:vAlign w:val="center"/>
                </w:tcPr>
                <w:p w14:paraId="10E04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加药间</w:t>
                  </w:r>
                </w:p>
              </w:tc>
              <w:tc>
                <w:tcPr>
                  <w:tcW w:w="582" w:type="pct"/>
                  <w:vMerge w:val="continue"/>
                  <w:tcBorders>
                    <w:tl2br w:val="nil"/>
                    <w:tr2bl w:val="nil"/>
                  </w:tcBorders>
                  <w:noWrap w:val="0"/>
                  <w:vAlign w:val="center"/>
                </w:tcPr>
                <w:p w14:paraId="2F216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p>
              </w:tc>
            </w:tr>
            <w:tr w14:paraId="0925E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hidden/>
              </w:trPr>
              <w:tc>
                <w:tcPr>
                  <w:tcW w:w="424" w:type="pct"/>
                  <w:vMerge w:val="continue"/>
                  <w:tcBorders>
                    <w:tl2br w:val="nil"/>
                    <w:tr2bl w:val="nil"/>
                  </w:tcBorders>
                  <w:noWrap w:val="0"/>
                  <w:vAlign w:val="center"/>
                </w:tcPr>
                <w:p w14:paraId="3526CD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pPr>
                </w:p>
              </w:tc>
              <w:tc>
                <w:tcPr>
                  <w:tcW w:w="987" w:type="pct"/>
                  <w:tcBorders>
                    <w:tl2br w:val="nil"/>
                    <w:tr2bl w:val="nil"/>
                  </w:tcBorders>
                  <w:noWrap w:val="0"/>
                  <w:vAlign w:val="center"/>
                </w:tcPr>
                <w:p w14:paraId="65309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NaCl</w:t>
                  </w:r>
                </w:p>
                <w:p w14:paraId="08F9E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（工业食盐）</w:t>
                  </w:r>
                </w:p>
              </w:tc>
              <w:tc>
                <w:tcPr>
                  <w:tcW w:w="575" w:type="pct"/>
                  <w:tcBorders>
                    <w:tl2br w:val="nil"/>
                    <w:tr2bl w:val="nil"/>
                  </w:tcBorders>
                  <w:noWrap w:val="0"/>
                  <w:vAlign w:val="center"/>
                </w:tcPr>
                <w:p w14:paraId="682DF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2.83t/a</w:t>
                  </w:r>
                </w:p>
              </w:tc>
              <w:tc>
                <w:tcPr>
                  <w:tcW w:w="981" w:type="pct"/>
                  <w:tcBorders>
                    <w:tl2br w:val="nil"/>
                    <w:tr2bl w:val="nil"/>
                  </w:tcBorders>
                  <w:noWrap w:val="0"/>
                  <w:vAlign w:val="center"/>
                </w:tcPr>
                <w:p w14:paraId="5FE065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固态/50kg袋装</w:t>
                  </w:r>
                </w:p>
              </w:tc>
              <w:tc>
                <w:tcPr>
                  <w:tcW w:w="817" w:type="pct"/>
                  <w:tcBorders>
                    <w:tl2br w:val="nil"/>
                    <w:tr2bl w:val="nil"/>
                  </w:tcBorders>
                  <w:noWrap w:val="0"/>
                  <w:vAlign w:val="center"/>
                </w:tcPr>
                <w:p w14:paraId="5E8F4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0.5t/a</w:t>
                  </w:r>
                </w:p>
              </w:tc>
              <w:tc>
                <w:tcPr>
                  <w:tcW w:w="631" w:type="pct"/>
                  <w:tcBorders>
                    <w:tl2br w:val="nil"/>
                    <w:tr2bl w:val="nil"/>
                  </w:tcBorders>
                  <w:noWrap w:val="0"/>
                  <w:vAlign w:val="center"/>
                </w:tcPr>
                <w:p w14:paraId="52EF14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加药间</w:t>
                  </w:r>
                </w:p>
              </w:tc>
              <w:tc>
                <w:tcPr>
                  <w:tcW w:w="582" w:type="pct"/>
                  <w:vMerge w:val="continue"/>
                  <w:tcBorders>
                    <w:tl2br w:val="nil"/>
                    <w:tr2bl w:val="nil"/>
                  </w:tcBorders>
                  <w:noWrap w:val="0"/>
                  <w:vAlign w:val="center"/>
                </w:tcPr>
                <w:p w14:paraId="0A1724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p>
              </w:tc>
            </w:tr>
            <w:tr w14:paraId="1CB65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hidden/>
              </w:trPr>
              <w:tc>
                <w:tcPr>
                  <w:tcW w:w="424" w:type="pct"/>
                  <w:vMerge w:val="continue"/>
                  <w:tcBorders>
                    <w:tl2br w:val="nil"/>
                    <w:tr2bl w:val="nil"/>
                  </w:tcBorders>
                  <w:noWrap w:val="0"/>
                  <w:vAlign w:val="center"/>
                </w:tcPr>
                <w:p w14:paraId="6CE2E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p>
              </w:tc>
              <w:tc>
                <w:tcPr>
                  <w:tcW w:w="987" w:type="pct"/>
                  <w:tcBorders>
                    <w:tl2br w:val="nil"/>
                    <w:tr2bl w:val="nil"/>
                  </w:tcBorders>
                  <w:noWrap w:val="0"/>
                  <w:vAlign w:val="center"/>
                </w:tcPr>
                <w:p w14:paraId="59B38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10%稀盐酸</w:t>
                  </w:r>
                </w:p>
              </w:tc>
              <w:tc>
                <w:tcPr>
                  <w:tcW w:w="575" w:type="pct"/>
                  <w:tcBorders>
                    <w:tl2br w:val="nil"/>
                    <w:tr2bl w:val="nil"/>
                  </w:tcBorders>
                  <w:noWrap w:val="0"/>
                  <w:vAlign w:val="center"/>
                </w:tcPr>
                <w:p w14:paraId="4C9E1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12L/a</w:t>
                  </w:r>
                </w:p>
              </w:tc>
              <w:tc>
                <w:tcPr>
                  <w:tcW w:w="981" w:type="pct"/>
                  <w:tcBorders>
                    <w:tl2br w:val="nil"/>
                    <w:tr2bl w:val="nil"/>
                  </w:tcBorders>
                  <w:noWrap w:val="0"/>
                  <w:vAlign w:val="center"/>
                </w:tcPr>
                <w:p w14:paraId="27BFB9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t>液态/PP瓶装</w:t>
                  </w:r>
                </w:p>
              </w:tc>
              <w:tc>
                <w:tcPr>
                  <w:tcW w:w="817" w:type="pct"/>
                  <w:tcBorders>
                    <w:tl2br w:val="nil"/>
                    <w:tr2bl w:val="nil"/>
                  </w:tcBorders>
                  <w:noWrap w:val="0"/>
                  <w:vAlign w:val="center"/>
                </w:tcPr>
                <w:p w14:paraId="4AE7D3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t>不储存</w:t>
                  </w:r>
                </w:p>
              </w:tc>
              <w:tc>
                <w:tcPr>
                  <w:tcW w:w="631" w:type="pct"/>
                  <w:tcBorders>
                    <w:tl2br w:val="nil"/>
                    <w:tr2bl w:val="nil"/>
                  </w:tcBorders>
                  <w:noWrap w:val="0"/>
                  <w:vAlign w:val="center"/>
                </w:tcPr>
                <w:p w14:paraId="3D1E9B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t>/</w:t>
                  </w:r>
                </w:p>
              </w:tc>
              <w:tc>
                <w:tcPr>
                  <w:tcW w:w="582" w:type="pct"/>
                  <w:vMerge w:val="continue"/>
                  <w:tcBorders>
                    <w:tl2br w:val="nil"/>
                    <w:tr2bl w:val="nil"/>
                  </w:tcBorders>
                  <w:noWrap w:val="0"/>
                  <w:vAlign w:val="center"/>
                </w:tcPr>
                <w:p w14:paraId="36BA32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eastAsia="zh-CN"/>
                      <w14:textFill>
                        <w14:solidFill>
                          <w14:schemeClr w14:val="tx1"/>
                        </w14:solidFill>
                      </w14:textFill>
                    </w:rPr>
                  </w:pPr>
                </w:p>
              </w:tc>
            </w:tr>
          </w:tbl>
          <w:p w14:paraId="1F13B706">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textAlignment w:val="auto"/>
              <w:rPr>
                <w:rFonts w:hint="default"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主要原辅材料理化性质如下所示：</w:t>
            </w:r>
          </w:p>
          <w:p w14:paraId="45CEEB68">
            <w:pPr>
              <w:keepNext w:val="0"/>
              <w:keepLines w:val="0"/>
              <w:pageBreakBefore w:val="0"/>
              <w:widowControl w:val="0"/>
              <w:kinsoku/>
              <w:wordWrap/>
              <w:overflowPunct/>
              <w:topLinePunct/>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PAC：</w:t>
            </w:r>
            <w:r>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t xml:space="preserve">全称聚合氯化铝，是一种无机高分子混凝剂，淡黄色、黄褐色颗粒 / 粉末固体，无刺激性气味，易溶于水，水溶液呈酸性，pH约3.5～5.0，常温干燥条件下稳定，遇潮轻微结块，不发生变质，不属于危险化学品，无易燃、易爆特性，避免与强碱混存，主要用于水体悬浮物絮凝脱稳，能有效去除水中色质 </w:t>
            </w:r>
            <w:r>
              <w:rPr>
                <w:rFonts w:hint="default" w:ascii="Times New Roman" w:hAnsi="Times New Roman" w:eastAsia="宋体" w:cs="Times New Roman"/>
                <w:b w:val="0"/>
                <w:bCs w:val="0"/>
                <w:vanish w:val="0"/>
                <w:color w:val="000000" w:themeColor="text1"/>
                <w:lang w:val="en-US" w:eastAsia="zh-CN"/>
                <w14:textFill>
                  <w14:solidFill>
                    <w14:schemeClr w14:val="tx1"/>
                  </w14:solidFill>
                </w14:textFill>
              </w:rPr>
              <w:t>SS</w:t>
            </w:r>
            <w:r>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lang w:val="en-US" w:eastAsia="zh-CN"/>
                <w14:textFill>
                  <w14:solidFill>
                    <w14:schemeClr w14:val="tx1"/>
                  </w14:solidFill>
                </w14:textFill>
              </w:rPr>
              <w:t>COD</w:t>
            </w:r>
            <w:r>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lang w:val="en-US" w:eastAsia="zh-CN"/>
                <w14:textFill>
                  <w14:solidFill>
                    <w14:schemeClr w14:val="tx1"/>
                  </w14:solidFill>
                </w14:textFill>
              </w:rPr>
              <w:t>BOD</w:t>
            </w:r>
            <w:r>
              <w:rPr>
                <w:rFonts w:hint="eastAsia" w:cs="Times New Roman"/>
                <w:b w:val="0"/>
                <w:bCs w:val="0"/>
                <w:vanish w:val="0"/>
                <w:color w:val="000000" w:themeColor="text1"/>
                <w:vertAlign w:val="subscript"/>
                <w:lang w:val="en-US" w:eastAsia="zh-CN"/>
                <w14:textFill>
                  <w14:solidFill>
                    <w14:schemeClr w14:val="tx1"/>
                  </w14:solidFill>
                </w14:textFill>
              </w:rPr>
              <w:t>5</w:t>
            </w:r>
            <w:r>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t>及砷、汞等重金属离子，该产品广泛用于饮用水、工业用水和污水处理领域。</w:t>
            </w:r>
          </w:p>
          <w:p w14:paraId="4199A9AA">
            <w:pPr>
              <w:keepNext w:val="0"/>
              <w:keepLines w:val="0"/>
              <w:pageBreakBefore w:val="0"/>
              <w:widowControl w:val="0"/>
              <w:kinsoku/>
              <w:wordWrap/>
              <w:overflowPunct/>
              <w:topLinePunct/>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vanish w:val="0"/>
                <w:color w:val="000000" w:themeColor="text1"/>
                <w:lang w:val="en-US" w:eastAsia="zh-CN"/>
                <w14:textFill>
                  <w14:solidFill>
                    <w14:schemeClr w14:val="tx1"/>
                  </w14:solidFill>
                </w14:textFill>
              </w:rPr>
              <w:t>PAM：全称聚丙烯酰胺，白色细粉末，冷水缓慢溶解，不溶于乙醇、丙酮等有机溶剂，干燥避光储存稳定，遇水吸潮结块，高温（＞120℃）分解</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，pH约7.0～8.5，弱碱性，普通化工品，非危化品，粉尘吸入会轻微刺激呼吸道，作为助凝剂强化絮体沉降。</w:t>
            </w:r>
          </w:p>
          <w:p w14:paraId="65306FDF">
            <w:pPr>
              <w:keepNext w:val="0"/>
              <w:keepLines w:val="0"/>
              <w:pageBreakBefore w:val="0"/>
              <w:widowControl w:val="0"/>
              <w:kinsoku/>
              <w:wordWrap/>
              <w:overflowPunct/>
              <w:topLinePunct/>
              <w:autoSpaceDE/>
              <w:autoSpaceDN/>
              <w:bidi w:val="0"/>
              <w:adjustRightInd w:val="0"/>
              <w:snapToGrid w:val="0"/>
              <w:spacing w:line="360" w:lineRule="auto"/>
              <w:ind w:firstLine="420" w:firstLineChars="200"/>
              <w:jc w:val="both"/>
              <w:textAlignment w:val="auto"/>
              <w:rPr>
                <w:rFonts w:hint="default" w:ascii="Times New Roman" w:hAnsi="Times New Roman" w:cs="Times New Roman"/>
                <w:b w:val="0"/>
                <w:bCs w:val="0"/>
                <w:vanish w:val="0"/>
                <w:color w:val="000000" w:themeColor="text1"/>
                <w:lang w:val="en-US" w:eastAsia="zh-CN"/>
                <w14:textFill>
                  <w14:solidFill>
                    <w14:schemeClr w14:val="tx1"/>
                  </w14:solidFill>
                </w14:textFill>
              </w:rPr>
            </w:pPr>
            <w:r>
              <w:rPr>
                <w:rFonts w:hint="eastAsia" w:ascii="Times New Roman" w:hAnsi="Times New Roman" w:cs="Times New Roman"/>
                <w:b w:val="0"/>
                <w:bCs w:val="0"/>
                <w:vanish w:val="0"/>
                <w:color w:val="000000" w:themeColor="text1"/>
                <w:lang w:val="en-US" w:eastAsia="zh-CN"/>
                <w14:textFill>
                  <w14:solidFill>
                    <w14:schemeClr w14:val="tx1"/>
                  </w14:solidFill>
                </w14:textFill>
              </w:rPr>
              <w:t>NaCl：工业精制食盐氯化钠，白色结晶颗粒，极易溶于水，溶解度随温度小幅上升，</w:t>
            </w:r>
            <w:r>
              <w:rPr>
                <w:rFonts w:hint="eastAsia" w:ascii="Times New Roman" w:hAnsi="Times New Roman" w:eastAsia="宋体" w:cs="Times New Roman"/>
                <w:b w:val="0"/>
                <w:bCs w:val="0"/>
                <w:vanish w:val="0"/>
                <w:color w:val="000000" w:themeColor="text1"/>
                <w:sz w:val="21"/>
                <w:szCs w:val="21"/>
                <w:highlight w:val="none"/>
                <w:lang w:val="en-US" w:eastAsia="zh-CN"/>
                <w14:textFill>
                  <w14:solidFill>
                    <w14:schemeClr w14:val="tx1"/>
                  </w14:solidFill>
                </w14:textFill>
              </w:rPr>
              <w:t>pH约6.5～7.5，熔点：801℃，沸点 1465℃，常温化学性质稳定，不燃不爆，吸湿性弱，不属于危险化学品，主要用于为次氯酸钠电解制氯原料。</w:t>
            </w:r>
          </w:p>
          <w:p w14:paraId="687565DF">
            <w:pPr>
              <w:keepNext w:val="0"/>
              <w:keepLines w:val="0"/>
              <w:pageBreakBefore w:val="0"/>
              <w:widowControl w:val="0"/>
              <w:kinsoku/>
              <w:wordWrap/>
              <w:overflowPunct/>
              <w:topLinePunct/>
              <w:autoSpaceDE/>
              <w:autoSpaceDN/>
              <w:bidi w:val="0"/>
              <w:adjustRightInd w:val="0"/>
              <w:snapToGrid w:val="0"/>
              <w:spacing w:line="360" w:lineRule="auto"/>
              <w:ind w:firstLine="420" w:firstLineChars="200"/>
              <w:jc w:val="both"/>
              <w:textAlignment w:val="auto"/>
              <w:rPr>
                <w:rFonts w:hint="default" w:ascii="Times New Roman" w:hAnsi="Times New Roman" w:cs="Times New Roman"/>
                <w:b w:val="0"/>
                <w:bCs w:val="0"/>
                <w:vanish w:val="0"/>
                <w:color w:val="000000" w:themeColor="text1"/>
                <w:lang w:val="en-US" w:eastAsia="zh-CN"/>
                <w14:textFill>
                  <w14:solidFill>
                    <w14:schemeClr w14:val="tx1"/>
                  </w14:solidFill>
                </w14:textFill>
              </w:rPr>
            </w:pPr>
            <w:r>
              <w:rPr>
                <w:rFonts w:hint="eastAsia" w:ascii="Times New Roman" w:hAnsi="Times New Roman" w:cs="Times New Roman"/>
                <w:b w:val="0"/>
                <w:bCs w:val="0"/>
                <w:vanish w:val="0"/>
                <w:color w:val="000000" w:themeColor="text1"/>
                <w:lang w:val="en-US" w:eastAsia="zh-CN"/>
                <w14:textFill>
                  <w14:solidFill>
                    <w14:schemeClr w14:val="tx1"/>
                  </w14:solidFill>
                </w14:textFill>
              </w:rPr>
              <w:t>10%稀盐酸：无色强酸性液体，具有轻微挥发性，有刺激性气味，属于腐蚀性危化品；用于电解电极定期酸洗除垢，储存区配套防渗、防泄漏应急措施。</w:t>
            </w:r>
          </w:p>
          <w:p w14:paraId="3A5FBDC2">
            <w:pPr>
              <w:keepNext w:val="0"/>
              <w:keepLines w:val="0"/>
              <w:pageBreakBefore w:val="0"/>
              <w:widowControl w:val="0"/>
              <w:kinsoku/>
              <w:wordWrap/>
              <w:overflowPunct/>
              <w:topLinePunct/>
              <w:autoSpaceDE/>
              <w:autoSpaceDN/>
              <w:bidi w:val="0"/>
              <w:adjustRightInd w:val="0"/>
              <w:snapToGrid w:val="0"/>
              <w:spacing w:line="360" w:lineRule="auto"/>
              <w:ind w:firstLine="420" w:firstLineChars="200"/>
              <w:jc w:val="both"/>
              <w:textAlignment w:val="auto"/>
              <w:rPr>
                <w:rFonts w:hint="default" w:ascii="Times New Roman" w:hAnsi="Times New Roman" w:cs="Times New Roman"/>
                <w:b/>
                <w:bCs/>
                <w:vanish w:val="0"/>
                <w:color w:val="000000" w:themeColor="text1"/>
                <w:lang w:val="en-US" w:eastAsia="zh-CN"/>
                <w14:textFill>
                  <w14:solidFill>
                    <w14:schemeClr w14:val="tx1"/>
                  </w14:solidFill>
                </w14:textFill>
              </w:rPr>
            </w:pPr>
            <w:r>
              <w:rPr>
                <w:rFonts w:hint="eastAsia" w:ascii="Times New Roman" w:hAnsi="Times New Roman" w:cs="Times New Roman"/>
                <w:b/>
                <w:bCs/>
                <w:vanish w:val="0"/>
                <w:color w:val="000000" w:themeColor="text1"/>
                <w:lang w:val="en-US" w:eastAsia="zh-CN"/>
                <w14:textFill>
                  <w14:solidFill>
                    <w14:schemeClr w14:val="tx1"/>
                  </w14:solidFill>
                </w14:textFill>
              </w:rPr>
              <w:t>5、设备清单</w:t>
            </w:r>
          </w:p>
          <w:p w14:paraId="59A2EE6C">
            <w:pPr>
              <w:keepNext w:val="0"/>
              <w:keepLines w:val="0"/>
              <w:pageBreakBefore w:val="0"/>
              <w:widowControl w:val="0"/>
              <w:kinsoku/>
              <w:wordWrap/>
              <w:overflowPunct/>
              <w:topLinePunct/>
              <w:autoSpaceDE/>
              <w:autoSpaceDN/>
              <w:bidi w:val="0"/>
              <w:adjustRightInd w:val="0"/>
              <w:snapToGrid w:val="0"/>
              <w:spacing w:line="360" w:lineRule="auto"/>
              <w:ind w:firstLine="420" w:firstLineChars="200"/>
              <w:jc w:val="both"/>
              <w:textAlignment w:val="auto"/>
              <w:rPr>
                <w:rFonts w:hint="default" w:ascii="Times New Roman" w:hAnsi="Times New Roman" w:cs="Times New Roman"/>
                <w:b w:val="0"/>
                <w:bCs w:val="0"/>
                <w:vanish w:val="0"/>
                <w:color w:val="000000" w:themeColor="text1"/>
                <w:lang w:val="en-US" w:eastAsia="zh-CN"/>
                <w14:textFill>
                  <w14:solidFill>
                    <w14:schemeClr w14:val="tx1"/>
                  </w14:solidFill>
                </w14:textFill>
              </w:rPr>
            </w:pPr>
            <w:r>
              <w:rPr>
                <w:rFonts w:hint="eastAsia" w:ascii="Times New Roman" w:hAnsi="Times New Roman" w:cs="Times New Roman"/>
                <w:b w:val="0"/>
                <w:bCs w:val="0"/>
                <w:vanish w:val="0"/>
                <w:color w:val="000000" w:themeColor="text1"/>
                <w:lang w:val="en-US" w:eastAsia="zh-CN"/>
                <w14:textFill>
                  <w14:solidFill>
                    <w14:schemeClr w14:val="tx1"/>
                  </w14:solidFill>
                </w14:textFill>
              </w:rPr>
              <w:t>本项目设备清单如下表所示</w:t>
            </w:r>
          </w:p>
          <w:p w14:paraId="5BD6F0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表2-</w:t>
            </w:r>
            <w:r>
              <w:rPr>
                <w:rFonts w:hint="eastAsia"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 xml:space="preserve">  项目</w:t>
            </w:r>
            <w:r>
              <w:rPr>
                <w:rFonts w:hint="eastAsia"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设备清单</w:t>
            </w:r>
            <w:r>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一览表</w:t>
            </w:r>
          </w:p>
          <w:tbl>
            <w:tblPr>
              <w:tblStyle w:val="24"/>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815"/>
              <w:gridCol w:w="2847"/>
              <w:gridCol w:w="886"/>
              <w:gridCol w:w="2312"/>
            </w:tblGrid>
            <w:tr w14:paraId="5C5D5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318" w:type="pct"/>
                  <w:tcBorders>
                    <w:tl2br w:val="nil"/>
                    <w:tr2bl w:val="nil"/>
                  </w:tcBorders>
                  <w:noWrap w:val="0"/>
                  <w:vAlign w:val="center"/>
                </w:tcPr>
                <w:p w14:paraId="7C7191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t>序号</w:t>
                  </w:r>
                </w:p>
              </w:tc>
              <w:tc>
                <w:tcPr>
                  <w:tcW w:w="1081" w:type="pct"/>
                  <w:tcBorders>
                    <w:tl2br w:val="nil"/>
                    <w:tr2bl w:val="nil"/>
                  </w:tcBorders>
                  <w:noWrap w:val="0"/>
                  <w:vAlign w:val="center"/>
                </w:tcPr>
                <w:p w14:paraId="34A5A5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t>设备名称</w:t>
                  </w:r>
                </w:p>
              </w:tc>
              <w:tc>
                <w:tcPr>
                  <w:tcW w:w="1696" w:type="pct"/>
                  <w:tcBorders>
                    <w:tl2br w:val="nil"/>
                    <w:tr2bl w:val="nil"/>
                  </w:tcBorders>
                  <w:noWrap w:val="0"/>
                  <w:vAlign w:val="center"/>
                </w:tcPr>
                <w:p w14:paraId="35280D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sz w:val="21"/>
                      <w:szCs w:val="21"/>
                      <w:vertAlign w:val="baseline"/>
                      <w:lang w:val="en-US" w:eastAsia="zh-CN"/>
                      <w14:textFill>
                        <w14:solidFill>
                          <w14:schemeClr w14:val="tx1"/>
                        </w14:solidFill>
                      </w14:textFill>
                    </w:rPr>
                    <w:t>型号规格</w:t>
                  </w:r>
                </w:p>
              </w:tc>
              <w:tc>
                <w:tcPr>
                  <w:tcW w:w="528" w:type="pct"/>
                  <w:tcBorders>
                    <w:tl2br w:val="nil"/>
                    <w:tr2bl w:val="nil"/>
                  </w:tcBorders>
                  <w:noWrap w:val="0"/>
                  <w:vAlign w:val="center"/>
                </w:tcPr>
                <w:p w14:paraId="7A605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vertAlign w:val="baseline"/>
                      <w:lang w:val="en-US" w:eastAsia="zh-CN"/>
                      <w14:textFill>
                        <w14:solidFill>
                          <w14:schemeClr w14:val="tx1"/>
                        </w14:solidFill>
                      </w14:textFill>
                    </w:rPr>
                    <w:t>数量</w:t>
                  </w:r>
                </w:p>
              </w:tc>
              <w:tc>
                <w:tcPr>
                  <w:tcW w:w="1376" w:type="pct"/>
                  <w:tcBorders>
                    <w:tl2br w:val="nil"/>
                    <w:tr2bl w:val="nil"/>
                  </w:tcBorders>
                  <w:noWrap w:val="0"/>
                  <w:vAlign w:val="center"/>
                </w:tcPr>
                <w:p w14:paraId="27152E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vertAlign w:val="baseline"/>
                      <w:lang w:val="en-US" w:eastAsia="zh-CN"/>
                      <w14:textFill>
                        <w14:solidFill>
                          <w14:schemeClr w14:val="tx1"/>
                        </w14:solidFill>
                      </w14:textFill>
                    </w:rPr>
                    <w:t>用途</w:t>
                  </w:r>
                </w:p>
              </w:tc>
            </w:tr>
            <w:tr w14:paraId="40C55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5000" w:type="pct"/>
                  <w:gridSpan w:val="5"/>
                  <w:tcBorders>
                    <w:tl2br w:val="nil"/>
                    <w:tr2bl w:val="nil"/>
                  </w:tcBorders>
                  <w:noWrap w:val="0"/>
                  <w:vAlign w:val="center"/>
                </w:tcPr>
                <w:p w14:paraId="370CEF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净水设备</w:t>
                  </w:r>
                </w:p>
              </w:tc>
            </w:tr>
            <w:tr w14:paraId="3F077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318" w:type="pct"/>
                  <w:tcBorders>
                    <w:tl2br w:val="nil"/>
                    <w:tr2bl w:val="nil"/>
                  </w:tcBorders>
                  <w:noWrap w:val="0"/>
                  <w:vAlign w:val="center"/>
                </w:tcPr>
                <w:p w14:paraId="51ACC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w:t>
                  </w:r>
                </w:p>
              </w:tc>
              <w:tc>
                <w:tcPr>
                  <w:tcW w:w="1081" w:type="pct"/>
                  <w:tcBorders>
                    <w:tl2br w:val="nil"/>
                    <w:tr2bl w:val="nil"/>
                  </w:tcBorders>
                  <w:noWrap w:val="0"/>
                  <w:vAlign w:val="center"/>
                </w:tcPr>
                <w:p w14:paraId="41E791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一体化净水主机</w:t>
                  </w:r>
                </w:p>
              </w:tc>
              <w:tc>
                <w:tcPr>
                  <w:tcW w:w="1696" w:type="pct"/>
                  <w:tcBorders>
                    <w:tl2br w:val="nil"/>
                    <w:tr2bl w:val="nil"/>
                  </w:tcBorders>
                  <w:noWrap w:val="0"/>
                  <w:vAlign w:val="center"/>
                </w:tcPr>
                <w:p w14:paraId="78F1FC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YYJS-800（处理规模800m</w:t>
                  </w:r>
                  <w:r>
                    <w:rPr>
                      <w:rFonts w:hint="eastAsia"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w:t>
                  </w:r>
                  <w:r>
                    <w:rPr>
                      <w:rFonts w:hint="eastAsia" w:cs="Times New Roman"/>
                      <w:vanish w:val="0"/>
                      <w:color w:val="000000" w:themeColor="text1"/>
                      <w:sz w:val="21"/>
                      <w:szCs w:val="21"/>
                      <w:vertAlign w:val="baseline"/>
                      <w:lang w:val="en-US" w:eastAsia="zh-CN"/>
                      <w14:textFill>
                        <w14:solidFill>
                          <w14:schemeClr w14:val="tx1"/>
                        </w14:solidFill>
                      </w14:textFill>
                    </w:rPr>
                    <w:t>d</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，45.8m</w:t>
                  </w:r>
                  <w:r>
                    <w:rPr>
                      <w:rFonts w:hint="eastAsia"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/h，304不锈钢一体化；集成管式混合、网格絮凝、斜管沉淀、石英砂滤池；配套自动排泥、重力水反洗系统）</w:t>
                  </w:r>
                </w:p>
              </w:tc>
              <w:tc>
                <w:tcPr>
                  <w:tcW w:w="528" w:type="pct"/>
                  <w:tcBorders>
                    <w:tl2br w:val="nil"/>
                    <w:tr2bl w:val="nil"/>
                  </w:tcBorders>
                  <w:noWrap w:val="0"/>
                  <w:vAlign w:val="center"/>
                </w:tcPr>
                <w:p w14:paraId="37C6BE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 套</w:t>
                  </w:r>
                </w:p>
              </w:tc>
              <w:tc>
                <w:tcPr>
                  <w:tcW w:w="1376" w:type="pct"/>
                  <w:tcBorders>
                    <w:tl2br w:val="nil"/>
                    <w:tr2bl w:val="nil"/>
                  </w:tcBorders>
                  <w:noWrap w:val="0"/>
                  <w:vAlign w:val="center"/>
                </w:tcPr>
                <w:p w14:paraId="6676FF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原水混凝、絮凝、沉淀、过滤一体化处理，去除泥沙、悬浮物、胶体，出水浊度达标</w:t>
                  </w:r>
                </w:p>
              </w:tc>
            </w:tr>
            <w:tr w14:paraId="7983B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318" w:type="pct"/>
                  <w:tcBorders>
                    <w:tl2br w:val="nil"/>
                    <w:tr2bl w:val="nil"/>
                  </w:tcBorders>
                  <w:noWrap w:val="0"/>
                  <w:vAlign w:val="center"/>
                </w:tcPr>
                <w:p w14:paraId="2B272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w:t>
                  </w:r>
                </w:p>
              </w:tc>
              <w:tc>
                <w:tcPr>
                  <w:tcW w:w="1081" w:type="pct"/>
                  <w:tcBorders>
                    <w:tl2br w:val="nil"/>
                    <w:tr2bl w:val="nil"/>
                  </w:tcBorders>
                  <w:noWrap w:val="0"/>
                  <w:vAlign w:val="center"/>
                </w:tcPr>
                <w:p w14:paraId="0C71A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反冲洗水箱</w:t>
                  </w:r>
                </w:p>
              </w:tc>
              <w:tc>
                <w:tcPr>
                  <w:tcW w:w="1696" w:type="pct"/>
                  <w:tcBorders>
                    <w:tl2br w:val="nil"/>
                    <w:tr2bl w:val="nil"/>
                  </w:tcBorders>
                  <w:noWrap w:val="0"/>
                  <w:vAlign w:val="center"/>
                </w:tcPr>
                <w:p w14:paraId="53D468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V=15m，304不锈钢，</w:t>
                  </w:r>
                </w:p>
                <w:p w14:paraId="00099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带液位变送器</w:t>
                  </w:r>
                </w:p>
              </w:tc>
              <w:tc>
                <w:tcPr>
                  <w:tcW w:w="528" w:type="pct"/>
                  <w:tcBorders>
                    <w:tl2br w:val="nil"/>
                    <w:tr2bl w:val="nil"/>
                  </w:tcBorders>
                  <w:noWrap w:val="0"/>
                  <w:vAlign w:val="center"/>
                </w:tcPr>
                <w:p w14:paraId="10D79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1座</w:t>
                  </w:r>
                </w:p>
              </w:tc>
              <w:tc>
                <w:tcPr>
                  <w:tcW w:w="1376" w:type="pct"/>
                  <w:tcBorders>
                    <w:tl2br w:val="nil"/>
                    <w:tr2bl w:val="nil"/>
                  </w:tcBorders>
                  <w:noWrap w:val="0"/>
                  <w:vAlign w:val="center"/>
                </w:tcPr>
                <w:p w14:paraId="4BBF4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储存清水，为滤池提供重力反冲洗水源</w:t>
                  </w:r>
                </w:p>
              </w:tc>
            </w:tr>
            <w:tr w14:paraId="0A2B2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318" w:type="pct"/>
                  <w:tcBorders>
                    <w:tl2br w:val="nil"/>
                    <w:tr2bl w:val="nil"/>
                  </w:tcBorders>
                  <w:noWrap w:val="0"/>
                  <w:vAlign w:val="center"/>
                </w:tcPr>
                <w:p w14:paraId="3D0FCB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3</w:t>
                  </w:r>
                </w:p>
              </w:tc>
              <w:tc>
                <w:tcPr>
                  <w:tcW w:w="1081" w:type="pct"/>
                  <w:tcBorders>
                    <w:tl2br w:val="nil"/>
                    <w:tr2bl w:val="nil"/>
                  </w:tcBorders>
                  <w:noWrap w:val="0"/>
                  <w:vAlign w:val="center"/>
                </w:tcPr>
                <w:p w14:paraId="699E3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反冲洗管路阀门成套</w:t>
                  </w:r>
                </w:p>
              </w:tc>
              <w:tc>
                <w:tcPr>
                  <w:tcW w:w="1696" w:type="pct"/>
                  <w:tcBorders>
                    <w:tl2br w:val="nil"/>
                    <w:tr2bl w:val="nil"/>
                  </w:tcBorders>
                  <w:noWrap w:val="0"/>
                  <w:vAlign w:val="center"/>
                </w:tcPr>
                <w:p w14:paraId="0A48C8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DN50~DN150UPVC/不锈钢闸阀、蝶阀、排污阀</w:t>
                  </w:r>
                </w:p>
              </w:tc>
              <w:tc>
                <w:tcPr>
                  <w:tcW w:w="528" w:type="pct"/>
                  <w:tcBorders>
                    <w:tl2br w:val="nil"/>
                    <w:tr2bl w:val="nil"/>
                  </w:tcBorders>
                  <w:noWrap w:val="0"/>
                  <w:vAlign w:val="center"/>
                </w:tcPr>
                <w:p w14:paraId="12006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1座</w:t>
                  </w:r>
                </w:p>
              </w:tc>
              <w:tc>
                <w:tcPr>
                  <w:tcW w:w="1376" w:type="pct"/>
                  <w:tcBorders>
                    <w:tl2br w:val="nil"/>
                    <w:tr2bl w:val="nil"/>
                  </w:tcBorders>
                  <w:noWrap w:val="0"/>
                  <w:vAlign w:val="center"/>
                </w:tcPr>
                <w:p w14:paraId="2063E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滤池反洗、放空、排污管路切换</w:t>
                  </w:r>
                </w:p>
              </w:tc>
            </w:tr>
            <w:tr w14:paraId="1FB9B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318" w:type="pct"/>
                  <w:tcBorders>
                    <w:tl2br w:val="nil"/>
                    <w:tr2bl w:val="nil"/>
                  </w:tcBorders>
                  <w:noWrap w:val="0"/>
                  <w:vAlign w:val="center"/>
                </w:tcPr>
                <w:p w14:paraId="60ECC0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4</w:t>
                  </w:r>
                </w:p>
              </w:tc>
              <w:tc>
                <w:tcPr>
                  <w:tcW w:w="1081" w:type="pct"/>
                  <w:tcBorders>
                    <w:tl2br w:val="nil"/>
                    <w:tr2bl w:val="nil"/>
                  </w:tcBorders>
                  <w:noWrap w:val="0"/>
                  <w:vAlign w:val="center"/>
                </w:tcPr>
                <w:p w14:paraId="0C793A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一体化设备泥斗排泥系统</w:t>
                  </w:r>
                </w:p>
              </w:tc>
              <w:tc>
                <w:tcPr>
                  <w:tcW w:w="1696" w:type="pct"/>
                  <w:tcBorders>
                    <w:tl2br w:val="nil"/>
                    <w:tr2bl w:val="nil"/>
                  </w:tcBorders>
                  <w:noWrap w:val="0"/>
                  <w:vAlign w:val="center"/>
                </w:tcPr>
                <w:p w14:paraId="26708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气动排泥阀、污泥汇集管、污泥排放总管</w:t>
                  </w:r>
                </w:p>
              </w:tc>
              <w:tc>
                <w:tcPr>
                  <w:tcW w:w="528" w:type="pct"/>
                  <w:tcBorders>
                    <w:tl2br w:val="nil"/>
                    <w:tr2bl w:val="nil"/>
                  </w:tcBorders>
                  <w:noWrap w:val="0"/>
                  <w:vAlign w:val="center"/>
                </w:tcPr>
                <w:p w14:paraId="631A75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1座</w:t>
                  </w:r>
                </w:p>
              </w:tc>
              <w:tc>
                <w:tcPr>
                  <w:tcW w:w="1376" w:type="pct"/>
                  <w:tcBorders>
                    <w:tl2br w:val="nil"/>
                    <w:tr2bl w:val="nil"/>
                  </w:tcBorders>
                  <w:noWrap w:val="0"/>
                  <w:vAlign w:val="center"/>
                </w:tcPr>
                <w:p w14:paraId="317FD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絮凝沉淀池污泥定期自动排放</w:t>
                  </w:r>
                </w:p>
              </w:tc>
            </w:tr>
            <w:tr w14:paraId="4C61C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318" w:type="pct"/>
                  <w:tcBorders>
                    <w:tl2br w:val="nil"/>
                    <w:tr2bl w:val="nil"/>
                  </w:tcBorders>
                  <w:noWrap w:val="0"/>
                  <w:vAlign w:val="center"/>
                </w:tcPr>
                <w:p w14:paraId="437C3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5</w:t>
                  </w:r>
                </w:p>
              </w:tc>
              <w:tc>
                <w:tcPr>
                  <w:tcW w:w="1081" w:type="pct"/>
                  <w:tcBorders>
                    <w:tl2br w:val="nil"/>
                    <w:tr2bl w:val="nil"/>
                  </w:tcBorders>
                  <w:noWrap w:val="0"/>
                  <w:vAlign w:val="center"/>
                </w:tcPr>
                <w:p w14:paraId="33C1D4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厂区污泥收集池配套潜污泵</w:t>
                  </w:r>
                </w:p>
              </w:tc>
              <w:tc>
                <w:tcPr>
                  <w:tcW w:w="1696" w:type="pct"/>
                  <w:tcBorders>
                    <w:tl2br w:val="nil"/>
                    <w:tr2bl w:val="nil"/>
                  </w:tcBorders>
                  <w:noWrap w:val="0"/>
                  <w:vAlign w:val="center"/>
                </w:tcPr>
                <w:p w14:paraId="65B11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WQ10-10-0.75，流量10m</w:t>
                  </w:r>
                  <w:r>
                    <w:rPr>
                      <w:rFonts w:hint="eastAsia"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/h，扬程10m</w:t>
                  </w:r>
                </w:p>
              </w:tc>
              <w:tc>
                <w:tcPr>
                  <w:tcW w:w="528" w:type="pct"/>
                  <w:tcBorders>
                    <w:tl2br w:val="nil"/>
                    <w:tr2bl w:val="nil"/>
                  </w:tcBorders>
                  <w:noWrap w:val="0"/>
                  <w:vAlign w:val="center"/>
                </w:tcPr>
                <w:p w14:paraId="357BA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2台</w:t>
                  </w:r>
                </w:p>
                <w:p w14:paraId="56F6E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（1用1备）</w:t>
                  </w:r>
                </w:p>
              </w:tc>
              <w:tc>
                <w:tcPr>
                  <w:tcW w:w="1376" w:type="pct"/>
                  <w:tcBorders>
                    <w:tl2br w:val="nil"/>
                    <w:tr2bl w:val="nil"/>
                  </w:tcBorders>
                  <w:noWrap w:val="0"/>
                  <w:vAlign w:val="center"/>
                </w:tcPr>
                <w:p w14:paraId="67337B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沉淀污泥提升至厂区综合排水沟，污泥外运处置</w:t>
                  </w:r>
                </w:p>
              </w:tc>
            </w:tr>
            <w:tr w14:paraId="3AF39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5000" w:type="pct"/>
                  <w:gridSpan w:val="5"/>
                  <w:tcBorders>
                    <w:tl2br w:val="nil"/>
                    <w:tr2bl w:val="nil"/>
                  </w:tcBorders>
                  <w:noWrap w:val="0"/>
                  <w:vAlign w:val="center"/>
                </w:tcPr>
                <w:p w14:paraId="7C09D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PAC全自动加药系统</w:t>
                  </w:r>
                </w:p>
              </w:tc>
            </w:tr>
            <w:tr w14:paraId="57500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318" w:type="pct"/>
                  <w:tcBorders>
                    <w:tl2br w:val="nil"/>
                    <w:tr2bl w:val="nil"/>
                  </w:tcBorders>
                  <w:noWrap w:val="0"/>
                  <w:vAlign w:val="center"/>
                </w:tcPr>
                <w:p w14:paraId="57E41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t>1</w:t>
                  </w:r>
                </w:p>
              </w:tc>
              <w:tc>
                <w:tcPr>
                  <w:tcW w:w="1081" w:type="pct"/>
                  <w:tcBorders>
                    <w:tl2br w:val="nil"/>
                    <w:tr2bl w:val="nil"/>
                  </w:tcBorders>
                  <w:noWrap w:val="0"/>
                  <w:vAlign w:val="center"/>
                </w:tcPr>
                <w:p w14:paraId="4DFB6B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vertAlign w:val="baseline"/>
                      <w:lang w:val="en-US" w:eastAsia="zh-CN"/>
                      <w14:textFill>
                        <w14:solidFill>
                          <w14:schemeClr w14:val="tx1"/>
                        </w14:solidFill>
                      </w14:textFill>
                    </w:rPr>
                    <w:t>PAC 溶药搅拌装置</w:t>
                  </w:r>
                </w:p>
              </w:tc>
              <w:tc>
                <w:tcPr>
                  <w:tcW w:w="1696" w:type="pct"/>
                  <w:tcBorders>
                    <w:tl2br w:val="nil"/>
                    <w:tr2bl w:val="nil"/>
                  </w:tcBorders>
                  <w:noWrap w:val="0"/>
                  <w:vAlign w:val="center"/>
                </w:tcPr>
                <w:p w14:paraId="43D4AE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PE溶药箱 V=2m</w:t>
                  </w:r>
                  <w:r>
                    <w:rPr>
                      <w:rFonts w:hint="eastAsia"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，立式搅拌电机0.75kW，配干粉投料口</w:t>
                  </w:r>
                </w:p>
              </w:tc>
              <w:tc>
                <w:tcPr>
                  <w:tcW w:w="528" w:type="pct"/>
                  <w:tcBorders>
                    <w:tl2br w:val="nil"/>
                    <w:tr2bl w:val="nil"/>
                  </w:tcBorders>
                  <w:noWrap w:val="0"/>
                  <w:vAlign w:val="center"/>
                </w:tcPr>
                <w:p w14:paraId="18F90F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 套</w:t>
                  </w:r>
                </w:p>
              </w:tc>
              <w:tc>
                <w:tcPr>
                  <w:tcW w:w="1376" w:type="pct"/>
                  <w:tcBorders>
                    <w:tl2br w:val="nil"/>
                    <w:tr2bl w:val="nil"/>
                  </w:tcBorders>
                  <w:noWrap w:val="0"/>
                  <w:vAlign w:val="center"/>
                </w:tcPr>
                <w:p w14:paraId="3B0204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溶解固体聚合氯化铝，配制 5% 浓度药液</w:t>
                  </w:r>
                </w:p>
              </w:tc>
            </w:tr>
            <w:tr w14:paraId="20F8A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125196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w:t>
                  </w:r>
                </w:p>
              </w:tc>
              <w:tc>
                <w:tcPr>
                  <w:tcW w:w="1081" w:type="pct"/>
                  <w:tcBorders>
                    <w:tl2br w:val="nil"/>
                    <w:tr2bl w:val="nil"/>
                  </w:tcBorders>
                  <w:noWrap w:val="0"/>
                  <w:vAlign w:val="center"/>
                </w:tcPr>
                <w:p w14:paraId="6C1C6E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PAC 投加计量泵</w:t>
                  </w:r>
                </w:p>
              </w:tc>
              <w:tc>
                <w:tcPr>
                  <w:tcW w:w="1696" w:type="pct"/>
                  <w:tcBorders>
                    <w:tl2br w:val="nil"/>
                    <w:tr2bl w:val="nil"/>
                  </w:tcBorders>
                  <w:noWrap w:val="0"/>
                  <w:vAlign w:val="center"/>
                </w:tcPr>
                <w:p w14:paraId="383A8E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电磁隔膜计量泵，流量0~50L/h，压力0.4MPa，4-20mA变频联动</w:t>
                  </w:r>
                </w:p>
              </w:tc>
              <w:tc>
                <w:tcPr>
                  <w:tcW w:w="528" w:type="pct"/>
                  <w:tcBorders>
                    <w:tl2br w:val="nil"/>
                    <w:tr2bl w:val="nil"/>
                  </w:tcBorders>
                  <w:noWrap w:val="0"/>
                  <w:vAlign w:val="center"/>
                </w:tcPr>
                <w:p w14:paraId="458E5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2台</w:t>
                  </w:r>
                </w:p>
                <w:p w14:paraId="27842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（1用1备）</w:t>
                  </w:r>
                </w:p>
              </w:tc>
              <w:tc>
                <w:tcPr>
                  <w:tcW w:w="1376" w:type="pct"/>
                  <w:tcBorders>
                    <w:tl2br w:val="nil"/>
                    <w:tr2bl w:val="nil"/>
                  </w:tcBorders>
                  <w:noWrap w:val="0"/>
                  <w:vAlign w:val="center"/>
                </w:tcPr>
                <w:p w14:paraId="0B2F8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根据进水浊度自动调节 PAC 投加量，投至管式混合器</w:t>
                  </w:r>
                </w:p>
              </w:tc>
            </w:tr>
            <w:tr w14:paraId="33150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00F023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3</w:t>
                  </w:r>
                </w:p>
              </w:tc>
              <w:tc>
                <w:tcPr>
                  <w:tcW w:w="1081" w:type="pct"/>
                  <w:tcBorders>
                    <w:tl2br w:val="nil"/>
                    <w:tr2bl w:val="nil"/>
                  </w:tcBorders>
                  <w:noWrap w:val="0"/>
                  <w:vAlign w:val="center"/>
                </w:tcPr>
                <w:p w14:paraId="383C5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管式静态混合器</w:t>
                  </w:r>
                </w:p>
              </w:tc>
              <w:tc>
                <w:tcPr>
                  <w:tcW w:w="1696" w:type="pct"/>
                  <w:tcBorders>
                    <w:tl2br w:val="nil"/>
                    <w:tr2bl w:val="nil"/>
                  </w:tcBorders>
                  <w:noWrap w:val="0"/>
                  <w:vAlign w:val="center"/>
                </w:tcPr>
                <w:p w14:paraId="1D1B3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DN150，304不锈钢，</w:t>
                  </w:r>
                </w:p>
                <w:p w14:paraId="5AA369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长度1.2m</w:t>
                  </w:r>
                </w:p>
              </w:tc>
              <w:tc>
                <w:tcPr>
                  <w:tcW w:w="528" w:type="pct"/>
                  <w:tcBorders>
                    <w:tl2br w:val="nil"/>
                    <w:tr2bl w:val="nil"/>
                  </w:tcBorders>
                  <w:noWrap w:val="0"/>
                  <w:vAlign w:val="center"/>
                </w:tcPr>
                <w:p w14:paraId="63F988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1台</w:t>
                  </w:r>
                </w:p>
              </w:tc>
              <w:tc>
                <w:tcPr>
                  <w:tcW w:w="1376" w:type="pct"/>
                  <w:tcBorders>
                    <w:tl2br w:val="nil"/>
                    <w:tr2bl w:val="nil"/>
                  </w:tcBorders>
                  <w:noWrap w:val="0"/>
                  <w:vAlign w:val="center"/>
                </w:tcPr>
                <w:p w14:paraId="50AC47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原水与 PAC 药液快速充分混合</w:t>
                  </w:r>
                </w:p>
              </w:tc>
            </w:tr>
            <w:tr w14:paraId="70154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7AA33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4</w:t>
                  </w:r>
                </w:p>
              </w:tc>
              <w:tc>
                <w:tcPr>
                  <w:tcW w:w="1081" w:type="pct"/>
                  <w:tcBorders>
                    <w:tl2br w:val="nil"/>
                    <w:tr2bl w:val="nil"/>
                  </w:tcBorders>
                  <w:noWrap w:val="0"/>
                  <w:vAlign w:val="center"/>
                </w:tcPr>
                <w:p w14:paraId="7ABC1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配套管路、阀门、浮球液位计、药箱冲洗组件</w:t>
                  </w:r>
                </w:p>
              </w:tc>
              <w:tc>
                <w:tcPr>
                  <w:tcW w:w="1696" w:type="pct"/>
                  <w:tcBorders>
                    <w:tl2br w:val="nil"/>
                    <w:tr2bl w:val="nil"/>
                  </w:tcBorders>
                  <w:noWrap w:val="0"/>
                  <w:vAlign w:val="center"/>
                </w:tcPr>
                <w:p w14:paraId="288ED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DN25~DN50UPVC 管件</w:t>
                  </w:r>
                </w:p>
              </w:tc>
              <w:tc>
                <w:tcPr>
                  <w:tcW w:w="528" w:type="pct"/>
                  <w:tcBorders>
                    <w:tl2br w:val="nil"/>
                    <w:tr2bl w:val="nil"/>
                  </w:tcBorders>
                  <w:noWrap w:val="0"/>
                  <w:vAlign w:val="center"/>
                </w:tcPr>
                <w:p w14:paraId="2559A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 套</w:t>
                  </w:r>
                </w:p>
              </w:tc>
              <w:tc>
                <w:tcPr>
                  <w:tcW w:w="1376" w:type="pct"/>
                  <w:tcBorders>
                    <w:tl2br w:val="nil"/>
                    <w:tr2bl w:val="nil"/>
                  </w:tcBorders>
                  <w:noWrap w:val="0"/>
                  <w:vAlign w:val="center"/>
                </w:tcPr>
                <w:p w14:paraId="3DB11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药液输送、液位监测、设备冲洗</w:t>
                  </w:r>
                </w:p>
              </w:tc>
            </w:tr>
            <w:tr w14:paraId="6EC95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5000" w:type="pct"/>
                  <w:gridSpan w:val="5"/>
                  <w:tcBorders>
                    <w:tl2br w:val="nil"/>
                    <w:tr2bl w:val="nil"/>
                  </w:tcBorders>
                  <w:noWrap w:val="0"/>
                  <w:vAlign w:val="center"/>
                </w:tcPr>
                <w:p w14:paraId="45D3B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PAM 全自动加药系统</w:t>
                  </w:r>
                </w:p>
              </w:tc>
            </w:tr>
            <w:tr w14:paraId="758BF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29445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w:t>
                  </w:r>
                </w:p>
              </w:tc>
              <w:tc>
                <w:tcPr>
                  <w:tcW w:w="1081" w:type="pct"/>
                  <w:tcBorders>
                    <w:tl2br w:val="nil"/>
                    <w:tr2bl w:val="nil"/>
                  </w:tcBorders>
                  <w:noWrap w:val="0"/>
                  <w:vAlign w:val="center"/>
                </w:tcPr>
                <w:p w14:paraId="432D5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PAM 三腔全自动溶配药机</w:t>
                  </w:r>
                </w:p>
              </w:tc>
              <w:tc>
                <w:tcPr>
                  <w:tcW w:w="1696" w:type="pct"/>
                  <w:tcBorders>
                    <w:tl2br w:val="nil"/>
                    <w:tr2bl w:val="nil"/>
                  </w:tcBorders>
                  <w:noWrap w:val="0"/>
                  <w:vAlign w:val="center"/>
                </w:tcPr>
                <w:p w14:paraId="06091C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V=1.5m</w:t>
                  </w:r>
                  <w:r>
                    <w:rPr>
                      <w:rFonts w:hint="eastAsia"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，干粉投加机+预溶熟化一体，搅拌0.55kW</w:t>
                  </w:r>
                </w:p>
              </w:tc>
              <w:tc>
                <w:tcPr>
                  <w:tcW w:w="528" w:type="pct"/>
                  <w:tcBorders>
                    <w:tl2br w:val="nil"/>
                    <w:tr2bl w:val="nil"/>
                  </w:tcBorders>
                  <w:noWrap w:val="0"/>
                  <w:vAlign w:val="center"/>
                </w:tcPr>
                <w:p w14:paraId="5DC21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 套</w:t>
                  </w:r>
                </w:p>
              </w:tc>
              <w:tc>
                <w:tcPr>
                  <w:tcW w:w="1376" w:type="pct"/>
                  <w:tcBorders>
                    <w:tl2br w:val="nil"/>
                    <w:tr2bl w:val="nil"/>
                  </w:tcBorders>
                  <w:noWrap w:val="0"/>
                  <w:vAlign w:val="center"/>
                </w:tcPr>
                <w:p w14:paraId="0A19E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自动投加、溶解阴离子 PAM，配0.1%稀药液，防结块鱼眼</w:t>
                  </w:r>
                </w:p>
              </w:tc>
            </w:tr>
            <w:tr w14:paraId="0E9E7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67532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w:t>
                  </w:r>
                </w:p>
              </w:tc>
              <w:tc>
                <w:tcPr>
                  <w:tcW w:w="1081" w:type="pct"/>
                  <w:tcBorders>
                    <w:tl2br w:val="nil"/>
                    <w:tr2bl w:val="nil"/>
                  </w:tcBorders>
                  <w:noWrap w:val="0"/>
                  <w:vAlign w:val="center"/>
                </w:tcPr>
                <w:p w14:paraId="32F77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PAM 计量投加泵</w:t>
                  </w:r>
                </w:p>
              </w:tc>
              <w:tc>
                <w:tcPr>
                  <w:tcW w:w="1696" w:type="pct"/>
                  <w:tcBorders>
                    <w:tl2br w:val="nil"/>
                    <w:tr2bl w:val="nil"/>
                  </w:tcBorders>
                  <w:noWrap w:val="0"/>
                  <w:vAlign w:val="center"/>
                </w:tcPr>
                <w:p w14:paraId="799A4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电磁计量泵，0~10L/h，</w:t>
                  </w:r>
                </w:p>
                <w:p w14:paraId="6471D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变频远程调节</w:t>
                  </w:r>
                </w:p>
              </w:tc>
              <w:tc>
                <w:tcPr>
                  <w:tcW w:w="528" w:type="pct"/>
                  <w:tcBorders>
                    <w:tl2br w:val="nil"/>
                    <w:tr2bl w:val="nil"/>
                  </w:tcBorders>
                  <w:noWrap w:val="0"/>
                  <w:vAlign w:val="center"/>
                </w:tcPr>
                <w:p w14:paraId="203ED4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2台</w:t>
                  </w:r>
                </w:p>
                <w:p w14:paraId="6BB6BA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（1用1备）</w:t>
                  </w:r>
                </w:p>
              </w:tc>
              <w:tc>
                <w:tcPr>
                  <w:tcW w:w="1376" w:type="pct"/>
                  <w:tcBorders>
                    <w:tl2br w:val="nil"/>
                    <w:tr2bl w:val="nil"/>
                  </w:tcBorders>
                  <w:noWrap w:val="0"/>
                  <w:vAlign w:val="center"/>
                </w:tcPr>
                <w:p w14:paraId="686F76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定量投加PAM 至絮凝前段，强化絮体沉降</w:t>
                  </w:r>
                </w:p>
              </w:tc>
            </w:tr>
            <w:tr w14:paraId="0F916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1AF82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3</w:t>
                  </w:r>
                </w:p>
              </w:tc>
              <w:tc>
                <w:tcPr>
                  <w:tcW w:w="1081" w:type="pct"/>
                  <w:tcBorders>
                    <w:tl2br w:val="nil"/>
                    <w:tr2bl w:val="nil"/>
                  </w:tcBorders>
                  <w:noWrap w:val="0"/>
                  <w:vAlign w:val="center"/>
                </w:tcPr>
                <w:p w14:paraId="746682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液位变送器、溢流排污管路</w:t>
                  </w:r>
                </w:p>
              </w:tc>
              <w:tc>
                <w:tcPr>
                  <w:tcW w:w="1696" w:type="pct"/>
                  <w:tcBorders>
                    <w:tl2br w:val="nil"/>
                    <w:tr2bl w:val="nil"/>
                  </w:tcBorders>
                  <w:noWrap w:val="0"/>
                  <w:vAlign w:val="center"/>
                </w:tcPr>
                <w:p w14:paraId="0B800A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UPVC管路+电动排空阀</w:t>
                  </w:r>
                </w:p>
              </w:tc>
              <w:tc>
                <w:tcPr>
                  <w:tcW w:w="528" w:type="pct"/>
                  <w:tcBorders>
                    <w:tl2br w:val="nil"/>
                    <w:tr2bl w:val="nil"/>
                  </w:tcBorders>
                  <w:noWrap w:val="0"/>
                  <w:vAlign w:val="center"/>
                </w:tcPr>
                <w:p w14:paraId="5B9495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 套</w:t>
                  </w:r>
                </w:p>
              </w:tc>
              <w:tc>
                <w:tcPr>
                  <w:tcW w:w="1376" w:type="pct"/>
                  <w:tcBorders>
                    <w:tl2br w:val="nil"/>
                    <w:tr2bl w:val="nil"/>
                  </w:tcBorders>
                  <w:noWrap w:val="0"/>
                  <w:vAlign w:val="center"/>
                </w:tcPr>
                <w:p w14:paraId="5BFE7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药箱高低液位报警、定期排空清洗</w:t>
                  </w:r>
                </w:p>
              </w:tc>
            </w:tr>
            <w:tr w14:paraId="5E060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5000" w:type="pct"/>
                  <w:gridSpan w:val="5"/>
                  <w:tcBorders>
                    <w:tl2br w:val="nil"/>
                    <w:tr2bl w:val="nil"/>
                  </w:tcBorders>
                  <w:noWrap w:val="0"/>
                  <w:vAlign w:val="center"/>
                </w:tcPr>
                <w:p w14:paraId="756F0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消毒系统</w:t>
                  </w:r>
                </w:p>
              </w:tc>
            </w:tr>
            <w:tr w14:paraId="7C865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5D730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w:t>
                  </w:r>
                </w:p>
              </w:tc>
              <w:tc>
                <w:tcPr>
                  <w:tcW w:w="1081" w:type="pct"/>
                  <w:tcBorders>
                    <w:tl2br w:val="nil"/>
                    <w:tr2bl w:val="nil"/>
                  </w:tcBorders>
                  <w:noWrap w:val="0"/>
                  <w:vAlign w:val="center"/>
                </w:tcPr>
                <w:p w14:paraId="17333D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次氯酸钠发生器主机</w:t>
                  </w:r>
                </w:p>
              </w:tc>
              <w:tc>
                <w:tcPr>
                  <w:tcW w:w="1696" w:type="pct"/>
                  <w:tcBorders>
                    <w:tl2br w:val="nil"/>
                    <w:tr2bl w:val="nil"/>
                  </w:tcBorders>
                  <w:noWrap w:val="0"/>
                  <w:vAlign w:val="center"/>
                </w:tcPr>
                <w:p w14:paraId="482AE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NCLO-3型，日产有效氯 2.4kg（匹配 800m</w:t>
                  </w:r>
                  <w:r>
                    <w:rPr>
                      <w:rFonts w:hint="eastAsia"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/d），</w:t>
                  </w:r>
                </w:p>
                <w:p w14:paraId="17C401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无隔膜钛电极，硅整流直流电源，PLC集成</w:t>
                  </w:r>
                </w:p>
              </w:tc>
              <w:tc>
                <w:tcPr>
                  <w:tcW w:w="528" w:type="pct"/>
                  <w:tcBorders>
                    <w:tl2br w:val="nil"/>
                    <w:tr2bl w:val="nil"/>
                  </w:tcBorders>
                  <w:noWrap w:val="0"/>
                  <w:vAlign w:val="center"/>
                </w:tcPr>
                <w:p w14:paraId="5D16E1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 套</w:t>
                  </w:r>
                </w:p>
              </w:tc>
              <w:tc>
                <w:tcPr>
                  <w:tcW w:w="1376" w:type="pct"/>
                  <w:tcBorders>
                    <w:tl2br w:val="nil"/>
                    <w:tr2bl w:val="nil"/>
                  </w:tcBorders>
                  <w:noWrap w:val="0"/>
                  <w:vAlign w:val="center"/>
                </w:tcPr>
                <w:p w14:paraId="5FE5A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电解工业食盐现场生成次氯酸钠消毒液，</w:t>
                  </w:r>
                </w:p>
                <w:p w14:paraId="02E1A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用于出厂水消毒</w:t>
                  </w:r>
                </w:p>
              </w:tc>
            </w:tr>
            <w:tr w14:paraId="2ED17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1AE2C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w:t>
                  </w:r>
                </w:p>
              </w:tc>
              <w:tc>
                <w:tcPr>
                  <w:tcW w:w="1081" w:type="pct"/>
                  <w:tcBorders>
                    <w:tl2br w:val="nil"/>
                    <w:tr2bl w:val="nil"/>
                  </w:tcBorders>
                  <w:noWrap w:val="0"/>
                  <w:vAlign w:val="center"/>
                </w:tcPr>
                <w:p w14:paraId="7C04D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软水预处理装置</w:t>
                  </w:r>
                </w:p>
              </w:tc>
              <w:tc>
                <w:tcPr>
                  <w:tcW w:w="1696" w:type="pct"/>
                  <w:tcBorders>
                    <w:tl2br w:val="nil"/>
                    <w:tr2bl w:val="nil"/>
                  </w:tcBorders>
                  <w:noWrap w:val="0"/>
                  <w:vAlign w:val="center"/>
                </w:tcPr>
                <w:p w14:paraId="569FD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小型软水器，产水量0.3m</w:t>
                  </w:r>
                  <w:r>
                    <w:rPr>
                      <w:rFonts w:hint="eastAsia"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/h</w:t>
                  </w:r>
                </w:p>
              </w:tc>
              <w:tc>
                <w:tcPr>
                  <w:tcW w:w="528" w:type="pct"/>
                  <w:tcBorders>
                    <w:tl2br w:val="nil"/>
                    <w:tr2bl w:val="nil"/>
                  </w:tcBorders>
                  <w:noWrap w:val="0"/>
                  <w:vAlign w:val="center"/>
                </w:tcPr>
                <w:p w14:paraId="1433E4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1台</w:t>
                  </w:r>
                </w:p>
              </w:tc>
              <w:tc>
                <w:tcPr>
                  <w:tcW w:w="1376" w:type="pct"/>
                  <w:tcBorders>
                    <w:tl2br w:val="nil"/>
                    <w:tr2bl w:val="nil"/>
                  </w:tcBorders>
                  <w:noWrap w:val="0"/>
                  <w:vAlign w:val="center"/>
                </w:tcPr>
                <w:p w14:paraId="1707A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去除配盐水钙镁离子，防止电极结垢</w:t>
                  </w:r>
                </w:p>
              </w:tc>
            </w:tr>
            <w:tr w14:paraId="4E8D4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583BE3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3</w:t>
                  </w:r>
                </w:p>
              </w:tc>
              <w:tc>
                <w:tcPr>
                  <w:tcW w:w="1081" w:type="pct"/>
                  <w:tcBorders>
                    <w:tl2br w:val="nil"/>
                    <w:tr2bl w:val="nil"/>
                  </w:tcBorders>
                  <w:noWrap w:val="0"/>
                  <w:vAlign w:val="center"/>
                </w:tcPr>
                <w:p w14:paraId="36E7B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溶盐箱（盐水箱）</w:t>
                  </w:r>
                </w:p>
              </w:tc>
              <w:tc>
                <w:tcPr>
                  <w:tcW w:w="1696" w:type="pct"/>
                  <w:tcBorders>
                    <w:tl2br w:val="nil"/>
                    <w:tr2bl w:val="nil"/>
                  </w:tcBorders>
                  <w:noWrap w:val="0"/>
                  <w:vAlign w:val="center"/>
                </w:tcPr>
                <w:p w14:paraId="23874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 xml:space="preserve">PE </w:t>
                  </w: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 xml:space="preserve">  </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V=1.2m</w:t>
                  </w:r>
                  <w:r>
                    <w:rPr>
                      <w:rFonts w:hint="eastAsia"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w:t>
                  </w:r>
                </w:p>
                <w:p w14:paraId="25ED9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带搅拌、液位计</w:t>
                  </w:r>
                </w:p>
              </w:tc>
              <w:tc>
                <w:tcPr>
                  <w:tcW w:w="528" w:type="pct"/>
                  <w:tcBorders>
                    <w:tl2br w:val="nil"/>
                    <w:tr2bl w:val="nil"/>
                  </w:tcBorders>
                  <w:noWrap w:val="0"/>
                  <w:vAlign w:val="center"/>
                </w:tcPr>
                <w:p w14:paraId="1CB788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1座</w:t>
                  </w:r>
                </w:p>
              </w:tc>
              <w:tc>
                <w:tcPr>
                  <w:tcW w:w="1376" w:type="pct"/>
                  <w:tcBorders>
                    <w:tl2br w:val="nil"/>
                    <w:tr2bl w:val="nil"/>
                  </w:tcBorders>
                  <w:noWrap w:val="0"/>
                  <w:vAlign w:val="center"/>
                </w:tcPr>
                <w:p w14:paraId="5EBC4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食盐+软水调配3%</w:t>
                  </w:r>
                </w:p>
                <w:p w14:paraId="37184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稀电解盐水</w:t>
                  </w:r>
                </w:p>
              </w:tc>
            </w:tr>
            <w:tr w14:paraId="129BC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72DC7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4</w:t>
                  </w:r>
                </w:p>
              </w:tc>
              <w:tc>
                <w:tcPr>
                  <w:tcW w:w="1081" w:type="pct"/>
                  <w:tcBorders>
                    <w:tl2br w:val="nil"/>
                    <w:tr2bl w:val="nil"/>
                  </w:tcBorders>
                  <w:noWrap w:val="0"/>
                  <w:vAlign w:val="center"/>
                </w:tcPr>
                <w:p w14:paraId="3E425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消毒液储药箱</w:t>
                  </w:r>
                </w:p>
              </w:tc>
              <w:tc>
                <w:tcPr>
                  <w:tcW w:w="1696" w:type="pct"/>
                  <w:tcBorders>
                    <w:tl2br w:val="nil"/>
                    <w:tr2bl w:val="nil"/>
                  </w:tcBorders>
                  <w:noWrap w:val="0"/>
                  <w:vAlign w:val="center"/>
                </w:tcPr>
                <w:p w14:paraId="19226B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 xml:space="preserve">PE </w:t>
                  </w: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 xml:space="preserve">  </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V=2m</w:t>
                  </w:r>
                  <w:r>
                    <w:rPr>
                      <w:rFonts w:hint="eastAsia"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w:t>
                  </w:r>
                </w:p>
                <w:p w14:paraId="63DA0F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密闭加盖，液位远传</w:t>
                  </w:r>
                </w:p>
              </w:tc>
              <w:tc>
                <w:tcPr>
                  <w:tcW w:w="528" w:type="pct"/>
                  <w:tcBorders>
                    <w:tl2br w:val="nil"/>
                    <w:tr2bl w:val="nil"/>
                  </w:tcBorders>
                  <w:noWrap w:val="0"/>
                  <w:vAlign w:val="center"/>
                </w:tcPr>
                <w:p w14:paraId="38561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1座</w:t>
                  </w:r>
                </w:p>
              </w:tc>
              <w:tc>
                <w:tcPr>
                  <w:tcW w:w="1376" w:type="pct"/>
                  <w:tcBorders>
                    <w:tl2br w:val="nil"/>
                    <w:tr2bl w:val="nil"/>
                  </w:tcBorders>
                  <w:noWrap w:val="0"/>
                  <w:vAlign w:val="center"/>
                </w:tcPr>
                <w:p w14:paraId="4B34BA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储存电解生成的次氯酸钠原液</w:t>
                  </w:r>
                </w:p>
              </w:tc>
            </w:tr>
            <w:tr w14:paraId="74535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43939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5</w:t>
                  </w:r>
                </w:p>
              </w:tc>
              <w:tc>
                <w:tcPr>
                  <w:tcW w:w="1081" w:type="pct"/>
                  <w:tcBorders>
                    <w:tl2br w:val="nil"/>
                    <w:tr2bl w:val="nil"/>
                  </w:tcBorders>
                  <w:noWrap w:val="0"/>
                  <w:vAlign w:val="center"/>
                </w:tcPr>
                <w:p w14:paraId="5C672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酸洗箱</w:t>
                  </w:r>
                </w:p>
                <w:p w14:paraId="1C0CF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（电极清洗）</w:t>
                  </w:r>
                </w:p>
              </w:tc>
              <w:tc>
                <w:tcPr>
                  <w:tcW w:w="1696" w:type="pct"/>
                  <w:tcBorders>
                    <w:tl2br w:val="nil"/>
                    <w:tr2bl w:val="nil"/>
                  </w:tcBorders>
                  <w:noWrap w:val="0"/>
                  <w:vAlign w:val="center"/>
                </w:tcPr>
                <w:p w14:paraId="5628E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 xml:space="preserve">PE </w:t>
                  </w: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 xml:space="preserve">  </w:t>
                  </w: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V=0.5m</w:t>
                  </w:r>
                  <w:r>
                    <w:rPr>
                      <w:rFonts w:hint="eastAsia"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p>
              </w:tc>
              <w:tc>
                <w:tcPr>
                  <w:tcW w:w="528" w:type="pct"/>
                  <w:tcBorders>
                    <w:tl2br w:val="nil"/>
                    <w:tr2bl w:val="nil"/>
                  </w:tcBorders>
                  <w:noWrap w:val="0"/>
                  <w:vAlign w:val="center"/>
                </w:tcPr>
                <w:p w14:paraId="0BA62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1座</w:t>
                  </w:r>
                </w:p>
              </w:tc>
              <w:tc>
                <w:tcPr>
                  <w:tcW w:w="1376" w:type="pct"/>
                  <w:tcBorders>
                    <w:tl2br w:val="nil"/>
                    <w:tr2bl w:val="nil"/>
                  </w:tcBorders>
                  <w:noWrap w:val="0"/>
                  <w:vAlign w:val="center"/>
                </w:tcPr>
                <w:p w14:paraId="735E99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储存10%稀盐酸，用于电极定期除垢酸洗</w:t>
                  </w:r>
                </w:p>
              </w:tc>
            </w:tr>
            <w:tr w14:paraId="0AC88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2B167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6</w:t>
                  </w:r>
                </w:p>
              </w:tc>
              <w:tc>
                <w:tcPr>
                  <w:tcW w:w="1081" w:type="pct"/>
                  <w:tcBorders>
                    <w:tl2br w:val="nil"/>
                    <w:tr2bl w:val="nil"/>
                  </w:tcBorders>
                  <w:noWrap w:val="0"/>
                  <w:vAlign w:val="center"/>
                </w:tcPr>
                <w:p w14:paraId="2B623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酸洗循环泵</w:t>
                  </w:r>
                </w:p>
              </w:tc>
              <w:tc>
                <w:tcPr>
                  <w:tcW w:w="1696" w:type="pct"/>
                  <w:tcBorders>
                    <w:tl2br w:val="nil"/>
                    <w:tr2bl w:val="nil"/>
                  </w:tcBorders>
                  <w:noWrap w:val="0"/>
                  <w:vAlign w:val="center"/>
                </w:tcPr>
                <w:p w14:paraId="1D86D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小型磁力泵，流量5L/min</w:t>
                  </w:r>
                </w:p>
              </w:tc>
              <w:tc>
                <w:tcPr>
                  <w:tcW w:w="528" w:type="pct"/>
                  <w:tcBorders>
                    <w:tl2br w:val="nil"/>
                    <w:tr2bl w:val="nil"/>
                  </w:tcBorders>
                  <w:noWrap w:val="0"/>
                  <w:vAlign w:val="center"/>
                </w:tcPr>
                <w:p w14:paraId="7287D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1台</w:t>
                  </w:r>
                </w:p>
              </w:tc>
              <w:tc>
                <w:tcPr>
                  <w:tcW w:w="1376" w:type="pct"/>
                  <w:tcBorders>
                    <w:tl2br w:val="nil"/>
                    <w:tr2bl w:val="nil"/>
                  </w:tcBorders>
                  <w:noWrap w:val="0"/>
                  <w:vAlign w:val="center"/>
                </w:tcPr>
                <w:p w14:paraId="642022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自动循环酸洗电解槽极板</w:t>
                  </w:r>
                </w:p>
              </w:tc>
            </w:tr>
            <w:tr w14:paraId="01ED1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614D5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7</w:t>
                  </w:r>
                </w:p>
              </w:tc>
              <w:tc>
                <w:tcPr>
                  <w:tcW w:w="1081" w:type="pct"/>
                  <w:tcBorders>
                    <w:tl2br w:val="nil"/>
                    <w:tr2bl w:val="nil"/>
                  </w:tcBorders>
                  <w:noWrap w:val="0"/>
                  <w:vAlign w:val="center"/>
                </w:tcPr>
                <w:p w14:paraId="0B960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盐水计量输送泵</w:t>
                  </w:r>
                </w:p>
              </w:tc>
              <w:tc>
                <w:tcPr>
                  <w:tcW w:w="1696" w:type="pct"/>
                  <w:tcBorders>
                    <w:tl2br w:val="nil"/>
                    <w:tr2bl w:val="nil"/>
                  </w:tcBorders>
                  <w:noWrap w:val="0"/>
                  <w:vAlign w:val="center"/>
                </w:tcPr>
                <w:p w14:paraId="79758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微型隔膜泵，变频可调</w:t>
                  </w:r>
                </w:p>
              </w:tc>
              <w:tc>
                <w:tcPr>
                  <w:tcW w:w="528" w:type="pct"/>
                  <w:tcBorders>
                    <w:tl2br w:val="nil"/>
                    <w:tr2bl w:val="nil"/>
                  </w:tcBorders>
                  <w:noWrap w:val="0"/>
                  <w:vAlign w:val="center"/>
                </w:tcPr>
                <w:p w14:paraId="60DD8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2台</w:t>
                  </w:r>
                </w:p>
                <w:p w14:paraId="37839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（1用1备）</w:t>
                  </w:r>
                </w:p>
              </w:tc>
              <w:tc>
                <w:tcPr>
                  <w:tcW w:w="1376" w:type="pct"/>
                  <w:tcBorders>
                    <w:tl2br w:val="nil"/>
                    <w:tr2bl w:val="nil"/>
                  </w:tcBorders>
                  <w:noWrap w:val="0"/>
                  <w:vAlign w:val="center"/>
                </w:tcPr>
                <w:p w14:paraId="77A832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定量输送稀盐水进入电解槽</w:t>
                  </w:r>
                </w:p>
              </w:tc>
            </w:tr>
            <w:tr w14:paraId="12912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7C95B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8</w:t>
                  </w:r>
                </w:p>
              </w:tc>
              <w:tc>
                <w:tcPr>
                  <w:tcW w:w="1081" w:type="pct"/>
                  <w:tcBorders>
                    <w:tl2br w:val="nil"/>
                    <w:tr2bl w:val="nil"/>
                  </w:tcBorders>
                  <w:noWrap w:val="0"/>
                  <w:vAlign w:val="center"/>
                </w:tcPr>
                <w:p w14:paraId="1A0BB0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消毒液投加计量泵</w:t>
                  </w:r>
                </w:p>
              </w:tc>
              <w:tc>
                <w:tcPr>
                  <w:tcW w:w="1696" w:type="pct"/>
                  <w:tcBorders>
                    <w:tl2br w:val="nil"/>
                    <w:tr2bl w:val="nil"/>
                  </w:tcBorders>
                  <w:noWrap w:val="0"/>
                  <w:vAlign w:val="center"/>
                </w:tcPr>
                <w:p w14:paraId="6EC05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0~20L/h，4-20mA联动出水余氯</w:t>
                  </w:r>
                </w:p>
              </w:tc>
              <w:tc>
                <w:tcPr>
                  <w:tcW w:w="528" w:type="pct"/>
                  <w:tcBorders>
                    <w:tl2br w:val="nil"/>
                    <w:tr2bl w:val="nil"/>
                  </w:tcBorders>
                  <w:noWrap w:val="0"/>
                  <w:vAlign w:val="center"/>
                </w:tcPr>
                <w:p w14:paraId="371EA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2台</w:t>
                  </w:r>
                </w:p>
                <w:p w14:paraId="0517A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（1用1备）</w:t>
                  </w:r>
                </w:p>
              </w:tc>
              <w:tc>
                <w:tcPr>
                  <w:tcW w:w="1376" w:type="pct"/>
                  <w:tcBorders>
                    <w:tl2br w:val="nil"/>
                    <w:tr2bl w:val="nil"/>
                  </w:tcBorders>
                  <w:noWrap w:val="0"/>
                  <w:vAlign w:val="center"/>
                </w:tcPr>
                <w:p w14:paraId="12B6F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将次氯酸钠投加至清水池进水管道</w:t>
                  </w:r>
                </w:p>
              </w:tc>
            </w:tr>
            <w:tr w14:paraId="3687C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5000" w:type="pct"/>
                  <w:gridSpan w:val="5"/>
                  <w:tcBorders>
                    <w:tl2br w:val="nil"/>
                    <w:tr2bl w:val="nil"/>
                  </w:tcBorders>
                  <w:noWrap w:val="0"/>
                  <w:vAlign w:val="center"/>
                </w:tcPr>
                <w:p w14:paraId="4D09B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在线水质监测系统</w:t>
                  </w:r>
                </w:p>
              </w:tc>
            </w:tr>
            <w:tr w14:paraId="51237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7116F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w:t>
                  </w:r>
                </w:p>
              </w:tc>
              <w:tc>
                <w:tcPr>
                  <w:tcW w:w="1081" w:type="pct"/>
                  <w:tcBorders>
                    <w:tl2br w:val="nil"/>
                    <w:tr2bl w:val="nil"/>
                  </w:tcBorders>
                  <w:noWrap w:val="0"/>
                  <w:vAlign w:val="center"/>
                </w:tcPr>
                <w:p w14:paraId="309D6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余氯在线分析仪</w:t>
                  </w:r>
                </w:p>
              </w:tc>
              <w:tc>
                <w:tcPr>
                  <w:tcW w:w="1696" w:type="pct"/>
                  <w:tcBorders>
                    <w:tl2br w:val="nil"/>
                    <w:tr2bl w:val="nil"/>
                  </w:tcBorders>
                  <w:noWrap w:val="0"/>
                  <w:vAlign w:val="center"/>
                </w:tcPr>
                <w:p w14:paraId="68541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0~5mg/L，</w:t>
                  </w:r>
                </w:p>
                <w:p w14:paraId="4711F6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485通讯，联动投加泵</w:t>
                  </w:r>
                </w:p>
              </w:tc>
              <w:tc>
                <w:tcPr>
                  <w:tcW w:w="528" w:type="pct"/>
                  <w:tcBorders>
                    <w:tl2br w:val="nil"/>
                    <w:tr2bl w:val="nil"/>
                  </w:tcBorders>
                  <w:noWrap w:val="0"/>
                  <w:vAlign w:val="center"/>
                </w:tcPr>
                <w:p w14:paraId="52358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1台</w:t>
                  </w:r>
                </w:p>
              </w:tc>
              <w:tc>
                <w:tcPr>
                  <w:tcW w:w="1376" w:type="pct"/>
                  <w:tcBorders>
                    <w:tl2br w:val="nil"/>
                    <w:tr2bl w:val="nil"/>
                  </w:tcBorders>
                  <w:noWrap w:val="0"/>
                  <w:vAlign w:val="center"/>
                </w:tcPr>
                <w:p w14:paraId="1BC0C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监测出厂水余氯，</w:t>
                  </w:r>
                </w:p>
                <w:p w14:paraId="12CD3D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自动调节加氯量</w:t>
                  </w:r>
                </w:p>
              </w:tc>
            </w:tr>
            <w:tr w14:paraId="4D7BE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43A45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w:t>
                  </w:r>
                </w:p>
              </w:tc>
              <w:tc>
                <w:tcPr>
                  <w:tcW w:w="1081" w:type="pct"/>
                  <w:tcBorders>
                    <w:tl2br w:val="nil"/>
                    <w:tr2bl w:val="nil"/>
                  </w:tcBorders>
                  <w:noWrap w:val="0"/>
                  <w:vAlign w:val="center"/>
                </w:tcPr>
                <w:p w14:paraId="2EC33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进水在线浊度仪</w:t>
                  </w:r>
                </w:p>
              </w:tc>
              <w:tc>
                <w:tcPr>
                  <w:tcW w:w="1696" w:type="pct"/>
                  <w:tcBorders>
                    <w:tl2br w:val="nil"/>
                    <w:tr2bl w:val="nil"/>
                  </w:tcBorders>
                  <w:noWrap w:val="0"/>
                  <w:vAlign w:val="center"/>
                </w:tcPr>
                <w:p w14:paraId="72981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0~1000NTU，485通讯</w:t>
                  </w:r>
                </w:p>
              </w:tc>
              <w:tc>
                <w:tcPr>
                  <w:tcW w:w="528" w:type="pct"/>
                  <w:tcBorders>
                    <w:tl2br w:val="nil"/>
                    <w:tr2bl w:val="nil"/>
                  </w:tcBorders>
                  <w:noWrap w:val="0"/>
                  <w:vAlign w:val="center"/>
                </w:tcPr>
                <w:p w14:paraId="037E3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1台</w:t>
                  </w:r>
                </w:p>
              </w:tc>
              <w:tc>
                <w:tcPr>
                  <w:tcW w:w="1376" w:type="pct"/>
                  <w:tcBorders>
                    <w:tl2br w:val="nil"/>
                    <w:tr2bl w:val="nil"/>
                  </w:tcBorders>
                  <w:noWrap w:val="0"/>
                  <w:vAlign w:val="center"/>
                </w:tcPr>
                <w:p w14:paraId="0DBE4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一体化设备进水口，</w:t>
                  </w:r>
                </w:p>
                <w:p w14:paraId="77722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监测原水浊度，联动 PAC投加</w:t>
                  </w:r>
                </w:p>
              </w:tc>
            </w:tr>
            <w:tr w14:paraId="3CFD8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58365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3</w:t>
                  </w:r>
                </w:p>
              </w:tc>
              <w:tc>
                <w:tcPr>
                  <w:tcW w:w="1081" w:type="pct"/>
                  <w:tcBorders>
                    <w:tl2br w:val="nil"/>
                    <w:tr2bl w:val="nil"/>
                  </w:tcBorders>
                  <w:noWrap w:val="0"/>
                  <w:vAlign w:val="center"/>
                </w:tcPr>
                <w:p w14:paraId="7D473F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出水浊度仪</w:t>
                  </w:r>
                </w:p>
              </w:tc>
              <w:tc>
                <w:tcPr>
                  <w:tcW w:w="1696" w:type="pct"/>
                  <w:tcBorders>
                    <w:tl2br w:val="nil"/>
                    <w:tr2bl w:val="nil"/>
                  </w:tcBorders>
                  <w:noWrap w:val="0"/>
                  <w:vAlign w:val="center"/>
                </w:tcPr>
                <w:p w14:paraId="5A847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0~10NTU</w:t>
                  </w:r>
                </w:p>
              </w:tc>
              <w:tc>
                <w:tcPr>
                  <w:tcW w:w="528" w:type="pct"/>
                  <w:tcBorders>
                    <w:tl2br w:val="nil"/>
                    <w:tr2bl w:val="nil"/>
                  </w:tcBorders>
                  <w:noWrap w:val="0"/>
                  <w:vAlign w:val="center"/>
                </w:tcPr>
                <w:p w14:paraId="50757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2台</w:t>
                  </w:r>
                </w:p>
              </w:tc>
              <w:tc>
                <w:tcPr>
                  <w:tcW w:w="1376" w:type="pct"/>
                  <w:tcBorders>
                    <w:tl2br w:val="nil"/>
                    <w:tr2bl w:val="nil"/>
                  </w:tcBorders>
                  <w:noWrap w:val="0"/>
                  <w:vAlign w:val="center"/>
                </w:tcPr>
                <w:p w14:paraId="5BBFF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过滤出水，</w:t>
                  </w:r>
                </w:p>
                <w:p w14:paraId="331C7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监控净化效果</w:t>
                  </w:r>
                </w:p>
              </w:tc>
            </w:tr>
            <w:tr w14:paraId="6358E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717244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4</w:t>
                  </w:r>
                </w:p>
              </w:tc>
              <w:tc>
                <w:tcPr>
                  <w:tcW w:w="1081" w:type="pct"/>
                  <w:tcBorders>
                    <w:tl2br w:val="nil"/>
                    <w:tr2bl w:val="nil"/>
                  </w:tcBorders>
                  <w:noWrap w:val="0"/>
                  <w:vAlign w:val="center"/>
                </w:tcPr>
                <w:p w14:paraId="564C4A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pH在线监测仪</w:t>
                  </w:r>
                </w:p>
              </w:tc>
              <w:tc>
                <w:tcPr>
                  <w:tcW w:w="1696" w:type="pct"/>
                  <w:tcBorders>
                    <w:tl2br w:val="nil"/>
                    <w:tr2bl w:val="nil"/>
                  </w:tcBorders>
                  <w:noWrap w:val="0"/>
                  <w:vAlign w:val="center"/>
                </w:tcPr>
                <w:p w14:paraId="277219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量程0~14</w:t>
                  </w:r>
                </w:p>
              </w:tc>
              <w:tc>
                <w:tcPr>
                  <w:tcW w:w="528" w:type="pct"/>
                  <w:tcBorders>
                    <w:tl2br w:val="nil"/>
                    <w:tr2bl w:val="nil"/>
                  </w:tcBorders>
                  <w:noWrap w:val="0"/>
                  <w:vAlign w:val="center"/>
                </w:tcPr>
                <w:p w14:paraId="6E0688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1台</w:t>
                  </w:r>
                </w:p>
              </w:tc>
              <w:tc>
                <w:tcPr>
                  <w:tcW w:w="1376" w:type="pct"/>
                  <w:tcBorders>
                    <w:tl2br w:val="nil"/>
                    <w:tr2bl w:val="nil"/>
                  </w:tcBorders>
                  <w:noWrap w:val="0"/>
                  <w:vAlign w:val="center"/>
                </w:tcPr>
                <w:p w14:paraId="09D625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进水、清水池各1台，监控水体酸碱度</w:t>
                  </w:r>
                </w:p>
              </w:tc>
            </w:tr>
            <w:tr w14:paraId="61208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hidden/>
              </w:trPr>
              <w:tc>
                <w:tcPr>
                  <w:tcW w:w="318" w:type="pct"/>
                  <w:tcBorders>
                    <w:tl2br w:val="nil"/>
                    <w:tr2bl w:val="nil"/>
                  </w:tcBorders>
                  <w:noWrap w:val="0"/>
                  <w:vAlign w:val="center"/>
                </w:tcPr>
                <w:p w14:paraId="50F89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5</w:t>
                  </w:r>
                </w:p>
              </w:tc>
              <w:tc>
                <w:tcPr>
                  <w:tcW w:w="1081" w:type="pct"/>
                  <w:tcBorders>
                    <w:tl2br w:val="nil"/>
                    <w:tr2bl w:val="nil"/>
                  </w:tcBorders>
                  <w:noWrap w:val="0"/>
                  <w:vAlign w:val="center"/>
                </w:tcPr>
                <w:p w14:paraId="571A0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进出水压力变送器</w:t>
                  </w:r>
                </w:p>
              </w:tc>
              <w:tc>
                <w:tcPr>
                  <w:tcW w:w="1696" w:type="pct"/>
                  <w:tcBorders>
                    <w:tl2br w:val="nil"/>
                    <w:tr2bl w:val="nil"/>
                  </w:tcBorders>
                  <w:noWrap w:val="0"/>
                  <w:vAlign w:val="center"/>
                </w:tcPr>
                <w:p w14:paraId="190BB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0~0.6MPa，4-20mA</w:t>
                  </w:r>
                </w:p>
              </w:tc>
              <w:tc>
                <w:tcPr>
                  <w:tcW w:w="528" w:type="pct"/>
                  <w:tcBorders>
                    <w:tl2br w:val="nil"/>
                    <w:tr2bl w:val="nil"/>
                  </w:tcBorders>
                  <w:noWrap w:val="0"/>
                  <w:vAlign w:val="center"/>
                </w:tcPr>
                <w:p w14:paraId="5135A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4只</w:t>
                  </w:r>
                </w:p>
              </w:tc>
              <w:tc>
                <w:tcPr>
                  <w:tcW w:w="1376" w:type="pct"/>
                  <w:tcBorders>
                    <w:tl2br w:val="nil"/>
                    <w:tr2bl w:val="nil"/>
                  </w:tcBorders>
                  <w:noWrap w:val="0"/>
                  <w:vAlign w:val="center"/>
                </w:tcPr>
                <w:p w14:paraId="12964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取水总管、净水进出水管压力监测</w:t>
                  </w:r>
                </w:p>
              </w:tc>
            </w:tr>
            <w:tr w14:paraId="181CD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hidden/>
              </w:trPr>
              <w:tc>
                <w:tcPr>
                  <w:tcW w:w="318" w:type="pct"/>
                  <w:tcBorders>
                    <w:tl2br w:val="nil"/>
                    <w:tr2bl w:val="nil"/>
                  </w:tcBorders>
                  <w:noWrap w:val="0"/>
                  <w:vAlign w:val="center"/>
                </w:tcPr>
                <w:p w14:paraId="7FFCA7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6</w:t>
                  </w:r>
                </w:p>
              </w:tc>
              <w:tc>
                <w:tcPr>
                  <w:tcW w:w="1081" w:type="pct"/>
                  <w:tcBorders>
                    <w:tl2br w:val="nil"/>
                    <w:tr2bl w:val="nil"/>
                  </w:tcBorders>
                  <w:noWrap w:val="0"/>
                  <w:vAlign w:val="center"/>
                </w:tcPr>
                <w:p w14:paraId="7281F0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超声波泥位计</w:t>
                  </w:r>
                </w:p>
              </w:tc>
              <w:tc>
                <w:tcPr>
                  <w:tcW w:w="1696" w:type="pct"/>
                  <w:tcBorders>
                    <w:tl2br w:val="nil"/>
                    <w:tr2bl w:val="nil"/>
                  </w:tcBorders>
                  <w:noWrap w:val="0"/>
                  <w:vAlign w:val="center"/>
                </w:tcPr>
                <w:p w14:paraId="201A7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0~3m</w:t>
                  </w:r>
                </w:p>
              </w:tc>
              <w:tc>
                <w:tcPr>
                  <w:tcW w:w="528" w:type="pct"/>
                  <w:tcBorders>
                    <w:tl2br w:val="nil"/>
                    <w:tr2bl w:val="nil"/>
                  </w:tcBorders>
                  <w:noWrap w:val="0"/>
                  <w:vAlign w:val="center"/>
                </w:tcPr>
                <w:p w14:paraId="1EA80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vertAlign w:val="baseline"/>
                      <w:lang w:val="en-US" w:eastAsia="zh-CN"/>
                      <w14:textFill>
                        <w14:solidFill>
                          <w14:schemeClr w14:val="tx1"/>
                        </w14:solidFill>
                      </w14:textFill>
                    </w:rPr>
                    <w:t>2套</w:t>
                  </w:r>
                </w:p>
              </w:tc>
              <w:tc>
                <w:tcPr>
                  <w:tcW w:w="1376" w:type="pct"/>
                  <w:tcBorders>
                    <w:tl2br w:val="nil"/>
                    <w:tr2bl w:val="nil"/>
                  </w:tcBorders>
                  <w:noWrap w:val="0"/>
                  <w:vAlign w:val="center"/>
                </w:tcPr>
                <w:p w14:paraId="78B37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anish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vertAlign w:val="baseline"/>
                      <w:lang w:val="en-US" w:eastAsia="zh-CN"/>
                      <w14:textFill>
                        <w14:solidFill>
                          <w14:schemeClr w14:val="tx1"/>
                        </w14:solidFill>
                      </w14:textFill>
                    </w:rPr>
                    <w:t>斜管沉淀池，高泥位自动排泥报警</w:t>
                  </w:r>
                </w:p>
              </w:tc>
            </w:tr>
          </w:tbl>
          <w:p w14:paraId="1D8233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cs="Times New Roman"/>
                <w:b/>
                <w:bCs/>
                <w:vanish w:val="0"/>
                <w:color w:val="000000" w:themeColor="text1"/>
                <w:lang w:val="en-US" w:eastAsia="zh-CN"/>
                <w14:textFill>
                  <w14:solidFill>
                    <w14:schemeClr w14:val="tx1"/>
                  </w14:solidFill>
                </w14:textFill>
              </w:rPr>
              <w:t>6</w:t>
            </w:r>
            <w:r>
              <w:rPr>
                <w:rFonts w:hint="eastAsia" w:ascii="Times New Roman" w:hAnsi="Times New Roman" w:eastAsia="宋体" w:cs="Times New Roman"/>
                <w:b/>
                <w:bCs/>
                <w:vanish w:val="0"/>
                <w:color w:val="000000" w:themeColor="text1"/>
                <w:lang w:val="en-US" w:eastAsia="zh-CN"/>
                <w14:textFill>
                  <w14:solidFill>
                    <w14:schemeClr w14:val="tx1"/>
                  </w14:solidFill>
                </w14:textFill>
              </w:rPr>
              <w:t>、土石方平衡</w:t>
            </w:r>
          </w:p>
          <w:p w14:paraId="25344583">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根据可行性研究报告、初步设计报告及业主提供的信息，本项目主要土石方主要来自水厂工程、管道工程，主要有挖方、填方，表土来源于挖方中的土方。根据项目区域地形地貌和自然环境特征及设计方案可知，本项目开挖土石方采取边挖边填的方式进行，不设置临时堆场堆放土石方。开挖土石方总量为6.93万m</w:t>
            </w:r>
            <w:r>
              <w:rPr>
                <w:rFonts w:hint="eastAsia"/>
                <w:vanish w:val="0"/>
                <w:color w:val="000000" w:themeColor="text1"/>
                <w:vertAlign w:val="superscript"/>
                <w:lang w:val="en-US" w:eastAsia="zh-CN"/>
                <w14:textFill>
                  <w14:solidFill>
                    <w14:schemeClr w14:val="tx1"/>
                  </w14:solidFill>
                </w14:textFill>
              </w:rPr>
              <w:t>3</w:t>
            </w:r>
            <w:r>
              <w:rPr>
                <w:rFonts w:hint="eastAsia"/>
                <w:vanish w:val="0"/>
                <w:color w:val="000000" w:themeColor="text1"/>
                <w:lang w:val="en-US" w:eastAsia="zh-CN"/>
                <w14:textFill>
                  <w14:solidFill>
                    <w14:schemeClr w14:val="tx1"/>
                  </w14:solidFill>
                </w14:textFill>
              </w:rPr>
              <w:t>，回填土石方总量为6.00万m</w:t>
            </w:r>
            <w:r>
              <w:rPr>
                <w:rFonts w:hint="eastAsia"/>
                <w:vanish w:val="0"/>
                <w:color w:val="000000" w:themeColor="text1"/>
                <w:vertAlign w:val="superscript"/>
                <w:lang w:val="en-US" w:eastAsia="zh-CN"/>
                <w14:textFill>
                  <w14:solidFill>
                    <w14:schemeClr w14:val="tx1"/>
                  </w14:solidFill>
                </w14:textFill>
              </w:rPr>
              <w:t>3</w:t>
            </w:r>
            <w:r>
              <w:rPr>
                <w:rFonts w:hint="eastAsia"/>
                <w:vanish w:val="0"/>
                <w:color w:val="000000" w:themeColor="text1"/>
                <w:lang w:val="en-US" w:eastAsia="zh-CN"/>
                <w14:textFill>
                  <w14:solidFill>
                    <w14:schemeClr w14:val="tx1"/>
                  </w14:solidFill>
                </w14:textFill>
              </w:rPr>
              <w:t>，剩余土石方量为0.93万m</w:t>
            </w:r>
            <w:r>
              <w:rPr>
                <w:rFonts w:hint="eastAsia"/>
                <w:vanish w:val="0"/>
                <w:color w:val="000000" w:themeColor="text1"/>
                <w:vertAlign w:val="superscript"/>
                <w:lang w:val="en-US" w:eastAsia="zh-CN"/>
                <w14:textFill>
                  <w14:solidFill>
                    <w14:schemeClr w14:val="tx1"/>
                  </w14:solidFill>
                </w14:textFill>
              </w:rPr>
              <w:t>3</w:t>
            </w:r>
            <w:r>
              <w:rPr>
                <w:rFonts w:hint="eastAsia"/>
                <w:vanish w:val="0"/>
                <w:color w:val="000000" w:themeColor="text1"/>
                <w:lang w:val="en-US" w:eastAsia="zh-CN"/>
                <w14:textFill>
                  <w14:solidFill>
                    <w14:schemeClr w14:val="tx1"/>
                  </w14:solidFill>
                </w14:textFill>
              </w:rPr>
              <w:t>，剩余土石方可按照就近原则，用于低洼处回填及绿化种植，故本项目土石方挖填内部平衡，无弃方。</w:t>
            </w:r>
          </w:p>
          <w:p w14:paraId="2035B99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cs="Times New Roman"/>
                <w:b/>
                <w:bCs/>
                <w:vanish w:val="0"/>
                <w:color w:val="000000" w:themeColor="text1"/>
                <w:lang w:val="en-US" w:eastAsia="zh-CN"/>
                <w14:textFill>
                  <w14:solidFill>
                    <w14:schemeClr w14:val="tx1"/>
                  </w14:solidFill>
                </w14:textFill>
              </w:rPr>
              <w:t>7</w:t>
            </w:r>
            <w:r>
              <w:rPr>
                <w:rFonts w:hint="default" w:ascii="Times New Roman" w:hAnsi="Times New Roman" w:eastAsia="宋体" w:cs="Times New Roman"/>
                <w:b/>
                <w:bCs/>
                <w:vanish w:val="0"/>
                <w:color w:val="000000" w:themeColor="text1"/>
                <w:lang w:val="en-US" w:eastAsia="zh-CN"/>
                <w14:textFill>
                  <w14:solidFill>
                    <w14:schemeClr w14:val="tx1"/>
                  </w14:solidFill>
                </w14:textFill>
              </w:rPr>
              <w:t>、</w:t>
            </w:r>
            <w:r>
              <w:rPr>
                <w:rFonts w:hint="eastAsia" w:ascii="Times New Roman" w:hAnsi="Times New Roman" w:eastAsia="宋体" w:cs="Times New Roman"/>
                <w:b/>
                <w:bCs/>
                <w:vanish w:val="0"/>
                <w:color w:val="000000" w:themeColor="text1"/>
                <w:lang w:val="en-US" w:eastAsia="zh-CN"/>
                <w14:textFill>
                  <w14:solidFill>
                    <w14:schemeClr w14:val="tx1"/>
                  </w14:solidFill>
                </w14:textFill>
              </w:rPr>
              <w:t>水平衡</w:t>
            </w:r>
          </w:p>
          <w:p w14:paraId="278818FC">
            <w:pPr>
              <w:adjustRightInd w:val="0"/>
              <w:snapToGrid w:val="0"/>
              <w:spacing w:line="360" w:lineRule="auto"/>
              <w:ind w:firstLine="420" w:firstLineChars="200"/>
              <w:rPr>
                <w:rFonts w:hint="default" w:eastAsia="宋体"/>
                <w:vanish w:val="0"/>
                <w:color w:val="000000" w:themeColor="text1"/>
                <w:lang w:val="en-US" w:eastAsia="zh-CN"/>
                <w14:textFill>
                  <w14:solidFill>
                    <w14:schemeClr w14:val="tx1"/>
                  </w14:solidFill>
                </w14:textFill>
              </w:rPr>
            </w:pPr>
            <w:r>
              <w:rPr>
                <w:vanish w:val="0"/>
                <w:color w:val="000000" w:themeColor="text1"/>
                <w14:textFill>
                  <w14:solidFill>
                    <w14:schemeClr w14:val="tx1"/>
                  </w14:solidFill>
                </w14:textFill>
              </w:rPr>
              <w:t>（1</w:t>
            </w:r>
            <w:r>
              <w:rPr>
                <w:rFonts w:hint="eastAsia"/>
                <w:vanish w:val="0"/>
                <w:color w:val="000000" w:themeColor="text1"/>
                <w:lang w:eastAsia="zh-CN"/>
                <w14:textFill>
                  <w14:solidFill>
                    <w14:schemeClr w14:val="tx1"/>
                  </w14:solidFill>
                </w14:textFill>
              </w:rPr>
              <w:t>）</w:t>
            </w:r>
            <w:r>
              <w:rPr>
                <w:rFonts w:hint="eastAsia"/>
                <w:vanish w:val="0"/>
                <w:color w:val="000000" w:themeColor="text1"/>
                <w:lang w:val="en-US" w:eastAsia="zh-CN"/>
                <w14:textFill>
                  <w14:solidFill>
                    <w14:schemeClr w14:val="tx1"/>
                  </w14:solidFill>
                </w14:textFill>
              </w:rPr>
              <w:t>生活污水</w:t>
            </w:r>
          </w:p>
          <w:p w14:paraId="671D7AAC">
            <w:pPr>
              <w:pStyle w:val="15"/>
              <w:adjustRightInd w:val="0"/>
              <w:snapToGrid w:val="0"/>
              <w:spacing w:after="0" w:line="360" w:lineRule="auto"/>
              <w:ind w:left="0" w:leftChars="0" w:firstLine="420" w:firstLineChars="200"/>
              <w:rPr>
                <w:rFonts w:hint="eastAsia"/>
                <w:vanish w:val="0"/>
                <w:color w:val="000000" w:themeColor="text1"/>
                <w14:textFill>
                  <w14:solidFill>
                    <w14:schemeClr w14:val="tx1"/>
                  </w14:solidFill>
                </w14:textFill>
              </w:rPr>
            </w:pPr>
            <w:r>
              <w:rPr>
                <w:rFonts w:hint="eastAsia"/>
                <w:vanish w:val="0"/>
                <w:color w:val="000000" w:themeColor="text1"/>
                <w:lang w:val="en-US" w:eastAsia="zh-CN"/>
                <w14:textFill>
                  <w14:solidFill>
                    <w14:schemeClr w14:val="tx1"/>
                  </w14:solidFill>
                </w14:textFill>
              </w:rPr>
              <w:t>本项目水厂设置6名管理人员，不设食宿，水厂</w:t>
            </w:r>
            <w:r>
              <w:rPr>
                <w:rFonts w:hint="default" w:ascii="Times New Roman" w:hAnsi="Times New Roman" w:eastAsia="宋体" w:cs="Times New Roman"/>
                <w:bCs/>
                <w:vanish w:val="0"/>
                <w:color w:val="000000" w:themeColor="text1"/>
                <w:sz w:val="21"/>
                <w:szCs w:val="21"/>
                <w:lang w:eastAsia="zh-CN"/>
                <w14:textFill>
                  <w14:solidFill>
                    <w14:schemeClr w14:val="tx1"/>
                  </w14:solidFill>
                </w14:textFill>
              </w:rPr>
              <w:t>年运行</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365</w:t>
            </w:r>
            <w:r>
              <w:rPr>
                <w:rFonts w:hint="default" w:ascii="Times New Roman" w:hAnsi="Times New Roman" w:eastAsia="宋体" w:cs="Times New Roman"/>
                <w:bCs/>
                <w:vanish w:val="0"/>
                <w:color w:val="000000" w:themeColor="text1"/>
                <w:sz w:val="21"/>
                <w:szCs w:val="21"/>
                <w:lang w:val="en-US" w:eastAsia="zh-CN"/>
                <w14:textFill>
                  <w14:solidFill>
                    <w14:schemeClr w14:val="tx1"/>
                  </w14:solidFill>
                </w14:textFill>
              </w:rPr>
              <w:t>天，</w:t>
            </w:r>
            <w:r>
              <w:rPr>
                <w:rFonts w:hint="default" w:ascii="Times New Roman" w:hAnsi="Times New Roman" w:eastAsia="宋体" w:cs="Times New Roman"/>
                <w:bCs/>
                <w:vanish w:val="0"/>
                <w:color w:val="000000" w:themeColor="text1"/>
                <w:sz w:val="21"/>
                <w:szCs w:val="21"/>
                <w14:textFill>
                  <w14:solidFill>
                    <w14:schemeClr w14:val="tx1"/>
                  </w14:solidFill>
                </w14:textFill>
              </w:rPr>
              <w:t>根据</w:t>
            </w:r>
            <w:r>
              <w:rPr>
                <w:rFonts w:hint="default" w:ascii="Times New Roman" w:hAnsi="Times New Roman" w:eastAsia="宋体" w:cs="Times New Roman"/>
                <w:bCs/>
                <w:vanish w:val="0"/>
                <w:color w:val="000000" w:themeColor="text1"/>
                <w:sz w:val="21"/>
                <w:szCs w:val="21"/>
                <w:lang w:val="en-US" w:eastAsia="zh-CN"/>
                <w14:textFill>
                  <w14:solidFill>
                    <w14:schemeClr w14:val="tx1"/>
                  </w14:solidFill>
                </w14:textFill>
              </w:rPr>
              <w:t>《行业用水定额》</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vanish w:val="0"/>
                <w:color w:val="000000" w:themeColor="text1"/>
                <w:sz w:val="21"/>
                <w:szCs w:val="21"/>
                <w:lang w:val="en-US" w:eastAsia="zh-CN"/>
                <w14:textFill>
                  <w14:solidFill>
                    <w14:schemeClr w14:val="tx1"/>
                  </w14:solidFill>
                </w14:textFill>
              </w:rPr>
              <w:t>陕西省地方标准DB61/T943-2020）要求</w:t>
            </w:r>
            <w:r>
              <w:rPr>
                <w:rFonts w:hint="default" w:ascii="Times New Roman" w:hAnsi="Times New Roman" w:eastAsia="宋体" w:cs="Times New Roman"/>
                <w:bCs/>
                <w:vanish w:val="0"/>
                <w:color w:val="000000" w:themeColor="text1"/>
                <w:sz w:val="21"/>
                <w:szCs w:val="21"/>
                <w14:textFill>
                  <w14:solidFill>
                    <w14:schemeClr w14:val="tx1"/>
                  </w14:solidFill>
                </w14:textFill>
              </w:rPr>
              <w:t>及类比</w:t>
            </w:r>
            <w:r>
              <w:rPr>
                <w:rFonts w:hint="default" w:ascii="Times New Roman" w:hAnsi="Times New Roman" w:eastAsia="宋体" w:cs="Times New Roman"/>
                <w:vanish w:val="0"/>
                <w:color w:val="000000" w:themeColor="text1"/>
                <w:sz w:val="21"/>
                <w:szCs w:val="21"/>
                <w14:textFill>
                  <w14:solidFill>
                    <w14:schemeClr w14:val="tx1"/>
                  </w14:solidFill>
                </w14:textFill>
              </w:rPr>
              <w:t>，</w:t>
            </w:r>
            <w:r>
              <w:rPr>
                <w:rFonts w:hint="default" w:ascii="Times New Roman" w:hAnsi="Times New Roman" w:eastAsia="宋体" w:cs="Times New Roman"/>
                <w:bCs/>
                <w:vanish w:val="0"/>
                <w:color w:val="000000" w:themeColor="text1"/>
                <w:sz w:val="21"/>
                <w:szCs w:val="21"/>
                <w14:textFill>
                  <w14:solidFill>
                    <w14:schemeClr w14:val="tx1"/>
                  </w14:solidFill>
                </w14:textFill>
              </w:rPr>
              <w:t>本项目营运期</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生活</w:t>
            </w:r>
            <w:r>
              <w:rPr>
                <w:rFonts w:hint="default" w:ascii="Times New Roman" w:hAnsi="Times New Roman" w:eastAsia="宋体" w:cs="Times New Roman"/>
                <w:bCs/>
                <w:vanish w:val="0"/>
                <w:color w:val="000000" w:themeColor="text1"/>
                <w:sz w:val="21"/>
                <w:szCs w:val="21"/>
                <w14:textFill>
                  <w14:solidFill>
                    <w14:schemeClr w14:val="tx1"/>
                  </w14:solidFill>
                </w14:textFill>
              </w:rPr>
              <w:t>用水量</w:t>
            </w:r>
            <w:r>
              <w:rPr>
                <w:rFonts w:hint="default" w:ascii="Times New Roman" w:hAnsi="Times New Roman" w:eastAsia="宋体" w:cs="Times New Roman"/>
                <w:vanish w:val="0"/>
                <w:color w:val="000000" w:themeColor="text1"/>
                <w:sz w:val="21"/>
                <w:szCs w:val="21"/>
                <w14:textFill>
                  <w14:solidFill>
                    <w14:schemeClr w14:val="tx1"/>
                  </w14:solidFill>
                </w14:textFill>
              </w:rPr>
              <w:t>按</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35</w:t>
            </w:r>
            <w:r>
              <w:rPr>
                <w:rFonts w:hint="default" w:ascii="Times New Roman" w:hAnsi="Times New Roman" w:eastAsia="宋体" w:cs="Times New Roman"/>
                <w:bCs/>
                <w:vanish w:val="0"/>
                <w:color w:val="000000" w:themeColor="text1"/>
                <w:sz w:val="21"/>
                <w:szCs w:val="21"/>
                <w14:textFill>
                  <w14:solidFill>
                    <w14:schemeClr w14:val="tx1"/>
                  </w14:solidFill>
                </w14:textFill>
              </w:rPr>
              <w:t>L/人•d</w:t>
            </w:r>
            <w:r>
              <w:rPr>
                <w:rFonts w:hint="default" w:ascii="Times New Roman" w:hAnsi="Times New Roman" w:eastAsia="宋体" w:cs="Times New Roman"/>
                <w:vanish w:val="0"/>
                <w:color w:val="000000" w:themeColor="text1"/>
                <w:sz w:val="21"/>
                <w:szCs w:val="21"/>
                <w14:textFill>
                  <w14:solidFill>
                    <w14:schemeClr w14:val="tx1"/>
                  </w14:solidFill>
                </w14:textFill>
              </w:rPr>
              <w:t>计，用水量为</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0.21</w:t>
            </w:r>
            <w:r>
              <w:rPr>
                <w:rFonts w:hint="default" w:ascii="Times New Roman" w:hAnsi="Times New Roman" w:eastAsia="宋体" w:cs="Times New Roman"/>
                <w:vanish w:val="0"/>
                <w:color w:val="000000" w:themeColor="text1"/>
                <w:sz w:val="21"/>
                <w:szCs w:val="21"/>
                <w14:textFill>
                  <w14:solidFill>
                    <w14:schemeClr w14:val="tx1"/>
                  </w14:solidFill>
                </w14:textFill>
              </w:rPr>
              <w:t>m</w:t>
            </w:r>
            <w:r>
              <w:rPr>
                <w:rFonts w:hint="default" w:ascii="Times New Roman" w:hAnsi="Times New Roman" w:eastAsia="宋体" w:cs="Times New Roman"/>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vanish w:val="0"/>
                <w:color w:val="000000" w:themeColor="text1"/>
                <w:sz w:val="21"/>
                <w:szCs w:val="21"/>
                <w14:textFill>
                  <w14:solidFill>
                    <w14:schemeClr w14:val="tx1"/>
                  </w14:solidFill>
                </w14:textFill>
              </w:rPr>
              <w:t>/d</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76.65</w:t>
            </w:r>
            <w:r>
              <w:rPr>
                <w:rFonts w:hint="default" w:ascii="Times New Roman" w:hAnsi="Times New Roman" w:eastAsia="宋体" w:cs="Times New Roman"/>
                <w:vanish w:val="0"/>
                <w:color w:val="000000" w:themeColor="text1"/>
                <w:sz w:val="21"/>
                <w:szCs w:val="21"/>
                <w14:textFill>
                  <w14:solidFill>
                    <w14:schemeClr w14:val="tx1"/>
                  </w14:solidFill>
                </w14:textFill>
              </w:rPr>
              <w:t>m</w:t>
            </w:r>
            <w:r>
              <w:rPr>
                <w:rFonts w:hint="default" w:ascii="Times New Roman" w:hAnsi="Times New Roman" w:eastAsia="宋体" w:cs="Times New Roman"/>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vanish w:val="0"/>
                <w:color w:val="000000" w:themeColor="text1"/>
                <w:sz w:val="21"/>
                <w:szCs w:val="21"/>
                <w14:textFill>
                  <w14:solidFill>
                    <w14:schemeClr w14:val="tx1"/>
                  </w14:solidFill>
                </w14:textFill>
              </w:rPr>
              <w:t>/a</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生活</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污水</w:t>
            </w:r>
            <w:r>
              <w:rPr>
                <w:rFonts w:hint="default" w:ascii="Times New Roman" w:hAnsi="Times New Roman" w:eastAsia="宋体" w:cs="Times New Roman"/>
                <w:bCs/>
                <w:vanish w:val="0"/>
                <w:color w:val="000000" w:themeColor="text1"/>
                <w:sz w:val="21"/>
                <w:szCs w:val="21"/>
                <w14:textFill>
                  <w14:solidFill>
                    <w14:schemeClr w14:val="tx1"/>
                  </w14:solidFill>
                </w14:textFill>
              </w:rPr>
              <w:t>量按用水量的80%计，则</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生活污水</w:t>
            </w:r>
            <w:r>
              <w:rPr>
                <w:rFonts w:hint="default" w:ascii="Times New Roman" w:hAnsi="Times New Roman" w:eastAsia="宋体" w:cs="Times New Roman"/>
                <w:bCs/>
                <w:vanish w:val="0"/>
                <w:color w:val="000000" w:themeColor="text1"/>
                <w:sz w:val="21"/>
                <w:szCs w:val="21"/>
                <w14:textFill>
                  <w14:solidFill>
                    <w14:schemeClr w14:val="tx1"/>
                  </w14:solidFill>
                </w14:textFill>
              </w:rPr>
              <w:t>产生量为</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0.168</w:t>
            </w:r>
            <w:r>
              <w:rPr>
                <w:rFonts w:hint="default" w:ascii="Times New Roman" w:hAnsi="Times New Roman" w:eastAsia="宋体" w:cs="Times New Roman"/>
                <w:bCs/>
                <w:vanish w:val="0"/>
                <w:color w:val="000000" w:themeColor="text1"/>
                <w:sz w:val="21"/>
                <w:szCs w:val="21"/>
                <w14:textFill>
                  <w14:solidFill>
                    <w14:schemeClr w14:val="tx1"/>
                  </w14:solidFill>
                </w14:textFill>
              </w:rPr>
              <w:t>m</w:t>
            </w:r>
            <w:r>
              <w:rPr>
                <w:rFonts w:hint="default" w:ascii="Times New Roman" w:hAnsi="Times New Roman" w:eastAsia="宋体" w:cs="Times New Roman"/>
                <w:bCs/>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vanish w:val="0"/>
                <w:color w:val="000000" w:themeColor="text1"/>
                <w:sz w:val="21"/>
                <w:szCs w:val="21"/>
                <w14:textFill>
                  <w14:solidFill>
                    <w14:schemeClr w14:val="tx1"/>
                  </w14:solidFill>
                </w14:textFill>
              </w:rPr>
              <w:t>/d</w:t>
            </w:r>
            <w:r>
              <w:rPr>
                <w:rFonts w:hint="default" w:ascii="Times New Roman" w:hAnsi="Times New Roman" w:eastAsia="宋体" w:cs="Times New Roman"/>
                <w:bCs/>
                <w:vanish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61.32</w:t>
            </w:r>
            <w:r>
              <w:rPr>
                <w:rFonts w:hint="default" w:ascii="Times New Roman" w:hAnsi="Times New Roman" w:eastAsia="宋体" w:cs="Times New Roman"/>
                <w:bCs/>
                <w:vanish w:val="0"/>
                <w:color w:val="000000" w:themeColor="text1"/>
                <w:sz w:val="21"/>
                <w:szCs w:val="21"/>
                <w14:textFill>
                  <w14:solidFill>
                    <w14:schemeClr w14:val="tx1"/>
                  </w14:solidFill>
                </w14:textFill>
              </w:rPr>
              <w:t>m</w:t>
            </w:r>
            <w:r>
              <w:rPr>
                <w:rFonts w:hint="default" w:ascii="Times New Roman" w:hAnsi="Times New Roman" w:eastAsia="宋体" w:cs="Times New Roman"/>
                <w:bCs/>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vanish w:val="0"/>
                <w:color w:val="000000" w:themeColor="text1"/>
                <w:sz w:val="21"/>
                <w:szCs w:val="21"/>
                <w14:textFill>
                  <w14:solidFill>
                    <w14:schemeClr w14:val="tx1"/>
                  </w14:solidFill>
                </w14:textFill>
              </w:rPr>
              <w:t>/a</w:t>
            </w:r>
            <w:r>
              <w:rPr>
                <w:rFonts w:hint="default" w:ascii="Times New Roman" w:hAnsi="Times New Roman" w:eastAsia="宋体" w:cs="Times New Roman"/>
                <w:bCs/>
                <w:vanish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vanish w:val="0"/>
                <w:color w:val="000000" w:themeColor="text1"/>
                <w:sz w:val="21"/>
                <w:szCs w:val="21"/>
                <w:lang w:eastAsia="zh-CN"/>
                <w14:textFill>
                  <w14:solidFill>
                    <w14:schemeClr w14:val="tx1"/>
                  </w14:solidFill>
                </w14:textFill>
              </w:rPr>
              <w:t>，</w:t>
            </w:r>
            <w:r>
              <w:rPr>
                <w:rFonts w:hint="eastAsia"/>
                <w:vanish w:val="0"/>
                <w:color w:val="000000" w:themeColor="text1"/>
                <w:lang w:val="en-US" w:eastAsia="zh-CN"/>
                <w14:textFill>
                  <w14:solidFill>
                    <w14:schemeClr w14:val="tx1"/>
                  </w14:solidFill>
                </w14:textFill>
              </w:rPr>
              <w:t>水厂设置化粪池1座，容积2m</w:t>
            </w:r>
            <w:r>
              <w:rPr>
                <w:rFonts w:hint="eastAsia"/>
                <w:vanish w:val="0"/>
                <w:color w:val="000000" w:themeColor="text1"/>
                <w:vertAlign w:val="superscript"/>
                <w:lang w:val="en-US" w:eastAsia="zh-CN"/>
                <w14:textFill>
                  <w14:solidFill>
                    <w14:schemeClr w14:val="tx1"/>
                  </w14:solidFill>
                </w14:textFill>
              </w:rPr>
              <w:t>3</w:t>
            </w:r>
            <w:r>
              <w:rPr>
                <w:rFonts w:hint="eastAsia"/>
                <w:vanish w:val="0"/>
                <w:color w:val="000000" w:themeColor="text1"/>
                <w:lang w:val="en-US" w:eastAsia="zh-CN"/>
                <w14:textFill>
                  <w14:solidFill>
                    <w14:schemeClr w14:val="tx1"/>
                  </w14:solidFill>
                </w14:textFill>
              </w:rPr>
              <w:t>，生活污水</w:t>
            </w:r>
            <w:r>
              <w:rPr>
                <w:rFonts w:hint="eastAsia"/>
                <w:vanish w:val="0"/>
                <w:color w:val="000000" w:themeColor="text1"/>
                <w14:textFill>
                  <w14:solidFill>
                    <w14:schemeClr w14:val="tx1"/>
                  </w14:solidFill>
                </w14:textFill>
              </w:rPr>
              <w:t>经</w:t>
            </w:r>
            <w:r>
              <w:rPr>
                <w:rFonts w:hint="eastAsia"/>
                <w:vanish w:val="0"/>
                <w:color w:val="000000" w:themeColor="text1"/>
                <w:lang w:val="en-US" w:eastAsia="zh-CN"/>
                <w14:textFill>
                  <w14:solidFill>
                    <w14:schemeClr w14:val="tx1"/>
                  </w14:solidFill>
                </w14:textFill>
              </w:rPr>
              <w:t>化粪池处理后定期清掏用于周边农田施肥，不外排</w:t>
            </w:r>
            <w:r>
              <w:rPr>
                <w:rFonts w:hint="eastAsia"/>
                <w:vanish w:val="0"/>
                <w:color w:val="000000" w:themeColor="text1"/>
                <w14:textFill>
                  <w14:solidFill>
                    <w14:schemeClr w14:val="tx1"/>
                  </w14:solidFill>
                </w14:textFill>
              </w:rPr>
              <w:t>。</w:t>
            </w:r>
          </w:p>
          <w:p w14:paraId="6CCC6852">
            <w:pPr>
              <w:keepLines w:val="0"/>
              <w:pageBreakBefore w:val="0"/>
              <w:kinsoku/>
              <w:wordWrap/>
              <w:overflowPunct/>
              <w:topLinePunct/>
              <w:autoSpaceDE/>
              <w:autoSpaceDN/>
              <w:bidi w:val="0"/>
              <w:adjustRightInd w:val="0"/>
              <w:snapToGrid w:val="0"/>
              <w:spacing w:line="360" w:lineRule="auto"/>
              <w:ind w:left="0" w:leftChars="0" w:firstLine="420" w:firstLineChars="200"/>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（2）生产废水</w:t>
            </w:r>
          </w:p>
          <w:p w14:paraId="7293CF7E">
            <w:pPr>
              <w:keepNext w:val="0"/>
              <w:keepLines w:val="0"/>
              <w:widowControl/>
              <w:suppressLineNumbers w:val="0"/>
              <w:spacing w:line="360" w:lineRule="auto"/>
              <w:ind w:firstLine="420" w:firstLineChars="200"/>
              <w:jc w:val="left"/>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项目建成后废水主要为絮凝沉淀池、</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V</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型滤池产生的排污水和污泥压滤废水。其中V型</w:t>
            </w:r>
          </w:p>
          <w:p w14:paraId="7F2D6D70">
            <w:pPr>
              <w:keepNext w:val="0"/>
              <w:keepLines w:val="0"/>
              <w:widowControl/>
              <w:suppressLineNumbers w:val="0"/>
              <w:spacing w:line="360" w:lineRule="auto"/>
              <w:jc w:val="left"/>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滤池反冲洗水和沉淀池排污水主要污染物为悬浮物，污染物的含量与水源水质中的污染物含</w:t>
            </w:r>
          </w:p>
          <w:p w14:paraId="707B9438">
            <w:pPr>
              <w:keepNext w:val="0"/>
              <w:keepLines w:val="0"/>
              <w:widowControl/>
              <w:suppressLineNumbers w:val="0"/>
              <w:spacing w:line="360" w:lineRule="auto"/>
              <w:jc w:val="left"/>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量密切相关。根据查阅《第一次全国污染源普查工业污染源产排污系数手册（第十分册）》</w:t>
            </w:r>
          </w:p>
          <w:p w14:paraId="4A21E1A4">
            <w:pPr>
              <w:keepNext w:val="0"/>
              <w:keepLines w:val="0"/>
              <w:widowControl/>
              <w:suppressLineNumbers w:val="0"/>
              <w:spacing w:line="360" w:lineRule="auto"/>
              <w:jc w:val="left"/>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cs="Times New Roman"/>
                <w:vanish w:val="0"/>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46</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水的生产和供应业</w:t>
            </w:r>
            <w:r>
              <w:rPr>
                <w:rFonts w:hint="eastAsia" w:cs="Times New Roman"/>
                <w:vanish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中地表水自来水厂废水产污系数为</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0.037</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吨</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吨</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产品，本项目水厂工程制水能力为800</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m</w:t>
            </w:r>
            <w:r>
              <w:rPr>
                <w:rFonts w:hint="default" w:ascii="Times New Roman" w:hAnsi="Times New Roman" w:eastAsia="宋体" w:cs="Times New Roman"/>
                <w:vanish w:val="0"/>
                <w:color w:val="000000" w:themeColor="text1"/>
                <w:kern w:val="2"/>
                <w:sz w:val="21"/>
                <w:szCs w:val="24"/>
                <w:vertAlign w:val="superscript"/>
                <w:lang w:val="en-US" w:eastAsia="zh-CN" w:bidi="ar-SA"/>
                <w14:textFill>
                  <w14:solidFill>
                    <w14:schemeClr w14:val="tx1"/>
                  </w14:solidFill>
                </w14:textFill>
              </w:rPr>
              <w:t>3</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/d</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，则废水产生量为29.6</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m</w:t>
            </w:r>
            <w:r>
              <w:rPr>
                <w:rFonts w:hint="default" w:ascii="Times New Roman" w:hAnsi="Times New Roman" w:eastAsia="宋体" w:cs="Times New Roman"/>
                <w:vanish w:val="0"/>
                <w:color w:val="000000" w:themeColor="text1"/>
                <w:kern w:val="2"/>
                <w:sz w:val="21"/>
                <w:szCs w:val="24"/>
                <w:vertAlign w:val="superscript"/>
                <w:lang w:val="en-US" w:eastAsia="zh-CN" w:bidi="ar-SA"/>
                <w14:textFill>
                  <w14:solidFill>
                    <w14:schemeClr w14:val="tx1"/>
                  </w14:solidFill>
                </w14:textFill>
              </w:rPr>
              <w:t>3</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/d</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 xml:space="preserve">；污泥压滤水主要污染物也为悬浮物。 </w:t>
            </w:r>
          </w:p>
          <w:p w14:paraId="49FF0E8B">
            <w:pPr>
              <w:keepNext w:val="0"/>
              <w:keepLines w:val="0"/>
              <w:widowControl/>
              <w:suppressLineNumbers w:val="0"/>
              <w:spacing w:line="360" w:lineRule="auto"/>
              <w:ind w:firstLine="420" w:firstLineChars="200"/>
              <w:jc w:val="left"/>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①絮凝沉淀池排污水：原水中悬浮物浓度较低，但洪水时水体较浑浊。水浑浊度较高时，絮凝沉淀池一般</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2~3</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个小时排放污水一次，水清时，一个班排放一次。絮凝沉淀池排泥水约占水厂废水总量的</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5%</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左右，由此计算沉淀池排泥水量为1.48</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m</w:t>
            </w:r>
            <w:r>
              <w:rPr>
                <w:rFonts w:hint="default" w:ascii="Times New Roman" w:hAnsi="Times New Roman" w:eastAsia="宋体" w:cs="Times New Roman"/>
                <w:vanish w:val="0"/>
                <w:color w:val="000000" w:themeColor="text1"/>
                <w:kern w:val="2"/>
                <w:sz w:val="21"/>
                <w:szCs w:val="24"/>
                <w:vertAlign w:val="superscript"/>
                <w:lang w:val="en-US" w:eastAsia="zh-CN" w:bidi="ar-SA"/>
                <w14:textFill>
                  <w14:solidFill>
                    <w14:schemeClr w14:val="tx1"/>
                  </w14:solidFill>
                </w14:textFill>
              </w:rPr>
              <w:t>3</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/d</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。该废水进入排水池后，上清液泵入配水井回用，不外排。</w:t>
            </w:r>
          </w:p>
          <w:p w14:paraId="77BFA745">
            <w:pPr>
              <w:keepNext w:val="0"/>
              <w:keepLines w:val="0"/>
              <w:widowControl/>
              <w:suppressLineNumbers w:val="0"/>
              <w:spacing w:line="360" w:lineRule="auto"/>
              <w:ind w:firstLine="420" w:firstLineChars="200"/>
              <w:jc w:val="left"/>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②</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V型滤池反冲洗水：在</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V</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型滤池过滤过程中，滤料层截留的杂质数量不断增加，因而滤料层阻力不断增加，滤池水头损失增大，水位也会随之升高。因而在过滤过程中，须定时对滤池进行反冲洗。净水生产线一般每天反冲洗一次，据资料统计，其废水产生量约占水厂废水总量的</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95%</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左右，由此计算</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V</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型滤池反冲洗水为28.12</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m</w:t>
            </w:r>
            <w:r>
              <w:rPr>
                <w:rFonts w:hint="default" w:ascii="Times New Roman" w:hAnsi="Times New Roman" w:eastAsia="宋体" w:cs="Times New Roman"/>
                <w:vanish w:val="0"/>
                <w:color w:val="000000" w:themeColor="text1"/>
                <w:kern w:val="2"/>
                <w:sz w:val="21"/>
                <w:szCs w:val="24"/>
                <w:vertAlign w:val="superscript"/>
                <w:lang w:val="en-US" w:eastAsia="zh-CN" w:bidi="ar-SA"/>
                <w14:textFill>
                  <w14:solidFill>
                    <w14:schemeClr w14:val="tx1"/>
                  </w14:solidFill>
                </w14:textFill>
              </w:rPr>
              <w:t>3</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/d</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 xml:space="preserve">。该废水进入排水池后，上清液泵入配水井回用，不外排。 </w:t>
            </w:r>
          </w:p>
          <w:p w14:paraId="0305133A">
            <w:pPr>
              <w:keepNext w:val="0"/>
              <w:keepLines w:val="0"/>
              <w:widowControl/>
              <w:suppressLineNumbers w:val="0"/>
              <w:ind w:firstLine="420" w:firstLineChars="200"/>
              <w:jc w:val="left"/>
              <w:rPr>
                <w:rFonts w:hint="eastAsia"/>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水平衡具体详见下图。</w:t>
            </w:r>
          </w:p>
          <w:p w14:paraId="02199B48">
            <w:pPr>
              <w:keepNext w:val="0"/>
              <w:keepLines w:val="0"/>
              <w:widowControl/>
              <w:suppressLineNumbers w:val="0"/>
              <w:ind w:firstLine="420" w:firstLineChars="200"/>
              <w:jc w:val="left"/>
              <w:rPr>
                <w:rFonts w:hint="eastAsia"/>
                <w:vanish w:val="0"/>
                <w:color w:val="000000" w:themeColor="text1"/>
                <w:lang w:val="en-US" w:eastAsia="zh-CN"/>
                <w14:textFill>
                  <w14:solidFill>
                    <w14:schemeClr w14:val="tx1"/>
                  </w14:solidFill>
                </w14:textFill>
              </w:rPr>
            </w:pPr>
          </w:p>
          <w:p w14:paraId="3BE69230">
            <w:pPr>
              <w:keepNext w:val="0"/>
              <w:keepLines w:val="0"/>
              <w:widowControl/>
              <w:suppressLineNumbers w:val="0"/>
              <w:ind w:firstLine="420" w:firstLineChars="200"/>
              <w:jc w:val="left"/>
              <w:rPr>
                <w:rFonts w:hint="default"/>
                <w:vanish w:val="0"/>
                <w:color w:val="000000" w:themeColor="text1"/>
                <w:lang w:val="en-US" w:eastAsia="zh-CN"/>
                <w14:textFill>
                  <w14:solidFill>
                    <w14:schemeClr w14:val="tx1"/>
                  </w14:solidFill>
                </w14:textFill>
              </w:rPr>
            </w:pPr>
          </w:p>
          <w:p w14:paraId="4AA5CF8E">
            <w:pPr>
              <w:pStyle w:val="60"/>
              <w:adjustRightInd w:val="0"/>
              <w:snapToGrid w:val="0"/>
              <w:ind w:left="0" w:leftChars="0" w:firstLine="0" w:firstLineChars="0"/>
              <w:jc w:val="center"/>
              <w:rPr>
                <w:rFonts w:hint="default" w:eastAsia="宋体"/>
                <w:vanish w:val="0"/>
                <w:color w:val="000000" w:themeColor="text1"/>
                <w:sz w:val="21"/>
                <w:lang w:val="en-US" w:eastAsia="zh-CN"/>
                <w14:textFill>
                  <w14:solidFill>
                    <w14:schemeClr w14:val="tx1"/>
                  </w14:solidFill>
                </w14:textFill>
              </w:rPr>
            </w:pPr>
            <w:r>
              <w:rPr>
                <w:rFonts w:hint="default" w:ascii="Times New Roman" w:hAnsi="Times New Roman" w:eastAsia="宋体" w:cs="Times New Roman"/>
                <w:b/>
                <w:bCs/>
                <w:vanish w:val="0"/>
                <w:color w:val="000000" w:themeColor="text1"/>
                <w:sz w:val="21"/>
                <w:szCs w:val="21"/>
                <w:highlight w:val="none"/>
                <w14:textFill>
                  <w14:solidFill>
                    <w14:schemeClr w14:val="tx1"/>
                  </w14:solidFill>
                </w14:textFill>
              </w:rPr>
              <w:object>
                <v:shape id="_x0000_i1025" o:spt="75" type="#_x0000_t75" style="height:249.95pt;width:441.2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5" r:id="rId13">
                  <o:LockedField>false</o:LockedField>
                </o:OLEObject>
              </w:object>
            </w:r>
            <w:r>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图2-1   净化水厂水平衡图  单位m</w:t>
            </w:r>
            <w:r>
              <w:rPr>
                <w:rFonts w:hint="eastAsia" w:ascii="Times New Roman" w:hAnsi="Times New Roman" w:eastAsia="宋体" w:cs="Times New Roman"/>
                <w:b/>
                <w:bCs/>
                <w:vanish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/d</w:t>
            </w:r>
          </w:p>
          <w:p w14:paraId="259F825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cs="Times New Roman"/>
                <w:vanish w:val="0"/>
                <w:color w:val="000000" w:themeColor="text1"/>
                <w:lang w:val="en-US" w:eastAsia="zh-CN"/>
                <w14:textFill>
                  <w14:solidFill>
                    <w14:schemeClr w14:val="tx1"/>
                  </w14:solidFill>
                </w14:textFill>
              </w:rPr>
              <w:t>8</w:t>
            </w:r>
            <w:r>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nish w:val="0"/>
                <w:color w:val="000000" w:themeColor="text1"/>
                <w:lang w:val="en-US" w:eastAsia="zh-CN"/>
                <w14:textFill>
                  <w14:solidFill>
                    <w14:schemeClr w14:val="tx1"/>
                  </w14:solidFill>
                </w14:textFill>
              </w:rPr>
              <w:t>平面布置</w:t>
            </w:r>
            <w:r>
              <w:rPr>
                <w:rFonts w:hint="eastAsia" w:ascii="Times New Roman" w:hAnsi="Times New Roman" w:eastAsia="宋体" w:cs="Times New Roman"/>
                <w:b/>
                <w:bCs/>
                <w:vanish w:val="0"/>
                <w:color w:val="000000" w:themeColor="text1"/>
                <w:lang w:val="en-US" w:eastAsia="zh-CN"/>
                <w14:textFill>
                  <w14:solidFill>
                    <w14:schemeClr w14:val="tx1"/>
                  </w14:solidFill>
                </w14:textFill>
              </w:rPr>
              <w:t>合理性分析</w:t>
            </w:r>
          </w:p>
          <w:p w14:paraId="4ABB9F8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t>（1）水厂平面布置合理性分析</w:t>
            </w:r>
          </w:p>
          <w:p w14:paraId="17097A5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净化水</w:t>
            </w:r>
            <w:r>
              <w:rPr>
                <w:rFonts w:hint="default" w:ascii="Times New Roman" w:hAnsi="Times New Roman" w:eastAsia="宋体" w:cs="Times New Roman"/>
                <w:vanish w:val="0"/>
                <w:color w:val="000000" w:themeColor="text1"/>
                <w:lang w:val="en-US" w:eastAsia="zh-CN"/>
                <w14:textFill>
                  <w14:solidFill>
                    <w14:schemeClr w14:val="tx1"/>
                  </w14:solidFill>
                </w14:textFill>
              </w:rPr>
              <w:t>厂按功能性划分为</w:t>
            </w:r>
            <w:r>
              <w:rPr>
                <w:rFonts w:hint="eastAsia" w:ascii="Times New Roman" w:hAnsi="Times New Roman" w:eastAsia="宋体" w:cs="Times New Roman"/>
                <w:vanish w:val="0"/>
                <w:color w:val="000000" w:themeColor="text1"/>
                <w:lang w:val="en-US" w:eastAsia="zh-CN"/>
                <w14:textFill>
                  <w14:solidFill>
                    <w14:schemeClr w14:val="tx1"/>
                  </w14:solidFill>
                </w14:textFill>
              </w:rPr>
              <w:t>管理</w:t>
            </w:r>
            <w:r>
              <w:rPr>
                <w:rFonts w:hint="default" w:ascii="Times New Roman" w:hAnsi="Times New Roman" w:eastAsia="宋体" w:cs="Times New Roman"/>
                <w:vanish w:val="0"/>
                <w:color w:val="000000" w:themeColor="text1"/>
                <w:lang w:val="en-US" w:eastAsia="zh-CN"/>
                <w14:textFill>
                  <w14:solidFill>
                    <w14:schemeClr w14:val="tx1"/>
                  </w14:solidFill>
                </w14:textFill>
              </w:rPr>
              <w:t>区、</w:t>
            </w:r>
            <w:r>
              <w:rPr>
                <w:rFonts w:hint="eastAsia" w:ascii="Times New Roman" w:hAnsi="Times New Roman" w:eastAsia="宋体" w:cs="Times New Roman"/>
                <w:vanish w:val="0"/>
                <w:color w:val="000000" w:themeColor="text1"/>
                <w:lang w:val="en-US" w:eastAsia="zh-CN"/>
                <w14:textFill>
                  <w14:solidFill>
                    <w14:schemeClr w14:val="tx1"/>
                  </w14:solidFill>
                </w14:textFill>
              </w:rPr>
              <w:t>净化区</w:t>
            </w:r>
            <w:r>
              <w:rPr>
                <w:rFonts w:hint="default" w:ascii="Times New Roman" w:hAnsi="Times New Roman" w:eastAsia="宋体" w:cs="Times New Roman"/>
                <w:vanish w:val="0"/>
                <w:color w:val="000000" w:themeColor="text1"/>
                <w:lang w:val="en-US" w:eastAsia="zh-CN"/>
                <w14:textFill>
                  <w14:solidFill>
                    <w14:schemeClr w14:val="tx1"/>
                  </w14:solidFill>
                </w14:textFill>
              </w:rPr>
              <w:t>及</w:t>
            </w:r>
            <w:r>
              <w:rPr>
                <w:rFonts w:hint="eastAsia" w:ascii="Times New Roman" w:hAnsi="Times New Roman" w:eastAsia="宋体" w:cs="Times New Roman"/>
                <w:vanish w:val="0"/>
                <w:color w:val="000000" w:themeColor="text1"/>
                <w:lang w:val="en-US" w:eastAsia="zh-CN"/>
                <w14:textFill>
                  <w14:solidFill>
                    <w14:schemeClr w14:val="tx1"/>
                  </w14:solidFill>
                </w14:textFill>
              </w:rPr>
              <w:t>储水</w:t>
            </w:r>
            <w:r>
              <w:rPr>
                <w:rFonts w:hint="default" w:ascii="Times New Roman" w:hAnsi="Times New Roman" w:eastAsia="宋体" w:cs="Times New Roman"/>
                <w:vanish w:val="0"/>
                <w:color w:val="000000" w:themeColor="text1"/>
                <w:lang w:val="en-US" w:eastAsia="zh-CN"/>
                <w14:textFill>
                  <w14:solidFill>
                    <w14:schemeClr w14:val="tx1"/>
                  </w14:solidFill>
                </w14:textFill>
              </w:rPr>
              <w:t>区。厂区</w:t>
            </w:r>
            <w:r>
              <w:rPr>
                <w:rFonts w:hint="eastAsia" w:ascii="Times New Roman" w:hAnsi="Times New Roman" w:eastAsia="宋体" w:cs="Times New Roman"/>
                <w:vanish w:val="0"/>
                <w:color w:val="000000" w:themeColor="text1"/>
                <w:lang w:val="en-US" w:eastAsia="zh-CN"/>
                <w14:textFill>
                  <w14:solidFill>
                    <w14:schemeClr w14:val="tx1"/>
                  </w14:solidFill>
                </w14:textFill>
              </w:rPr>
              <w:t>入口布置于南侧，管理用房</w:t>
            </w:r>
            <w:r>
              <w:rPr>
                <w:rFonts w:hint="eastAsia" w:cs="Times New Roman"/>
                <w:vanish w:val="0"/>
                <w:color w:val="000000" w:themeColor="text1"/>
                <w:lang w:val="en-US" w:eastAsia="zh-CN"/>
                <w14:textFill>
                  <w14:solidFill>
                    <w14:schemeClr w14:val="tx1"/>
                  </w14:solidFill>
                </w14:textFill>
              </w:rPr>
              <w:t>布置于</w:t>
            </w:r>
            <w:r>
              <w:rPr>
                <w:rFonts w:hint="eastAsia" w:ascii="Times New Roman" w:hAnsi="Times New Roman" w:eastAsia="宋体" w:cs="Times New Roman"/>
                <w:vanish w:val="0"/>
                <w:color w:val="000000" w:themeColor="text1"/>
                <w:lang w:val="en-US" w:eastAsia="zh-CN"/>
                <w14:textFill>
                  <w14:solidFill>
                    <w14:schemeClr w14:val="tx1"/>
                  </w14:solidFill>
                </w14:textFill>
              </w:rPr>
              <w:t>南侧区域，主要设置会议室、发电机室以及值班室；厂区西北侧区域设置净化区域，主要布置净化装置以及加药间；厂区东北侧区域设置1座容积200m</w:t>
            </w:r>
            <w:r>
              <w:rPr>
                <w:rFonts w:hint="eastAsia"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vanish w:val="0"/>
                <w:color w:val="000000" w:themeColor="text1"/>
                <w:lang w:val="en-US" w:eastAsia="zh-CN"/>
                <w14:textFill>
                  <w14:solidFill>
                    <w14:schemeClr w14:val="tx1"/>
                  </w14:solidFill>
                </w14:textFill>
              </w:rPr>
              <w:t>的清水储水池</w:t>
            </w:r>
            <w:r>
              <w:rPr>
                <w:rFonts w:hint="default" w:ascii="Times New Roman" w:hAnsi="Times New Roman" w:eastAsia="宋体" w:cs="Times New Roman"/>
                <w:vanish w:val="0"/>
                <w:color w:val="000000" w:themeColor="text1"/>
                <w:lang w:val="en-US" w:eastAsia="zh-CN"/>
                <w14:textFill>
                  <w14:solidFill>
                    <w14:schemeClr w14:val="tx1"/>
                  </w14:solidFill>
                </w14:textFill>
              </w:rPr>
              <w:t>。</w:t>
            </w:r>
          </w:p>
          <w:p w14:paraId="16C908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水厂厂区道路宽6.0m，总长227m，道路采用C25砼路面，厚200mm，下铺200mm厚碎石垫层，场地雨水</w:t>
            </w:r>
            <w:r>
              <w:rPr>
                <w:rFonts w:hint="eastAsia" w:cs="Times New Roman"/>
                <w:vanish w:val="0"/>
                <w:color w:val="000000" w:themeColor="text1"/>
                <w:lang w:val="en-US" w:eastAsia="zh-CN"/>
                <w14:textFill>
                  <w14:solidFill>
                    <w14:schemeClr w14:val="tx1"/>
                  </w14:solidFill>
                </w14:textFill>
              </w:rPr>
              <w:t>通过</w:t>
            </w:r>
            <w:r>
              <w:rPr>
                <w:rFonts w:hint="default" w:ascii="Times New Roman" w:hAnsi="Times New Roman" w:eastAsia="宋体" w:cs="Times New Roman"/>
                <w:vanish w:val="0"/>
                <w:color w:val="000000" w:themeColor="text1"/>
                <w:lang w:val="en-US" w:eastAsia="zh-CN"/>
                <w14:textFill>
                  <w14:solidFill>
                    <w14:schemeClr w14:val="tx1"/>
                  </w14:solidFill>
                </w14:textFill>
              </w:rPr>
              <w:t>雨水口收集</w:t>
            </w:r>
            <w:r>
              <w:rPr>
                <w:rFonts w:hint="eastAsia" w:cs="Times New Roman"/>
                <w:vanish w:val="0"/>
                <w:color w:val="000000" w:themeColor="text1"/>
                <w:lang w:val="en-US" w:eastAsia="zh-CN"/>
                <w14:textFill>
                  <w14:solidFill>
                    <w14:schemeClr w14:val="tx1"/>
                  </w14:solidFill>
                </w14:textFill>
              </w:rPr>
              <w:t>，经</w:t>
            </w:r>
            <w:r>
              <w:rPr>
                <w:rFonts w:hint="default" w:ascii="Times New Roman" w:hAnsi="Times New Roman" w:eastAsia="宋体" w:cs="Times New Roman"/>
                <w:vanish w:val="0"/>
                <w:color w:val="000000" w:themeColor="text1"/>
                <w:lang w:val="en-US" w:eastAsia="zh-CN"/>
                <w14:textFill>
                  <w14:solidFill>
                    <w14:schemeClr w14:val="tx1"/>
                  </w14:solidFill>
                </w14:textFill>
              </w:rPr>
              <w:t>雨水管道排出厂外、厂区路网按功能分区及消防要求来布置和建、构筑物的使用联络成环，能满足消防及运输要求。</w:t>
            </w:r>
          </w:p>
          <w:p w14:paraId="501688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vanish w:val="0"/>
                <w:color w:val="000000" w:themeColor="text1"/>
                <w:lang w:val="en-US" w:eastAsia="zh-CN"/>
                <w14:textFill>
                  <w14:solidFill>
                    <w14:schemeClr w14:val="tx1"/>
                  </w14:solidFill>
                </w14:textFill>
              </w:rPr>
              <w:t>（2）管网布置合理性分析</w:t>
            </w:r>
          </w:p>
          <w:p w14:paraId="182EEB9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本项目配套管网工程主要是供水管网的铺设，</w:t>
            </w:r>
            <w:r>
              <w:rPr>
                <w:rFonts w:hint="eastAsia" w:ascii="Times New Roman" w:hAnsi="Times New Roman" w:cs="Times New Roman"/>
                <w:vanish w:val="0"/>
                <w:color w:val="000000" w:themeColor="text1"/>
                <w:lang w:val="en-US" w:eastAsia="zh-CN"/>
                <w14:textFill>
                  <w14:solidFill>
                    <w14:schemeClr w14:val="tx1"/>
                  </w14:solidFill>
                </w14:textFill>
              </w:rPr>
              <w:t>涉及的管网工程</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可采取一定的对策措施防止污染、破坏和突发事故影响，不会给沿途居民及单位造成较大影响。不涉及居民搬迁，构筑物拆除面积较小，且管道埋深小，施工难度小，工期短，技术可行、合理，方便管理维护。管道线路不涉及需要特殊保护的保护目标，无历史文物遗迹等，管网布置充分考虑了桃川镇实际情况并结合了秦岭生态环境重点保护区的要求，从环保角度分析管网选线及布置合理。</w:t>
            </w:r>
          </w:p>
          <w:p w14:paraId="774E68D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cs="Times New Roman"/>
                <w:b/>
                <w:bCs/>
                <w:vanish w:val="0"/>
                <w:color w:val="000000" w:themeColor="text1"/>
                <w:kern w:val="2"/>
                <w:sz w:val="21"/>
                <w:szCs w:val="24"/>
                <w:lang w:val="en-US" w:eastAsia="zh-CN" w:bidi="ar-SA"/>
                <w14:textFill>
                  <w14:solidFill>
                    <w14:schemeClr w14:val="tx1"/>
                  </w14:solidFill>
                </w14:textFill>
              </w:rPr>
              <w:t>9</w:t>
            </w: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、穿越工程</w:t>
            </w:r>
          </w:p>
          <w:p w14:paraId="636240B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1</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）穿越公路</w:t>
            </w:r>
          </w:p>
          <w:p w14:paraId="74A65A0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工程穿越一般乡村水泥路面采用直立开挖过路方案；穿越县级以上道路或燃气管道，不具备开挖条件段，采用水平钻施工方案；穿越过桥跨河段，利用槽钢将管道固定于桥身上，管道悬挂于桥梁一侧，并采取隔热材料防护；管道过路、过沟段均要外加较管径大两个等级的钢套管。</w:t>
            </w:r>
          </w:p>
          <w:p w14:paraId="38C5B6C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cs="Times New Roman"/>
                <w:vanish w:val="0"/>
                <w:color w:val="000000" w:themeColor="text1"/>
                <w:kern w:val="2"/>
                <w:sz w:val="21"/>
                <w:szCs w:val="24"/>
                <w:lang w:val="en-US" w:eastAsia="zh-CN" w:bidi="ar-SA"/>
                <w14:textFill>
                  <w14:solidFill>
                    <w14:schemeClr w14:val="tx1"/>
                  </w14:solidFill>
                </w14:textFill>
              </w:rPr>
              <w:t>（2）穿越</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输气管道工程</w:t>
            </w:r>
          </w:p>
          <w:p w14:paraId="4362930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本工程沿线共计5次穿过宝-汉输气管线（DN300钢管），工程供水管线与燃气管道平行敷设时，最小水平净距取2.0m，与燃气管道交叉敷设时，从燃气管道下方穿过，采用大开挖施工方案，垂直净距取2.5m</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，施工完成后进行恢复。</w:t>
            </w:r>
          </w:p>
          <w:p w14:paraId="63E80D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2</w:t>
            </w: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 xml:space="preserve">）穿越河道 </w:t>
            </w:r>
          </w:p>
          <w:p w14:paraId="42169BB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本工程沿线共计2次跨越河道，分别为大沙沟、路平沟，跨河处建有跨河桥梁。考虑施工难度及造价，设计采用供水管道搭载桥梁过河的方案，即通过支架将管道固定于桥身上，悬挂于桥梁一侧，对行车、行人无影响。</w:t>
            </w:r>
          </w:p>
          <w:p w14:paraId="2B28A4B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vanish w:val="0"/>
                <w:color w:val="000000" w:themeColor="text1"/>
                <w14:textFill>
                  <w14:solidFill>
                    <w14:schemeClr w14:val="tx1"/>
                  </w14:solidFill>
                </w14:textFill>
              </w:rPr>
            </w:pPr>
            <w:r>
              <w:rPr>
                <w:vanish w:val="0"/>
                <w:color w:val="000000" w:themeColor="text1"/>
                <w14:textFill>
                  <w14:solidFill>
                    <w14:schemeClr w14:val="tx1"/>
                  </w14:solidFill>
                </w14:textFill>
              </w:rPr>
              <w:drawing>
                <wp:inline distT="0" distB="0" distL="114300" distR="114300">
                  <wp:extent cx="4865370" cy="2705735"/>
                  <wp:effectExtent l="0" t="0" r="11430" b="18415"/>
                  <wp:docPr id="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pic:cNvPicPr>
                            <a:picLocks noChangeAspect="1"/>
                          </pic:cNvPicPr>
                        </pic:nvPicPr>
                        <pic:blipFill>
                          <a:blip r:embed="rId15"/>
                          <a:stretch>
                            <a:fillRect/>
                          </a:stretch>
                        </pic:blipFill>
                        <pic:spPr>
                          <a:xfrm>
                            <a:off x="0" y="0"/>
                            <a:ext cx="4865370" cy="2705735"/>
                          </a:xfrm>
                          <a:prstGeom prst="rect">
                            <a:avLst/>
                          </a:prstGeom>
                          <a:noFill/>
                          <a:ln>
                            <a:noFill/>
                          </a:ln>
                        </pic:spPr>
                      </pic:pic>
                    </a:graphicData>
                  </a:graphic>
                </wp:inline>
              </w:drawing>
            </w:r>
          </w:p>
          <w:p w14:paraId="259AE4E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center"/>
              <w:textAlignment w:val="auto"/>
              <w:rPr>
                <w:rFonts w:hint="default" w:eastAsia="宋体"/>
                <w:b/>
                <w:bCs/>
                <w:vanish w:val="0"/>
                <w:color w:val="000000" w:themeColor="text1"/>
                <w:lang w:val="en-US" w:eastAsia="zh-CN"/>
                <w14:textFill>
                  <w14:solidFill>
                    <w14:schemeClr w14:val="tx1"/>
                  </w14:solidFill>
                </w14:textFill>
              </w:rPr>
            </w:pPr>
            <w:r>
              <w:rPr>
                <w:rFonts w:hint="eastAsia"/>
                <w:b/>
                <w:bCs/>
                <w:vanish w:val="0"/>
                <w:color w:val="000000" w:themeColor="text1"/>
                <w:lang w:val="en-US" w:eastAsia="zh-CN"/>
                <w14:textFill>
                  <w14:solidFill>
                    <w14:schemeClr w14:val="tx1"/>
                  </w14:solidFill>
                </w14:textFill>
              </w:rPr>
              <w:t>图2-2   管道过桥跨河支架设计图</w:t>
            </w:r>
          </w:p>
          <w:p w14:paraId="0F4327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1</w:t>
            </w:r>
            <w:r>
              <w:rPr>
                <w:rFonts w:hint="eastAsia" w:cs="Times New Roman"/>
                <w:b/>
                <w:bCs/>
                <w:vanish w:val="0"/>
                <w:color w:val="000000" w:themeColor="text1"/>
                <w:kern w:val="2"/>
                <w:sz w:val="21"/>
                <w:szCs w:val="24"/>
                <w:lang w:val="en-US" w:eastAsia="zh-CN" w:bidi="ar-SA"/>
                <w14:textFill>
                  <w14:solidFill>
                    <w14:schemeClr w14:val="tx1"/>
                  </w14:solidFill>
                </w14:textFill>
              </w:rPr>
              <w:t>0</w:t>
            </w: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、横纵断面设计</w:t>
            </w:r>
          </w:p>
          <w:p w14:paraId="68B4869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（1）纵断面设计</w:t>
            </w:r>
          </w:p>
          <w:p w14:paraId="592F874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输配水管线管道坡度基本与地面一致，在地面局部起伏大的地方应保证管道的坡比平顺。管道管顶覆土厚度要求不小于冻土深度，管道穿越农田时不小于耕作层深度，本次工程设计按不小于1.0m考虑。管道采取开挖法施工，纵向穿越小沟道的埋深适当加大，以满足冲刷要求，与其他建筑物交叉时，应满足相应行业净距要求。</w:t>
            </w:r>
          </w:p>
          <w:p w14:paraId="3069BE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（2）横断面设计</w:t>
            </w:r>
          </w:p>
          <w:p w14:paraId="588D32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输配水管道开挖边坡比为1:0.75，管床基础采用0.3m厚基础良好的砂砾石，管槽宽度为管道外径向两侧加 DN+0.3m，基底至管顶0.5m范围以上，压实系数不小于0.95，其余不小于0.90，管顶正上方为0.85±2%。管沟回填土采用原土回填，需对原状土中石块、泥块、碎砖等杂物进行清除。</w:t>
            </w:r>
          </w:p>
          <w:p w14:paraId="14192417">
            <w:pPr>
              <w:keepNext w:val="0"/>
              <w:keepLines w:val="0"/>
              <w:pageBreakBefore w:val="0"/>
              <w:widowControl w:val="0"/>
              <w:kinsoku/>
              <w:wordWrap/>
              <w:overflowPunct/>
              <w:topLinePunct w:val="0"/>
              <w:autoSpaceDE/>
              <w:autoSpaceDN/>
              <w:bidi w:val="0"/>
              <w:adjustRightInd w:val="0"/>
              <w:snapToGrid w:val="0"/>
              <w:spacing w:line="360" w:lineRule="auto"/>
              <w:textAlignment w:val="auto"/>
              <w:rPr>
                <w:vanish w:val="0"/>
                <w:color w:val="000000" w:themeColor="text1"/>
                <w14:textFill>
                  <w14:solidFill>
                    <w14:schemeClr w14:val="tx1"/>
                  </w14:solidFill>
                </w14:textFill>
              </w:rPr>
            </w:pPr>
            <w:r>
              <w:rPr>
                <w:vanish w:val="0"/>
                <w:color w:val="000000" w:themeColor="text1"/>
                <w14:textFill>
                  <w14:solidFill>
                    <w14:schemeClr w14:val="tx1"/>
                  </w14:solidFill>
                </w14:textFill>
              </w:rPr>
              <w:drawing>
                <wp:inline distT="0" distB="0" distL="114300" distR="114300">
                  <wp:extent cx="5409565" cy="2245360"/>
                  <wp:effectExtent l="0" t="0" r="635" b="2540"/>
                  <wp:docPr id="1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0"/>
                          <pic:cNvPicPr>
                            <a:picLocks noChangeAspect="1"/>
                          </pic:cNvPicPr>
                        </pic:nvPicPr>
                        <pic:blipFill>
                          <a:blip r:embed="rId16"/>
                          <a:stretch>
                            <a:fillRect/>
                          </a:stretch>
                        </pic:blipFill>
                        <pic:spPr>
                          <a:xfrm>
                            <a:off x="0" y="0"/>
                            <a:ext cx="5409565" cy="2245360"/>
                          </a:xfrm>
                          <a:prstGeom prst="rect">
                            <a:avLst/>
                          </a:prstGeom>
                          <a:noFill/>
                          <a:ln>
                            <a:noFill/>
                          </a:ln>
                        </pic:spPr>
                      </pic:pic>
                    </a:graphicData>
                  </a:graphic>
                </wp:inline>
              </w:drawing>
            </w:r>
          </w:p>
          <w:p w14:paraId="177D5D7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b/>
                <w:bCs/>
                <w:vanish w:val="0"/>
                <w:color w:val="000000" w:themeColor="text1"/>
                <w:lang w:val="en-US" w:eastAsia="zh-CN"/>
                <w14:textFill>
                  <w14:solidFill>
                    <w14:schemeClr w14:val="tx1"/>
                  </w14:solidFill>
                </w14:textFill>
              </w:rPr>
            </w:pPr>
            <w:r>
              <w:rPr>
                <w:rFonts w:hint="eastAsia"/>
                <w:b/>
                <w:bCs/>
                <w:vanish w:val="0"/>
                <w:color w:val="000000" w:themeColor="text1"/>
                <w:lang w:val="en-US" w:eastAsia="zh-CN"/>
                <w14:textFill>
                  <w14:solidFill>
                    <w14:schemeClr w14:val="tx1"/>
                  </w14:solidFill>
                </w14:textFill>
              </w:rPr>
              <w:t>图2-3   配水管网横断面设计图</w:t>
            </w:r>
          </w:p>
          <w:p w14:paraId="149442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lang w:val="en-US" w:eastAsia="zh-CN"/>
                <w14:textFill>
                  <w14:solidFill>
                    <w14:schemeClr w14:val="tx1"/>
                  </w14:solidFill>
                </w14:textFill>
              </w:rPr>
              <w:t>1</w:t>
            </w:r>
            <w:r>
              <w:rPr>
                <w:rFonts w:hint="eastAsia" w:cs="Times New Roman"/>
                <w:b/>
                <w:bCs/>
                <w:vanish w:val="0"/>
                <w:color w:val="000000" w:themeColor="text1"/>
                <w:lang w:val="en-US" w:eastAsia="zh-CN"/>
                <w14:textFill>
                  <w14:solidFill>
                    <w14:schemeClr w14:val="tx1"/>
                  </w14:solidFill>
                </w14:textFill>
              </w:rPr>
              <w:t>1</w:t>
            </w:r>
            <w:r>
              <w:rPr>
                <w:rFonts w:hint="default" w:ascii="Times New Roman" w:hAnsi="Times New Roman" w:eastAsia="宋体" w:cs="Times New Roman"/>
                <w:b/>
                <w:bCs/>
                <w:vanish w:val="0"/>
                <w:color w:val="000000" w:themeColor="text1"/>
                <w:lang w:val="en-US" w:eastAsia="zh-CN"/>
                <w14:textFill>
                  <w14:solidFill>
                    <w14:schemeClr w14:val="tx1"/>
                  </w14:solidFill>
                </w14:textFill>
              </w:rPr>
              <w:t>、劳动定员和工作制度</w:t>
            </w:r>
          </w:p>
          <w:p w14:paraId="4981A5A4">
            <w:pPr>
              <w:adjustRightInd w:val="0"/>
              <w:snapToGrid w:val="0"/>
              <w:spacing w:line="360" w:lineRule="auto"/>
              <w:ind w:firstLine="420" w:firstLineChars="200"/>
              <w:rPr>
                <w:vanish w:val="0"/>
                <w:color w:val="000000" w:themeColor="text1"/>
                <w14:textFill>
                  <w14:solidFill>
                    <w14:schemeClr w14:val="tx1"/>
                  </w14:solidFill>
                </w14:textFill>
              </w:rPr>
            </w:pPr>
            <w:r>
              <w:rPr>
                <w:rFonts w:hint="eastAsia"/>
                <w:vanish w:val="0"/>
                <w:color w:val="000000" w:themeColor="text1"/>
                <w14:textFill>
                  <w14:solidFill>
                    <w14:schemeClr w14:val="tx1"/>
                  </w14:solidFill>
                </w14:textFill>
              </w:rPr>
              <w:t>本项目</w:t>
            </w:r>
            <w:r>
              <w:rPr>
                <w:rFonts w:hint="eastAsia"/>
                <w:vanish w:val="0"/>
                <w:color w:val="000000" w:themeColor="text1"/>
                <w:lang w:val="en-US" w:eastAsia="zh-CN"/>
                <w14:textFill>
                  <w14:solidFill>
                    <w14:schemeClr w14:val="tx1"/>
                  </w14:solidFill>
                </w14:textFill>
              </w:rPr>
              <w:t>净化水厂设置值班巡检人员6人</w:t>
            </w:r>
            <w:r>
              <w:rPr>
                <w:rFonts w:hint="eastAsia"/>
                <w:vanish w:val="0"/>
                <w:color w:val="000000" w:themeColor="text1"/>
                <w14:textFill>
                  <w14:solidFill>
                    <w14:schemeClr w14:val="tx1"/>
                  </w14:solidFill>
                </w14:textFill>
              </w:rPr>
              <w:t>，</w:t>
            </w:r>
            <w:r>
              <w:rPr>
                <w:vanish w:val="0"/>
                <w:color w:val="000000" w:themeColor="text1"/>
                <w14:textFill>
                  <w14:solidFill>
                    <w14:schemeClr w14:val="tx1"/>
                  </w14:solidFill>
                </w14:textFill>
              </w:rPr>
              <w:t>年工作</w:t>
            </w:r>
            <w:r>
              <w:rPr>
                <w:rFonts w:hint="eastAsia"/>
                <w:vanish w:val="0"/>
                <w:color w:val="000000" w:themeColor="text1"/>
                <w14:textFill>
                  <w14:solidFill>
                    <w14:schemeClr w14:val="tx1"/>
                  </w14:solidFill>
                </w14:textFill>
              </w:rPr>
              <w:t>365</w:t>
            </w:r>
            <w:r>
              <w:rPr>
                <w:vanish w:val="0"/>
                <w:color w:val="000000" w:themeColor="text1"/>
                <w14:textFill>
                  <w14:solidFill>
                    <w14:schemeClr w14:val="tx1"/>
                  </w14:solidFill>
                </w14:textFill>
              </w:rPr>
              <w:t>天，</w:t>
            </w:r>
            <w:r>
              <w:rPr>
                <w:rFonts w:hint="eastAsia"/>
                <w:vanish w:val="0"/>
                <w:color w:val="000000" w:themeColor="text1"/>
                <w:lang w:eastAsia="zh-CN"/>
                <w14:textFill>
                  <w14:solidFill>
                    <w14:schemeClr w14:val="tx1"/>
                  </w14:solidFill>
                </w14:textFill>
              </w:rPr>
              <w:t>实行</w:t>
            </w:r>
            <w:r>
              <w:rPr>
                <w:rFonts w:hint="eastAsia"/>
                <w:vanish w:val="0"/>
                <w:color w:val="000000" w:themeColor="text1"/>
                <w:lang w:val="en-US" w:eastAsia="zh-CN"/>
                <w14:textFill>
                  <w14:solidFill>
                    <w14:schemeClr w14:val="tx1"/>
                  </w14:solidFill>
                </w14:textFill>
              </w:rPr>
              <w:t>三班倒，</w:t>
            </w:r>
            <w:r>
              <w:rPr>
                <w:rFonts w:hint="eastAsia"/>
                <w:vanish w:val="0"/>
                <w:color w:val="000000" w:themeColor="text1"/>
                <w:lang w:eastAsia="zh-CN"/>
                <w14:textFill>
                  <w14:solidFill>
                    <w14:schemeClr w14:val="tx1"/>
                  </w14:solidFill>
                </w14:textFill>
              </w:rPr>
              <w:t>每天</w:t>
            </w:r>
            <w:r>
              <w:rPr>
                <w:rFonts w:hint="eastAsia"/>
                <w:vanish w:val="0"/>
                <w:color w:val="000000" w:themeColor="text1"/>
                <w14:textFill>
                  <w14:solidFill>
                    <w14:schemeClr w14:val="tx1"/>
                  </w14:solidFill>
                </w14:textFill>
              </w:rPr>
              <w:t>单班</w:t>
            </w:r>
            <w:r>
              <w:rPr>
                <w:rFonts w:hint="eastAsia"/>
                <w:vanish w:val="0"/>
                <w:color w:val="000000" w:themeColor="text1"/>
                <w:lang w:val="en-US" w:eastAsia="zh-CN"/>
                <w14:textFill>
                  <w14:solidFill>
                    <w14:schemeClr w14:val="tx1"/>
                  </w14:solidFill>
                </w14:textFill>
              </w:rPr>
              <w:t>8</w:t>
            </w:r>
            <w:r>
              <w:rPr>
                <w:rFonts w:hint="eastAsia"/>
                <w:vanish w:val="0"/>
                <w:color w:val="000000" w:themeColor="text1"/>
                <w14:textFill>
                  <w14:solidFill>
                    <w14:schemeClr w14:val="tx1"/>
                  </w14:solidFill>
                </w14:textFill>
              </w:rPr>
              <w:t>小时</w:t>
            </w:r>
            <w:r>
              <w:rPr>
                <w:vanish w:val="0"/>
                <w:color w:val="000000" w:themeColor="text1"/>
                <w14:textFill>
                  <w14:solidFill>
                    <w14:schemeClr w14:val="tx1"/>
                  </w14:solidFill>
                </w14:textFill>
              </w:rPr>
              <w:t>。</w:t>
            </w:r>
          </w:p>
          <w:p w14:paraId="4C6B7900">
            <w:pPr>
              <w:adjustRightInd w:val="0"/>
              <w:snapToGrid w:val="0"/>
              <w:spacing w:line="360" w:lineRule="auto"/>
              <w:ind w:firstLine="420" w:firstLineChars="200"/>
              <w:rPr>
                <w:vanish w:val="0"/>
                <w:color w:val="000000" w:themeColor="text1"/>
                <w14:textFill>
                  <w14:solidFill>
                    <w14:schemeClr w14:val="tx1"/>
                  </w14:solidFill>
                </w14:textFill>
              </w:rPr>
            </w:pPr>
          </w:p>
          <w:p w14:paraId="267B96BE">
            <w:pPr>
              <w:adjustRightInd w:val="0"/>
              <w:snapToGrid w:val="0"/>
              <w:spacing w:line="360" w:lineRule="auto"/>
              <w:ind w:firstLine="420" w:firstLineChars="200"/>
              <w:rPr>
                <w:vanish w:val="0"/>
                <w:color w:val="000000" w:themeColor="text1"/>
                <w14:textFill>
                  <w14:solidFill>
                    <w14:schemeClr w14:val="tx1"/>
                  </w14:solidFill>
                </w14:textFill>
              </w:rPr>
            </w:pPr>
          </w:p>
          <w:p w14:paraId="541E129F">
            <w:pPr>
              <w:adjustRightInd w:val="0"/>
              <w:snapToGrid w:val="0"/>
              <w:spacing w:line="360" w:lineRule="auto"/>
              <w:ind w:firstLine="420" w:firstLineChars="200"/>
              <w:rPr>
                <w:vanish w:val="0"/>
                <w:color w:val="000000" w:themeColor="text1"/>
                <w14:textFill>
                  <w14:solidFill>
                    <w14:schemeClr w14:val="tx1"/>
                  </w14:solidFill>
                </w14:textFill>
              </w:rPr>
            </w:pPr>
          </w:p>
          <w:p w14:paraId="7727A18F">
            <w:pPr>
              <w:adjustRightInd w:val="0"/>
              <w:snapToGrid w:val="0"/>
              <w:spacing w:line="360" w:lineRule="auto"/>
              <w:ind w:firstLine="420" w:firstLineChars="200"/>
              <w:rPr>
                <w:vanish w:val="0"/>
                <w:color w:val="000000" w:themeColor="text1"/>
                <w14:textFill>
                  <w14:solidFill>
                    <w14:schemeClr w14:val="tx1"/>
                  </w14:solidFill>
                </w14:textFill>
              </w:rPr>
            </w:pPr>
          </w:p>
          <w:p w14:paraId="6DD3CB46">
            <w:pPr>
              <w:adjustRightInd w:val="0"/>
              <w:snapToGrid w:val="0"/>
              <w:spacing w:line="360" w:lineRule="auto"/>
              <w:ind w:firstLine="420" w:firstLineChars="200"/>
              <w:rPr>
                <w:vanish w:val="0"/>
                <w:color w:val="000000" w:themeColor="text1"/>
                <w14:textFill>
                  <w14:solidFill>
                    <w14:schemeClr w14:val="tx1"/>
                  </w14:solidFill>
                </w14:textFill>
              </w:rPr>
            </w:pPr>
          </w:p>
          <w:p w14:paraId="5854B9F8">
            <w:pPr>
              <w:adjustRightInd w:val="0"/>
              <w:snapToGrid w:val="0"/>
              <w:spacing w:line="360" w:lineRule="auto"/>
              <w:ind w:firstLine="420" w:firstLineChars="200"/>
              <w:rPr>
                <w:vanish w:val="0"/>
                <w:color w:val="000000" w:themeColor="text1"/>
                <w14:textFill>
                  <w14:solidFill>
                    <w14:schemeClr w14:val="tx1"/>
                  </w14:solidFill>
                </w14:textFill>
              </w:rPr>
            </w:pPr>
          </w:p>
          <w:p w14:paraId="7202C9A9">
            <w:pPr>
              <w:adjustRightInd w:val="0"/>
              <w:snapToGrid w:val="0"/>
              <w:spacing w:line="360" w:lineRule="auto"/>
              <w:ind w:firstLine="420" w:firstLineChars="200"/>
              <w:rPr>
                <w:vanish w:val="0"/>
                <w:color w:val="000000" w:themeColor="text1"/>
                <w14:textFill>
                  <w14:solidFill>
                    <w14:schemeClr w14:val="tx1"/>
                  </w14:solidFill>
                </w14:textFill>
              </w:rPr>
            </w:pPr>
          </w:p>
          <w:p w14:paraId="677DC8CA">
            <w:pPr>
              <w:adjustRightInd w:val="0"/>
              <w:snapToGrid w:val="0"/>
              <w:spacing w:line="360" w:lineRule="auto"/>
              <w:ind w:firstLine="420" w:firstLineChars="200"/>
              <w:rPr>
                <w:vanish w:val="0"/>
                <w:color w:val="000000" w:themeColor="text1"/>
                <w14:textFill>
                  <w14:solidFill>
                    <w14:schemeClr w14:val="tx1"/>
                  </w14:solidFill>
                </w14:textFill>
              </w:rPr>
            </w:pPr>
          </w:p>
          <w:p w14:paraId="787E05CF">
            <w:pPr>
              <w:adjustRightInd w:val="0"/>
              <w:snapToGrid w:val="0"/>
              <w:spacing w:line="360" w:lineRule="auto"/>
              <w:ind w:firstLine="420" w:firstLineChars="200"/>
              <w:rPr>
                <w:vanish w:val="0"/>
                <w:color w:val="000000" w:themeColor="text1"/>
                <w14:textFill>
                  <w14:solidFill>
                    <w14:schemeClr w14:val="tx1"/>
                  </w14:solidFill>
                </w14:textFill>
              </w:rPr>
            </w:pPr>
          </w:p>
          <w:p w14:paraId="3F562C56">
            <w:pPr>
              <w:adjustRightInd w:val="0"/>
              <w:snapToGrid w:val="0"/>
              <w:spacing w:line="360" w:lineRule="auto"/>
              <w:ind w:firstLine="420" w:firstLineChars="200"/>
              <w:rPr>
                <w:vanish w:val="0"/>
                <w:color w:val="000000" w:themeColor="text1"/>
                <w14:textFill>
                  <w14:solidFill>
                    <w14:schemeClr w14:val="tx1"/>
                  </w14:solidFill>
                </w14:textFill>
              </w:rPr>
            </w:pPr>
          </w:p>
          <w:p w14:paraId="547C25D2">
            <w:pPr>
              <w:adjustRightInd w:val="0"/>
              <w:snapToGrid w:val="0"/>
              <w:spacing w:line="360" w:lineRule="auto"/>
              <w:ind w:firstLine="420" w:firstLineChars="200"/>
              <w:rPr>
                <w:vanish w:val="0"/>
                <w:color w:val="000000" w:themeColor="text1"/>
                <w14:textFill>
                  <w14:solidFill>
                    <w14:schemeClr w14:val="tx1"/>
                  </w14:solidFill>
                </w14:textFill>
              </w:rPr>
            </w:pPr>
          </w:p>
          <w:p w14:paraId="43213B1E">
            <w:pPr>
              <w:adjustRightInd w:val="0"/>
              <w:snapToGrid w:val="0"/>
              <w:spacing w:line="360" w:lineRule="auto"/>
              <w:ind w:firstLine="420" w:firstLineChars="200"/>
              <w:rPr>
                <w:vanish w:val="0"/>
                <w:color w:val="000000" w:themeColor="text1"/>
                <w14:textFill>
                  <w14:solidFill>
                    <w14:schemeClr w14:val="tx1"/>
                  </w14:solidFill>
                </w14:textFill>
              </w:rPr>
            </w:pPr>
          </w:p>
          <w:p w14:paraId="18BEEE35">
            <w:pPr>
              <w:adjustRightInd w:val="0"/>
              <w:snapToGrid w:val="0"/>
              <w:spacing w:line="360" w:lineRule="auto"/>
              <w:ind w:firstLine="420" w:firstLineChars="200"/>
              <w:rPr>
                <w:vanish w:val="0"/>
                <w:color w:val="000000" w:themeColor="text1"/>
                <w14:textFill>
                  <w14:solidFill>
                    <w14:schemeClr w14:val="tx1"/>
                  </w14:solidFill>
                </w14:textFill>
              </w:rPr>
            </w:pPr>
          </w:p>
          <w:p w14:paraId="08128F71">
            <w:pPr>
              <w:adjustRightInd w:val="0"/>
              <w:snapToGrid w:val="0"/>
              <w:spacing w:line="360" w:lineRule="auto"/>
              <w:ind w:firstLine="420" w:firstLineChars="200"/>
              <w:rPr>
                <w:vanish w:val="0"/>
                <w:color w:val="000000" w:themeColor="text1"/>
                <w14:textFill>
                  <w14:solidFill>
                    <w14:schemeClr w14:val="tx1"/>
                  </w14:solidFill>
                </w14:textFill>
              </w:rPr>
            </w:pPr>
          </w:p>
          <w:p w14:paraId="3B6DDF2E">
            <w:pPr>
              <w:adjustRightInd w:val="0"/>
              <w:snapToGrid w:val="0"/>
              <w:spacing w:line="360" w:lineRule="auto"/>
              <w:ind w:firstLine="420" w:firstLineChars="200"/>
              <w:rPr>
                <w:vanish w:val="0"/>
                <w:color w:val="000000" w:themeColor="text1"/>
                <w14:textFill>
                  <w14:solidFill>
                    <w14:schemeClr w14:val="tx1"/>
                  </w14:solidFill>
                </w14:textFill>
              </w:rPr>
            </w:pPr>
          </w:p>
          <w:p w14:paraId="2CA715EF">
            <w:pPr>
              <w:adjustRightInd w:val="0"/>
              <w:snapToGrid w:val="0"/>
              <w:spacing w:line="360" w:lineRule="auto"/>
              <w:ind w:firstLine="420" w:firstLineChars="200"/>
              <w:rPr>
                <w:vanish w:val="0"/>
                <w:color w:val="000000" w:themeColor="text1"/>
                <w14:textFill>
                  <w14:solidFill>
                    <w14:schemeClr w14:val="tx1"/>
                  </w14:solidFill>
                </w14:textFill>
              </w:rPr>
            </w:pPr>
          </w:p>
          <w:p w14:paraId="506B5B19">
            <w:pPr>
              <w:adjustRightInd w:val="0"/>
              <w:snapToGrid w:val="0"/>
              <w:spacing w:line="360" w:lineRule="auto"/>
              <w:ind w:firstLine="420" w:firstLineChars="200"/>
              <w:rPr>
                <w:vanish w:val="0"/>
                <w:color w:val="000000" w:themeColor="text1"/>
                <w14:textFill>
                  <w14:solidFill>
                    <w14:schemeClr w14:val="tx1"/>
                  </w14:solidFill>
                </w14:textFill>
              </w:rPr>
            </w:pPr>
          </w:p>
          <w:p w14:paraId="351FE1AF">
            <w:pPr>
              <w:adjustRightInd w:val="0"/>
              <w:snapToGrid w:val="0"/>
              <w:spacing w:line="360" w:lineRule="auto"/>
              <w:ind w:firstLine="420" w:firstLineChars="200"/>
              <w:rPr>
                <w:vanish w:val="0"/>
                <w:color w:val="000000" w:themeColor="text1"/>
                <w14:textFill>
                  <w14:solidFill>
                    <w14:schemeClr w14:val="tx1"/>
                  </w14:solidFill>
                </w14:textFill>
              </w:rPr>
            </w:pPr>
          </w:p>
          <w:p w14:paraId="0F281A3B">
            <w:pPr>
              <w:adjustRightInd w:val="0"/>
              <w:snapToGrid w:val="0"/>
              <w:spacing w:line="360" w:lineRule="auto"/>
              <w:ind w:firstLine="420" w:firstLineChars="200"/>
              <w:rPr>
                <w:vanish w:val="0"/>
                <w:color w:val="000000" w:themeColor="text1"/>
                <w14:textFill>
                  <w14:solidFill>
                    <w14:schemeClr w14:val="tx1"/>
                  </w14:solidFill>
                </w14:textFill>
              </w:rPr>
            </w:pPr>
          </w:p>
          <w:p w14:paraId="6990990B">
            <w:pPr>
              <w:adjustRightInd w:val="0"/>
              <w:snapToGrid w:val="0"/>
              <w:spacing w:line="360" w:lineRule="auto"/>
              <w:ind w:firstLine="420" w:firstLineChars="200"/>
              <w:rPr>
                <w:vanish w:val="0"/>
                <w:color w:val="000000" w:themeColor="text1"/>
                <w14:textFill>
                  <w14:solidFill>
                    <w14:schemeClr w14:val="tx1"/>
                  </w14:solidFill>
                </w14:textFill>
              </w:rPr>
            </w:pPr>
          </w:p>
          <w:p w14:paraId="7415A120">
            <w:pPr>
              <w:adjustRightInd w:val="0"/>
              <w:snapToGrid w:val="0"/>
              <w:spacing w:line="360" w:lineRule="auto"/>
              <w:ind w:firstLine="420" w:firstLineChars="200"/>
              <w:rPr>
                <w:vanish w:val="0"/>
                <w:color w:val="000000" w:themeColor="text1"/>
                <w14:textFill>
                  <w14:solidFill>
                    <w14:schemeClr w14:val="tx1"/>
                  </w14:solidFill>
                </w14:textFill>
              </w:rPr>
            </w:pPr>
          </w:p>
          <w:p w14:paraId="03607C90">
            <w:pPr>
              <w:adjustRightInd w:val="0"/>
              <w:snapToGrid w:val="0"/>
              <w:spacing w:line="360" w:lineRule="auto"/>
              <w:ind w:firstLine="420" w:firstLineChars="200"/>
              <w:rPr>
                <w:vanish w:val="0"/>
                <w:color w:val="000000" w:themeColor="text1"/>
                <w14:textFill>
                  <w14:solidFill>
                    <w14:schemeClr w14:val="tx1"/>
                  </w14:solidFill>
                </w14:textFill>
              </w:rPr>
            </w:pPr>
          </w:p>
          <w:p w14:paraId="063A60BB">
            <w:pPr>
              <w:adjustRightInd w:val="0"/>
              <w:snapToGrid w:val="0"/>
              <w:spacing w:line="360" w:lineRule="auto"/>
              <w:ind w:firstLine="420" w:firstLineChars="200"/>
              <w:rPr>
                <w:rFonts w:hint="default"/>
                <w:vanish w:val="0"/>
                <w:color w:val="000000" w:themeColor="text1"/>
                <w14:textFill>
                  <w14:solidFill>
                    <w14:schemeClr w14:val="tx1"/>
                  </w14:solidFill>
                </w14:textFill>
              </w:rPr>
            </w:pPr>
          </w:p>
        </w:tc>
      </w:tr>
      <w:tr w14:paraId="7BE4C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jc w:val="center"/>
          <w:hidden/>
        </w:trPr>
        <w:tc>
          <w:tcPr>
            <w:tcW w:w="0" w:type="auto"/>
            <w:noWrap w:val="0"/>
            <w:vAlign w:val="center"/>
          </w:tcPr>
          <w:p w14:paraId="5010B1B1">
            <w:pPr>
              <w:pStyle w:val="20"/>
              <w:adjustRightInd w:val="0"/>
              <w:snapToGrid w:val="0"/>
              <w:spacing w:before="0" w:beforeAutospacing="0" w:after="0" w:afterAutospacing="0"/>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工艺流程和产排污环节</w:t>
            </w:r>
          </w:p>
        </w:tc>
        <w:tc>
          <w:tcPr>
            <w:tcW w:w="0" w:type="auto"/>
            <w:noWrap w:val="0"/>
            <w:vAlign w:val="top"/>
          </w:tcPr>
          <w:p w14:paraId="2B61DF04">
            <w:pPr>
              <w:spacing w:line="360" w:lineRule="auto"/>
              <w:ind w:firstLine="420" w:firstLineChars="200"/>
              <w:rPr>
                <w:rFonts w:hint="default" w:ascii="Times New Roman" w:hAnsi="Times New Roman" w:cs="Times New Roman"/>
                <w:b/>
                <w:bCs/>
                <w:vanish w:val="0"/>
                <w:color w:val="000000" w:themeColor="text1"/>
                <w:lang w:val="en-US" w:eastAsia="zh-CN"/>
                <w14:textFill>
                  <w14:solidFill>
                    <w14:schemeClr w14:val="tx1"/>
                  </w14:solidFill>
                </w14:textFill>
              </w:rPr>
            </w:pPr>
            <w:r>
              <w:rPr>
                <w:rFonts w:hint="eastAsia" w:ascii="Times New Roman" w:hAnsi="Times New Roman" w:cs="Times New Roman"/>
                <w:b/>
                <w:bCs/>
                <w:vanish w:val="0"/>
                <w:color w:val="000000" w:themeColor="text1"/>
                <w:lang w:val="en-US" w:eastAsia="zh-CN"/>
                <w14:textFill>
                  <w14:solidFill>
                    <w14:schemeClr w14:val="tx1"/>
                  </w14:solidFill>
                </w14:textFill>
              </w:rPr>
              <w:t>一、施工期工艺流程</w:t>
            </w:r>
          </w:p>
          <w:p w14:paraId="6222833D">
            <w:pPr>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本项目建设内容包括</w:t>
            </w:r>
            <w:r>
              <w:rPr>
                <w:rFonts w:hint="eastAsia" w:ascii="Times New Roman" w:hAnsi="Times New Roman" w:eastAsia="宋体" w:cs="Times New Roman"/>
                <w:vanish w:val="0"/>
                <w:color w:val="000000" w:themeColor="text1"/>
                <w:lang w:val="en-US" w:eastAsia="zh-CN"/>
                <w14:textFill>
                  <w14:solidFill>
                    <w14:schemeClr w14:val="tx1"/>
                  </w14:solidFill>
                </w14:textFill>
              </w:rPr>
              <w:t>净化水厂的建设</w:t>
            </w:r>
            <w:r>
              <w:rPr>
                <w:rFonts w:hint="default" w:ascii="Times New Roman" w:hAnsi="Times New Roman" w:eastAsia="宋体" w:cs="Times New Roman"/>
                <w:vanish w:val="0"/>
                <w:color w:val="000000" w:themeColor="text1"/>
                <w:lang w:val="en-US" w:eastAsia="zh-CN"/>
                <w14:textFill>
                  <w14:solidFill>
                    <w14:schemeClr w14:val="tx1"/>
                  </w14:solidFill>
                </w14:textFill>
              </w:rPr>
              <w:t>及其</w:t>
            </w:r>
            <w:r>
              <w:rPr>
                <w:rFonts w:hint="eastAsia" w:ascii="Times New Roman" w:hAnsi="Times New Roman" w:eastAsia="宋体" w:cs="Times New Roman"/>
                <w:vanish w:val="0"/>
                <w:color w:val="000000" w:themeColor="text1"/>
                <w:lang w:val="en-US" w:eastAsia="zh-CN"/>
                <w14:textFill>
                  <w14:solidFill>
                    <w14:schemeClr w14:val="tx1"/>
                  </w14:solidFill>
                </w14:textFill>
              </w:rPr>
              <w:t>配</w:t>
            </w:r>
            <w:r>
              <w:rPr>
                <w:rFonts w:hint="default" w:ascii="Times New Roman" w:hAnsi="Times New Roman" w:eastAsia="宋体" w:cs="Times New Roman"/>
                <w:vanish w:val="0"/>
                <w:color w:val="000000" w:themeColor="text1"/>
                <w:lang w:val="en-US" w:eastAsia="zh-CN"/>
                <w14:textFill>
                  <w14:solidFill>
                    <w14:schemeClr w14:val="tx1"/>
                  </w14:solidFill>
                </w14:textFill>
              </w:rPr>
              <w:t>水管网</w:t>
            </w:r>
            <w:r>
              <w:rPr>
                <w:rFonts w:hint="eastAsia" w:ascii="Times New Roman" w:hAnsi="Times New Roman" w:eastAsia="宋体" w:cs="Times New Roman"/>
                <w:vanish w:val="0"/>
                <w:color w:val="000000" w:themeColor="text1"/>
                <w:lang w:val="en-US" w:eastAsia="zh-CN"/>
                <w14:textFill>
                  <w14:solidFill>
                    <w14:schemeClr w14:val="tx1"/>
                  </w14:solidFill>
                </w14:textFill>
              </w:rPr>
              <w:t>及配套设施的建设</w:t>
            </w:r>
            <w:r>
              <w:rPr>
                <w:rFonts w:hint="default" w:ascii="Times New Roman" w:hAnsi="Times New Roman" w:eastAsia="宋体" w:cs="Times New Roman"/>
                <w:vanish w:val="0"/>
                <w:color w:val="000000" w:themeColor="text1"/>
                <w:lang w:val="en-US" w:eastAsia="zh-CN"/>
                <w14:textFill>
                  <w14:solidFill>
                    <w14:schemeClr w14:val="tx1"/>
                  </w14:solidFill>
                </w14:textFill>
              </w:rPr>
              <w:t>。</w:t>
            </w:r>
          </w:p>
          <w:p w14:paraId="2C5DCE01">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1、水厂施工工艺</w:t>
            </w:r>
          </w:p>
          <w:p w14:paraId="4BD360BD">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基础开挖</w:t>
            </w:r>
          </w:p>
          <w:p w14:paraId="6C57E28A">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水厂厂房基础采用自上而下开挖。土石方采用小型挖掘机开挖，开挖渣料采用挖掘机配自卸汽车出渣，厂房基础开挖废渣部分用于回填，其余弃渣就近堆放</w:t>
            </w:r>
          </w:p>
          <w:p w14:paraId="5560E3EB">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碎石基础铺填</w:t>
            </w:r>
          </w:p>
          <w:p w14:paraId="5026DDF3">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基础开挖完成后，进行碎石基础铺填，碎石基础铺填采用小型机械继续拧铺填，铺填后进行碾压。</w:t>
            </w:r>
          </w:p>
          <w:p w14:paraId="369BB7FE">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砼浇筑</w:t>
            </w:r>
          </w:p>
          <w:p w14:paraId="70C3C866">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厂房基础开挖验收合格后，进行基础砼浇筑。砼浇筑主要为基础及板梁等，模板采用小钢模拼装，局部采用木模现场制安，钢筋由人工现场架立绑扎，砼由砼拌和站拌制，采用自卸汽车送至浇筑工作面附近。低处砼由溜槽入仓，圈梁及屋顶盖板等砼采用电动葫芦或简易提升架提升入仓，小型平板振捣器振捣密实。立模、扎筋及砼浇筑需搭设脚手架，形成操作平台。砼拆模后按要求及时养护。</w:t>
            </w:r>
          </w:p>
          <w:p w14:paraId="675EF1EF">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砖砌体砌筑</w:t>
            </w:r>
          </w:p>
          <w:p w14:paraId="613FC963">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砖砌体主要为水厂厂房和管理房建筑墙体。砌筑应在下部基础施工完毕并达到设计强度后开始，砌筑程序为</w:t>
            </w:r>
            <w:r>
              <w:rPr>
                <w:rFonts w:hint="eastAsia"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弹墙边线一立皮树杆一砖浇水一拌制砂浆一排砖一砌筑一验收。砂浆采用人工现场拌制，配合比符合相关规程规范，并搅拌均匀，随拌随用，水泥砂浆应在2h内使用完毕，否则作为废料处理。开始砌筑前，应搭好脚手架，清除上一砌筑层的灰渣、杂物等，并浇水润湿，砌筑时先盘角，每次不得超过三皮砖，随盘随吊线。砌筑应上下错缝，内外搭砌，灰缝应横平竖直，厚薄均匀，厚度为8~12mm，竖向灰缝不得出现透明缝、瞎缝、假缝。施工应满足相关规程规范及设计要求。</w:t>
            </w:r>
          </w:p>
          <w:p w14:paraId="0407EB84">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场内设备安装</w:t>
            </w:r>
          </w:p>
          <w:p w14:paraId="380375AF">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本工程水厂的设备安装应在设备供应商的指导下按规范进行。设备从厂家购买后由汽车运输进场，至安装工作面附近后，小型构件采用葫芦吊装，大型构件采用汽车吊吊装，安装过程须由专业技术人员按设备说明书安装，水处理设备箱体及闸阀等采用人工就位敷设，人工焊接、安装。</w:t>
            </w:r>
          </w:p>
          <w:p w14:paraId="18D6423A">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2、配水管道施工工艺</w:t>
            </w:r>
          </w:p>
          <w:p w14:paraId="69E312ED">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管道施工工艺流程：放线→</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开挖</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基础处理</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基础及镇墩施工</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管道及管件安装</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水压试验</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回填并恢复地表。</w:t>
            </w:r>
          </w:p>
          <w:p w14:paraId="09E29460">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p>
          <w:p w14:paraId="036B2803">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p>
          <w:p w14:paraId="75011A7F">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vanish w:val="0"/>
                <w:color w:val="000000" w:themeColor="text1"/>
                <w:sz w:val="21"/>
                <w:szCs w:val="21"/>
                <w14:textFill>
                  <w14:solidFill>
                    <w14:schemeClr w14:val="tx1"/>
                  </w14:solidFill>
                </w14:textFill>
              </w:rPr>
              <w:drawing>
                <wp:anchor distT="0" distB="0" distL="114300" distR="114300" simplePos="0" relativeHeight="251660288" behindDoc="1" locked="0" layoutInCell="1" allowOverlap="1">
                  <wp:simplePos x="0" y="0"/>
                  <wp:positionH relativeFrom="column">
                    <wp:posOffset>-15875</wp:posOffset>
                  </wp:positionH>
                  <wp:positionV relativeFrom="paragraph">
                    <wp:posOffset>140335</wp:posOffset>
                  </wp:positionV>
                  <wp:extent cx="5259705" cy="518795"/>
                  <wp:effectExtent l="0" t="0" r="17145" b="14605"/>
                  <wp:wrapNone/>
                  <wp:docPr id="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5"/>
                          <pic:cNvPicPr>
                            <a:picLocks noChangeAspect="1"/>
                          </pic:cNvPicPr>
                        </pic:nvPicPr>
                        <pic:blipFill>
                          <a:blip r:embed="rId17"/>
                          <a:stretch>
                            <a:fillRect/>
                          </a:stretch>
                        </pic:blipFill>
                        <pic:spPr>
                          <a:xfrm>
                            <a:off x="0" y="0"/>
                            <a:ext cx="5259705" cy="518795"/>
                          </a:xfrm>
                          <a:prstGeom prst="rect">
                            <a:avLst/>
                          </a:prstGeom>
                          <a:noFill/>
                          <a:ln>
                            <a:noFill/>
                          </a:ln>
                        </pic:spPr>
                      </pic:pic>
                    </a:graphicData>
                  </a:graphic>
                </wp:anchor>
              </w:drawing>
            </w:r>
          </w:p>
          <w:p w14:paraId="041F1F3D">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p>
          <w:p w14:paraId="7581D6BE">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both"/>
              <w:textAlignment w:val="auto"/>
              <w:rPr>
                <w:rFonts w:hint="eastAsia" w:eastAsia="宋体" w:cs="Times New Roman"/>
                <w:b/>
                <w:bCs/>
                <w:vanish w:val="0"/>
                <w:color w:val="000000" w:themeColor="text1"/>
                <w:sz w:val="21"/>
                <w:szCs w:val="21"/>
                <w:highlight w:val="none"/>
                <w:lang w:val="en-US" w:eastAsia="zh-CN"/>
                <w14:textFill>
                  <w14:solidFill>
                    <w14:schemeClr w14:val="tx1"/>
                  </w14:solidFill>
                </w14:textFill>
              </w:rPr>
            </w:pPr>
          </w:p>
          <w:p w14:paraId="56211904">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center"/>
              <w:textAlignment w:val="auto"/>
              <w:rPr>
                <w:rFonts w:hint="default" w:eastAsia="宋体" w:cs="Times New Roman"/>
                <w:b/>
                <w:bCs/>
                <w:vanish w:val="0"/>
                <w:color w:val="000000" w:themeColor="text1"/>
                <w:sz w:val="21"/>
                <w:szCs w:val="21"/>
                <w:highlight w:val="none"/>
                <w:lang w:val="en-US" w:eastAsia="zh-CN"/>
                <w14:textFill>
                  <w14:solidFill>
                    <w14:schemeClr w14:val="tx1"/>
                  </w14:solidFill>
                </w14:textFill>
              </w:rPr>
            </w:pPr>
            <w:r>
              <w:rPr>
                <w:rFonts w:hint="eastAsia" w:eastAsia="宋体" w:cs="Times New Roman"/>
                <w:b/>
                <w:bCs/>
                <w:vanish w:val="0"/>
                <w:color w:val="000000" w:themeColor="text1"/>
                <w:sz w:val="21"/>
                <w:szCs w:val="21"/>
                <w:highlight w:val="none"/>
                <w:lang w:val="en-US" w:eastAsia="zh-CN"/>
                <w14:textFill>
                  <w14:solidFill>
                    <w14:schemeClr w14:val="tx1"/>
                  </w14:solidFill>
                </w14:textFill>
              </w:rPr>
              <w:t>图2-4    管道施工工艺流程图</w:t>
            </w:r>
          </w:p>
          <w:p w14:paraId="4FBBB895">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沟槽开挖 </w:t>
            </w:r>
          </w:p>
          <w:p w14:paraId="1A45B9C5">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管沟开挖主管线采用机械开挖为主，辅以人工的施工方法（机械80%，人工20%）。沟槽上部采用1m</w:t>
            </w:r>
            <w:r>
              <w:rPr>
                <w:rFonts w:hint="default"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液压挖掘机开挖，表土和弃土堆于沟槽两侧，沟底修整及底部保护层由人工完成</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开挖沟槽同时安装管道，如有局部超挖，应以同类土回填。管沟回填采用推土机回填为主，辅以人工的施工方法（机械 80%，人工20%），要求回填到接近天然密实度。表土单独堆放，分层开挖，分别堆放，反序回填，表土用于生态恢复，覆土绿植。 </w:t>
            </w:r>
          </w:p>
          <w:p w14:paraId="151D4527">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①沟槽底部20cm以内用人工开挖，尽量不扰动设计沟底标高以下的原状土，进行整平。 </w:t>
            </w:r>
          </w:p>
          <w:p w14:paraId="5A06CCB4">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②沟底遇大颗粒石块，应将其开挖至设计标高以下0.20m，再用粗砂或软土夯实至沟底设计标高。</w:t>
            </w:r>
          </w:p>
          <w:p w14:paraId="2123D3DE">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③挖土超挖在15cm以内且无地下水时，可用原状土回填夯实，密实度为95%；沟底遇地下水时，采用砂夹石回填。 </w:t>
            </w:r>
          </w:p>
          <w:p w14:paraId="7BBD8331">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④沟底要求连续平整，沟底表面不得有碎石、硬块和其他突出物。 </w:t>
            </w:r>
          </w:p>
          <w:p w14:paraId="20D0DF8D">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eastAsia="宋体" w:cs="Times New Roman"/>
                <w:vanish w:val="0"/>
                <w:color w:val="000000" w:themeColor="text1"/>
                <w:sz w:val="21"/>
                <w:szCs w:val="21"/>
                <w:highlight w:val="none"/>
                <w:lang w:val="en-US" w:eastAsia="zh-CN"/>
                <w14:textFill>
                  <w14:solidFill>
                    <w14:schemeClr w14:val="tx1"/>
                  </w14:solidFill>
                </w14:textFill>
              </w:rPr>
              <w:t>⑤</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在深沟内挖土施工时，要注意沟壁的稳定情况，所有人员不得在沟内坐卧、休息，要在沟上设专人监视，并采取措施，防止塌方伤人。 </w:t>
            </w:r>
          </w:p>
          <w:p w14:paraId="1B24AB6F">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⑥采用机械挖掘时，为保证不破坏基底土的结构，应在基底标高以上预留一层用人工清理。使用拉铲、正铲或反铲施工时，应保留30cm厚土层不挖。待下一工序开始前挖除。 </w:t>
            </w:r>
          </w:p>
          <w:p w14:paraId="79D25A37">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⑦尽量将堆表土和开挖土于沟槽两侧1m内，沟槽开挖宽，2.5m-3m，管线施工的作业带宽度 4.5-5m，尽可能减少施工期扰动范围。 </w:t>
            </w:r>
          </w:p>
          <w:p w14:paraId="517F62FD">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⑧在电杆、变压器附近堆土时，其堆土高度要考虑到距电线的安全距离。</w:t>
            </w:r>
          </w:p>
          <w:p w14:paraId="1D87F737">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（2）管道安装</w:t>
            </w:r>
          </w:p>
          <w:p w14:paraId="308A8EB7">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①根据管径大小、沟槽和施工机具装备情况，确定人工或机械将管道放入</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沟槽。下管时要采用可靠的软带吊具，平稳下沟，不得在沟壁与沟底激烈碰撞，以防管道损坏。同一批次的产品下管时注意按厂家提供的管段编号顺序下管。 </w:t>
            </w:r>
          </w:p>
          <w:p w14:paraId="367B04C5">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②</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待用的管材按产品标准逐支进行质量检验，不符合标准不使用，并做好记号，另行处理。</w:t>
            </w:r>
          </w:p>
          <w:p w14:paraId="5F6F6FED">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③管材现场由人工搬运，搬运时轻抬轻放。 </w:t>
            </w:r>
          </w:p>
          <w:p w14:paraId="4007BD7F">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④</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下管前，凡规定需进行管道变形检测的断面管材，预先量出该断面管道的实际直径并做出记号。 </w:t>
            </w:r>
          </w:p>
          <w:p w14:paraId="173B379C">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⑤</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下管用人工或起重机吊装进行。人工下管时，由地面人员将管材传递给沟槽内的施工人员，对放坡开挖的沟槽也可用非金属绳系住管身两端，保持管身平衡均匀溜放至沟槽内，严禁将管材由槽顶边滚入槽内；起重机下管吊装时，用非金属绳索扣系住，不串心吊装。 </w:t>
            </w:r>
          </w:p>
          <w:p w14:paraId="5AC7E25A">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⑥</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大径塑管主要采用机械装卸，装卸时应采用柔韧性好的皮带、吊带或吊绳进行安装，不得采用钢丝绳和链条来装卸或运输管道。 </w:t>
            </w:r>
          </w:p>
          <w:p w14:paraId="01C29FD2">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⑦</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管道装卸时应采用两个支撑吊点，其两支撑吊点位置宜放在管长的四分点一处，以保持管道稳定。 </w:t>
            </w:r>
          </w:p>
          <w:p w14:paraId="0F559E84">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⑧</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在管道装卸过程中应防止管道撞击或摔跌，尤其应注意对管端保护，如有擦伤应及时与厂方联系，以便妥善处理。 </w:t>
            </w:r>
          </w:p>
          <w:p w14:paraId="21BE49D0">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⑨输水管线、配水干线混凝土采用商品砼，砼罐车运输到场，人工推双胶轮车运输，人工入仓，插入式振捣器振捣，插入式振捣器振捣。管道采用</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PE</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管材主要采用 PE 管、钢丝网骨架复合管、涂塑钢管，</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自卸汽车运至工区，机动翻斗车运至施工点，人工安装。</w:t>
            </w:r>
          </w:p>
          <w:p w14:paraId="353A87DE">
            <w:pPr>
              <w:keepNext w:val="0"/>
              <w:keepLines w:val="0"/>
              <w:pageBreakBefore w:val="0"/>
              <w:widowControl w:val="0"/>
              <w:numPr>
                <w:ilvl w:val="0"/>
                <w:numId w:val="1"/>
              </w:numPr>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闭水实验、</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沟槽回填 </w:t>
            </w:r>
          </w:p>
          <w:p w14:paraId="3AEEDFD9">
            <w:pPr>
              <w:keepNext w:val="0"/>
              <w:keepLines w:val="0"/>
              <w:pageBreakBefore w:val="0"/>
              <w:widowControl w:val="0"/>
              <w:tabs>
                <w:tab w:val="left" w:pos="3434"/>
              </w:tabs>
              <w:kinsoku/>
              <w:wordWrap/>
              <w:overflowPunct/>
              <w:topLinePunct/>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检查验收合格后，沟槽内无积水，进行管道闭水试验。管道进行闭水试验验收合格后，及时进行沟槽回填。管线土石方回填采用人工斗车运料、平料，蛙式打夯机夯实。回填具体步骤为：</w:t>
            </w:r>
          </w:p>
          <w:p w14:paraId="458045EE">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①</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管道铺设完毕应尽快回填，回填时间应选在一昼夜气温最低的时间段，底部回填土中不应含有砾石、冻土块及其他杂硬物体。 </w:t>
            </w:r>
          </w:p>
          <w:p w14:paraId="0D7CE424">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②</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沟底部一次回填高度宜为 0.15m，压实后再回填第二层，直到回填至沟深0.8m 处。 </w:t>
            </w:r>
          </w:p>
          <w:p w14:paraId="689D4F53">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③管道接口前后 0.20m 范围内不得回填，以便观察试压时事故情况。 </w:t>
            </w:r>
          </w:p>
          <w:p w14:paraId="5F7F5A5D">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④管道试压合格后的大面积回填，宜在管道充满水的情况下进行，机械回填时要从</w:t>
            </w:r>
            <w:r>
              <w:rPr>
                <w:rFonts w:hint="eastAsia" w:eastAsia="宋体" w:cs="Times New Roman"/>
                <w:vanish w:val="0"/>
                <w:color w:val="000000" w:themeColor="text1"/>
                <w:sz w:val="21"/>
                <w:szCs w:val="21"/>
                <w:highlight w:val="none"/>
                <w:lang w:val="en-US" w:eastAsia="zh-CN"/>
                <w14:textFill>
                  <w14:solidFill>
                    <w14:schemeClr w14:val="tx1"/>
                  </w14:solidFill>
                </w14:textFill>
              </w:rPr>
              <w:t>管道</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的两侧回填，机械不得在管道上行驶。 </w:t>
            </w:r>
          </w:p>
          <w:p w14:paraId="47063FB0">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⑤回填后做好路面的修复工作，包括硬化人行道和沥青路面。 </w:t>
            </w:r>
          </w:p>
          <w:p w14:paraId="245CDC05">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⑥由于管沟开挖深度较深，管沟开挖时要特别注意人身安全，个别易塌地段要根据需要增加支护措施，以防不测。 </w:t>
            </w:r>
          </w:p>
          <w:p w14:paraId="73ED7B16">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⑦雨季施工要及时排除沟槽积水，防止管道漂浮。管道回填土中不能夹有石块、砖块、草皮、树根等杂物。 </w:t>
            </w:r>
          </w:p>
          <w:p w14:paraId="75E99FC1">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⑧表土单独堆放，分层开挖，分别堆放，反序回填，表土用于生态恢复，覆土绿植。 </w:t>
            </w:r>
          </w:p>
          <w:p w14:paraId="2E408C72">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3、附属工程施工工艺</w:t>
            </w:r>
          </w:p>
          <w:p w14:paraId="0B517ED8">
            <w:pPr>
              <w:numPr>
                <w:ilvl w:val="0"/>
                <w:numId w:val="0"/>
              </w:numPr>
              <w:spacing w:line="360" w:lineRule="auto"/>
              <w:ind w:firstLine="420" w:firstLineChars="200"/>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新建</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清</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水池1座</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00m</w:t>
            </w:r>
            <w:r>
              <w:rPr>
                <w:rFonts w:hint="eastAsia" w:cs="Times New Roman"/>
                <w:vanish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20</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m</w:t>
            </w:r>
            <w:r>
              <w:rPr>
                <w:rFonts w:hint="eastAsia" w:cs="Times New Roman"/>
                <w:vanish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减压池1座、50</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m</w:t>
            </w:r>
            <w:r>
              <w:rPr>
                <w:rFonts w:hint="eastAsia" w:cs="Times New Roman"/>
                <w:vanish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减压池2座、100</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m</w:t>
            </w:r>
            <w:r>
              <w:rPr>
                <w:rFonts w:hint="eastAsia" w:cs="Times New Roman"/>
                <w:vanish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减压池1座，</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均采用钢筋混凝土结构。</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水池施工工艺：</w:t>
            </w:r>
          </w:p>
          <w:p w14:paraId="5C7B7FD4">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基础开挖 （夯、填）</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mc:AlternateContent>
                <mc:Choice Requires="wps">
                  <w:drawing>
                    <wp:inline distT="0" distB="0" distL="114300" distR="114300">
                      <wp:extent cx="325120" cy="635"/>
                      <wp:effectExtent l="0" t="24765" r="17780" b="31750"/>
                      <wp:docPr id="4" name="直线 59"/>
                      <wp:cNvGraphicFramePr/>
                      <a:graphic xmlns:a="http://schemas.openxmlformats.org/drawingml/2006/main">
                        <a:graphicData uri="http://schemas.microsoft.com/office/word/2010/wordprocessingShape">
                          <wps:wsp>
                            <wps:cNvCnPr/>
                            <wps:spPr>
                              <a:xfrm>
                                <a:off x="0" y="0"/>
                                <a:ext cx="325120" cy="635"/>
                              </a:xfrm>
                              <a:prstGeom prst="line">
                                <a:avLst/>
                              </a:prstGeom>
                              <a:ln w="9525" cap="flat" cmpd="sng">
                                <a:solidFill>
                                  <a:srgbClr val="000000"/>
                                </a:solidFill>
                                <a:prstDash val="solid"/>
                                <a:headEnd type="none" w="med" len="med"/>
                                <a:tailEnd type="triangle" w="sm" len="lg"/>
                              </a:ln>
                            </wps:spPr>
                            <wps:bodyPr upright="1"/>
                          </wps:wsp>
                        </a:graphicData>
                      </a:graphic>
                    </wp:inline>
                  </w:drawing>
                </mc:Choice>
                <mc:Fallback>
                  <w:pict>
                    <v:line id="直线 59" o:spid="_x0000_s1026" o:spt="20" style="height:0.05pt;width:25.6pt;" filled="f" stroked="t" coordsize="21600,21600" o:gfxdata="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39IAn0wAAAAEBAAAPAAAAAAAAAAEAIAAAACIAAABkcnMvZG93bnJldi54bWxQSwECFAAUAAAA&#10;CACHTuJAsyTvRPMBAADfAwAADgAAAAAAAAABACAAAAAiAQAAZHJzL2Uyb0RvYy54bWxQSwUGAAAA&#10;AAYABgBZAQAAhwUAAAAA&#10;">
                      <v:fill on="f" focussize="0,0"/>
                      <v:stroke color="#000000" joinstyle="round" endarrow="block" endarrowwidth="narrow" endarrowlength="long"/>
                      <v:imagedata o:title=""/>
                      <o:lock v:ext="edit" aspectratio="f"/>
                      <w10:wrap type="none"/>
                      <w10:anchorlock/>
                    </v:line>
                  </w:pict>
                </mc:Fallback>
              </mc:AlternateConten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 砌体砌筑或混凝土浇筑</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mc:AlternateContent>
                <mc:Choice Requires="wps">
                  <w:drawing>
                    <wp:inline distT="0" distB="0" distL="114300" distR="114300">
                      <wp:extent cx="325120" cy="635"/>
                      <wp:effectExtent l="0" t="24765" r="17780" b="31750"/>
                      <wp:docPr id="5" name="直线 48"/>
                      <wp:cNvGraphicFramePr/>
                      <a:graphic xmlns:a="http://schemas.openxmlformats.org/drawingml/2006/main">
                        <a:graphicData uri="http://schemas.microsoft.com/office/word/2010/wordprocessingShape">
                          <wps:wsp>
                            <wps:cNvCnPr/>
                            <wps:spPr>
                              <a:xfrm>
                                <a:off x="0" y="0"/>
                                <a:ext cx="325120" cy="635"/>
                              </a:xfrm>
                              <a:prstGeom prst="line">
                                <a:avLst/>
                              </a:prstGeom>
                              <a:ln w="9525" cap="flat" cmpd="sng">
                                <a:solidFill>
                                  <a:srgbClr val="000000"/>
                                </a:solidFill>
                                <a:prstDash val="solid"/>
                                <a:headEnd type="none" w="med" len="med"/>
                                <a:tailEnd type="triangle" w="sm" len="lg"/>
                              </a:ln>
                            </wps:spPr>
                            <wps:bodyPr upright="1"/>
                          </wps:wsp>
                        </a:graphicData>
                      </a:graphic>
                    </wp:inline>
                  </w:drawing>
                </mc:Choice>
                <mc:Fallback>
                  <w:pict>
                    <v:line id="直线 48" o:spid="_x0000_s1026" o:spt="20" style="height:0.05pt;width:25.6pt;" filled="f" stroked="t" coordsize="21600,21600" o:gfxdata="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39IAn0wAAAAEBAAAPAAAAAAAAAAEAIAAAACIAAABkcnMvZG93bnJldi54bWxQSwECFAAUAAAA&#10;CACHTuJABvwE+fMBAADfAwAADgAAAAAAAAABACAAAAAiAQAAZHJzL2Uyb0RvYy54bWxQSwUGAAAA&#10;AAYABgBZAQAAhwUAAAAA&#10;">
                      <v:fill on="f" focussize="0,0"/>
                      <v:stroke color="#000000" joinstyle="round" endarrow="block" endarrowwidth="narrow" endarrowlength="long"/>
                      <v:imagedata o:title=""/>
                      <o:lock v:ext="edit" aspectratio="f"/>
                      <w10:wrap type="none"/>
                      <w10:anchorlock/>
                    </v:line>
                  </w:pict>
                </mc:Fallback>
              </mc:AlternateConten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场地清理。</w:t>
            </w:r>
          </w:p>
          <w:p w14:paraId="7BE4DE1E">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instrText xml:space="preserve"> = 1 \* GB3 \* MERGEFORMAT </w:instrTex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①</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fldChar w:fldCharType="end"/>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植被清理、定位放线</w:t>
            </w:r>
          </w:p>
          <w:p w14:paraId="3F25678D">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清理开挖区域内的作物、杂草、树根、垃圾等其他障碍物，主体工程施工场地地表的植被清理后。委托有资质的测量单位按照设计部门提供的资料进行施工放线，放线结束后，方可进行开挖工程。</w:t>
            </w:r>
          </w:p>
          <w:p w14:paraId="78FC1D95">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②土方开挖</w:t>
            </w:r>
          </w:p>
          <w:p w14:paraId="35552A0C">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土方开挖采用2.0～3.0m</w:t>
            </w:r>
            <w:r>
              <w:rPr>
                <w:rFonts w:hint="default"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反铲挖掘机，装10t自卸汽车运输，部分可利用土方就近堆存，或直接用于回填，其余运至垃圾填埋场。石方开挖采用手风钻钻孔，小药量爆破，弃渣用10～20t自卸汽车运至弃渣场。</w:t>
            </w:r>
          </w:p>
          <w:p w14:paraId="15035827">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③</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砼施工</w:t>
            </w:r>
          </w:p>
          <w:p w14:paraId="31C5BC46">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池体施工前需对坝址进行基础防渗处理。蓄水池底部采用复合土工膜进行防渗。做好基础防渗后，</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采用人工绑扎钢筋和架立模板，砼采用小型搅拌机</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拌合</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6m</w:t>
            </w:r>
            <w:r>
              <w:rPr>
                <w:rFonts w:hint="default" w:ascii="Times New Roman" w:hAnsi="Times New Roman" w:eastAsia="宋体" w:cs="Times New Roman"/>
                <w:vanish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砼搅拌车运输，砼泵送入仓，2.2kW插入式振捣器振捣。浇筑完成后，人工洒水进行养护。 </w:t>
            </w:r>
          </w:p>
          <w:p w14:paraId="3F3FC0FC">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④</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 xml:space="preserve">设备安装 </w:t>
            </w:r>
          </w:p>
          <w:p w14:paraId="1662CA09">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机电设备、金结及电气设备安装施工采用人工配合桥式吊车</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10～25t起重机吊装就位、焊接及安装。</w:t>
            </w:r>
          </w:p>
          <w:p w14:paraId="551ED0CA">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eastAsia"/>
                <w:b/>
                <w:bCs/>
                <w:vanish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4、</w:t>
            </w:r>
            <w:r>
              <w:rPr>
                <w:rFonts w:hint="eastAsia"/>
                <w:b/>
                <w:bCs/>
                <w:vanish w:val="0"/>
                <w:color w:val="000000" w:themeColor="text1"/>
                <w:highlight w:val="none"/>
                <w:lang w:val="en-US" w:eastAsia="zh-CN"/>
                <w14:textFill>
                  <w14:solidFill>
                    <w14:schemeClr w14:val="tx1"/>
                  </w14:solidFill>
                </w14:textFill>
              </w:rPr>
              <w:t>施工时序：</w:t>
            </w:r>
          </w:p>
          <w:p w14:paraId="3FF73504">
            <w:pPr>
              <w:spacing w:line="360" w:lineRule="auto"/>
              <w:ind w:firstLine="420" w:firstLineChars="200"/>
              <w:rPr>
                <w:rFonts w:hint="eastAsia"/>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主体工程施工工期8个月，具体安排如下：</w:t>
            </w:r>
          </w:p>
          <w:p w14:paraId="2AD22099">
            <w:pPr>
              <w:spacing w:line="360" w:lineRule="auto"/>
              <w:ind w:firstLine="420" w:firstLineChars="200"/>
              <w:rPr>
                <w:rFonts w:hint="eastAsia"/>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instrText xml:space="preserve"> = 1 \* GB3 \* MERGEFORMAT </w:instrTex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①</w:t>
            </w: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fldChar w:fldCharType="end"/>
            </w:r>
            <w:r>
              <w:rPr>
                <w:rFonts w:hint="eastAsia"/>
                <w:vanish w:val="0"/>
                <w:color w:val="000000" w:themeColor="text1"/>
                <w:lang w:val="en-US" w:eastAsia="zh-CN"/>
                <w14:textFill>
                  <w14:solidFill>
                    <w14:schemeClr w14:val="tx1"/>
                  </w14:solidFill>
                </w14:textFill>
              </w:rPr>
              <w:t>6月~10月，完成水厂场地平整，土石方开挖，厂房浇筑，水厂内设备调试安装等。</w:t>
            </w:r>
          </w:p>
          <w:p w14:paraId="44B0C9F6">
            <w:pPr>
              <w:spacing w:line="360" w:lineRule="auto"/>
              <w:ind w:firstLine="420" w:firstLineChars="200"/>
              <w:rPr>
                <w:rFonts w:hint="eastAsia"/>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②</w:t>
            </w:r>
            <w:r>
              <w:rPr>
                <w:rFonts w:hint="eastAsia"/>
                <w:vanish w:val="0"/>
                <w:color w:val="000000" w:themeColor="text1"/>
                <w:lang w:val="en-US" w:eastAsia="zh-CN"/>
                <w14:textFill>
                  <w14:solidFill>
                    <w14:schemeClr w14:val="tx1"/>
                  </w14:solidFill>
                </w14:textFill>
              </w:rPr>
              <w:t>10月~第二年2月，完成输配水管线的开挖、埋设和回填，沿线水池、管道附属建筑物的施工等。</w:t>
            </w:r>
          </w:p>
          <w:p w14:paraId="4DACC012">
            <w:pPr>
              <w:spacing w:line="360" w:lineRule="auto"/>
              <w:ind w:firstLine="420" w:firstLineChars="200"/>
              <w:rPr>
                <w:rFonts w:hint="default" w:ascii="Times New Roman" w:hAnsi="Times New Roman" w:cs="Times New Roman"/>
                <w:vanish w:val="0"/>
                <w:color w:val="000000" w:themeColor="text1"/>
                <w:lang w:val="en-US" w:eastAsia="zh-CN"/>
                <w14:textFill>
                  <w14:solidFill>
                    <w14:schemeClr w14:val="tx1"/>
                  </w14:solidFill>
                </w14:textFill>
              </w:rPr>
            </w:pPr>
            <w:r>
              <w:rPr>
                <w:rFonts w:hint="eastAsia" w:ascii="Times New Roman" w:hAnsi="Times New Roman" w:cs="Times New Roman"/>
                <w:b/>
                <w:bCs/>
                <w:vanish w:val="0"/>
                <w:color w:val="000000" w:themeColor="text1"/>
                <w:lang w:val="en-US" w:eastAsia="zh-CN"/>
                <w14:textFill>
                  <w14:solidFill>
                    <w14:schemeClr w14:val="tx1"/>
                  </w14:solidFill>
                </w14:textFill>
              </w:rPr>
              <w:t>二</w:t>
            </w:r>
            <w:r>
              <w:rPr>
                <w:rFonts w:hint="default" w:ascii="Times New Roman" w:hAnsi="Times New Roman" w:cs="Times New Roman"/>
                <w:b/>
                <w:bCs/>
                <w:vanish w:val="0"/>
                <w:color w:val="000000" w:themeColor="text1"/>
                <w:lang w:val="en-US" w:eastAsia="zh-CN"/>
                <w14:textFill>
                  <w14:solidFill>
                    <w14:schemeClr w14:val="tx1"/>
                  </w14:solidFill>
                </w14:textFill>
              </w:rPr>
              <w:t>、</w:t>
            </w:r>
            <w:r>
              <w:rPr>
                <w:rFonts w:hint="eastAsia" w:ascii="Times New Roman" w:hAnsi="Times New Roman" w:cs="Times New Roman"/>
                <w:b/>
                <w:bCs/>
                <w:vanish w:val="0"/>
                <w:color w:val="000000" w:themeColor="text1"/>
                <w:lang w:val="en-US" w:eastAsia="zh-CN"/>
                <w14:textFill>
                  <w14:solidFill>
                    <w14:schemeClr w14:val="tx1"/>
                  </w14:solidFill>
                </w14:textFill>
              </w:rPr>
              <w:t>运营期</w:t>
            </w:r>
            <w:r>
              <w:rPr>
                <w:rFonts w:hint="default" w:ascii="Times New Roman" w:hAnsi="Times New Roman" w:cs="Times New Roman"/>
                <w:b/>
                <w:bCs/>
                <w:vanish w:val="0"/>
                <w:color w:val="000000" w:themeColor="text1"/>
                <w:lang w:val="en-US" w:eastAsia="zh-CN"/>
                <w14:textFill>
                  <w14:solidFill>
                    <w14:schemeClr w14:val="tx1"/>
                  </w14:solidFill>
                </w14:textFill>
              </w:rPr>
              <w:t>工艺流程</w:t>
            </w:r>
            <w:r>
              <w:rPr>
                <w:rFonts w:hint="default" w:ascii="Times New Roman" w:hAnsi="Times New Roman" w:cs="Times New Roman"/>
                <w:vanish w:val="0"/>
                <w:color w:val="000000" w:themeColor="text1"/>
                <w:lang w:val="en-US" w:eastAsia="zh-CN"/>
                <w14:textFill>
                  <w14:solidFill>
                    <w14:schemeClr w14:val="tx1"/>
                  </w14:solidFill>
                </w14:textFill>
              </w:rPr>
              <w:t>：</w:t>
            </w:r>
          </w:p>
          <w:p w14:paraId="3EC9ECA0">
            <w:pPr>
              <w:spacing w:line="360" w:lineRule="auto"/>
              <w:ind w:firstLine="420" w:firstLineChars="200"/>
              <w:rPr>
                <w:rFonts w:hint="default" w:ascii="Times New Roman" w:hAnsi="Times New Roman" w:cs="Times New Roman"/>
                <w:b/>
                <w:bCs/>
                <w:vanish w:val="0"/>
                <w:color w:val="000000" w:themeColor="text1"/>
                <w:lang w:val="en-US" w:eastAsia="zh-CN"/>
                <w14:textFill>
                  <w14:solidFill>
                    <w14:schemeClr w14:val="tx1"/>
                  </w14:solidFill>
                </w14:textFill>
              </w:rPr>
            </w:pPr>
            <w:r>
              <w:rPr>
                <w:rFonts w:hint="eastAsia" w:ascii="Times New Roman" w:hAnsi="Times New Roman" w:cs="Times New Roman"/>
                <w:b/>
                <w:bCs/>
                <w:vanish w:val="0"/>
                <w:color w:val="000000" w:themeColor="text1"/>
                <w:lang w:val="en-US" w:eastAsia="zh-CN"/>
                <w14:textFill>
                  <w14:solidFill>
                    <w14:schemeClr w14:val="tx1"/>
                  </w14:solidFill>
                </w14:textFill>
              </w:rPr>
              <w:t>1、净化水厂工艺流程图</w:t>
            </w:r>
          </w:p>
          <w:p w14:paraId="1E65CD53">
            <w:pPr>
              <w:spacing w:line="360" w:lineRule="auto"/>
              <w:ind w:firstLine="420" w:firstLineChars="200"/>
              <w:rPr>
                <w:rFonts w:hint="default" w:ascii="Times New Roman" w:hAnsi="Times New Roman" w:cs="Times New Roman"/>
                <w:vanish w:val="0"/>
                <w:color w:val="000000" w:themeColor="text1"/>
                <w:lang w:val="en-US" w:eastAsia="zh-CN"/>
                <w14:textFill>
                  <w14:solidFill>
                    <w14:schemeClr w14:val="tx1"/>
                  </w14:solidFill>
                </w14:textFill>
              </w:rPr>
            </w:pPr>
            <w:r>
              <w:rPr>
                <w:rFonts w:hint="eastAsia" w:ascii="Times New Roman" w:hAnsi="Times New Roman" w:cs="Times New Roman"/>
                <w:vanish w:val="0"/>
                <w:color w:val="000000" w:themeColor="text1"/>
                <w:lang w:val="en-US" w:eastAsia="zh-CN"/>
                <w14:textFill>
                  <w14:solidFill>
                    <w14:schemeClr w14:val="tx1"/>
                  </w14:solidFill>
                </w14:textFill>
              </w:rPr>
              <w:t>项目运营后净水厂工艺以及产污环节详见下图。</w:t>
            </w:r>
          </w:p>
          <w:p w14:paraId="4F1E6AD0">
            <w:pPr>
              <w:pStyle w:val="22"/>
              <w:ind w:left="0" w:leftChars="0" w:firstLine="0" w:firstLineChars="0"/>
              <w:jc w:val="center"/>
              <w:rPr>
                <w:rFonts w:hint="default"/>
                <w:vanish w:val="0"/>
                <w:color w:val="000000" w:themeColor="text1"/>
                <w:lang w:val="en-US" w:eastAsia="zh-CN"/>
                <w14:textFill>
                  <w14:solidFill>
                    <w14:schemeClr w14:val="tx1"/>
                  </w14:solidFill>
                </w14:textFill>
              </w:rPr>
            </w:pPr>
            <w:r>
              <w:rPr>
                <w:vanish w:val="0"/>
                <w:color w:val="000000" w:themeColor="text1"/>
                <w14:textFill>
                  <w14:solidFill>
                    <w14:schemeClr w14:val="tx1"/>
                  </w14:solidFill>
                </w14:textFill>
              </w:rPr>
              <w:drawing>
                <wp:inline distT="0" distB="0" distL="114300" distR="114300">
                  <wp:extent cx="4508500" cy="2281555"/>
                  <wp:effectExtent l="0" t="0" r="6350" b="4445"/>
                  <wp:docPr id="1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4"/>
                          <pic:cNvPicPr>
                            <a:picLocks noChangeAspect="1"/>
                          </pic:cNvPicPr>
                        </pic:nvPicPr>
                        <pic:blipFill>
                          <a:blip r:embed="rId18"/>
                          <a:stretch>
                            <a:fillRect/>
                          </a:stretch>
                        </pic:blipFill>
                        <pic:spPr>
                          <a:xfrm>
                            <a:off x="0" y="0"/>
                            <a:ext cx="4508500" cy="2281555"/>
                          </a:xfrm>
                          <a:prstGeom prst="rect">
                            <a:avLst/>
                          </a:prstGeom>
                          <a:noFill/>
                          <a:ln>
                            <a:noFill/>
                          </a:ln>
                        </pic:spPr>
                      </pic:pic>
                    </a:graphicData>
                  </a:graphic>
                </wp:inline>
              </w:drawing>
            </w:r>
          </w:p>
          <w:p w14:paraId="623D9826">
            <w:pPr>
              <w:keepNext w:val="0"/>
              <w:keepLines w:val="0"/>
              <w:pageBreakBefore w:val="0"/>
              <w:widowControl w:val="0"/>
              <w:kinsoku/>
              <w:wordWrap/>
              <w:overflowPunct/>
              <w:topLinePunct/>
              <w:autoSpaceDE/>
              <w:autoSpaceDN/>
              <w:bidi w:val="0"/>
              <w:adjustRightInd w:val="0"/>
              <w:snapToGrid w:val="0"/>
              <w:spacing w:beforeAutospacing="0" w:afterAutospacing="0" w:line="360" w:lineRule="auto"/>
              <w:ind w:firstLine="420" w:firstLineChars="200"/>
              <w:jc w:val="center"/>
              <w:textAlignment w:val="auto"/>
              <w:rPr>
                <w:rFonts w:hint="default" w:eastAsia="宋体" w:cs="Times New Roman"/>
                <w:b/>
                <w:bCs/>
                <w:vanish w:val="0"/>
                <w:color w:val="000000" w:themeColor="text1"/>
                <w:sz w:val="21"/>
                <w:szCs w:val="21"/>
                <w:highlight w:val="none"/>
                <w:lang w:val="en-US" w:eastAsia="zh-CN"/>
                <w14:textFill>
                  <w14:solidFill>
                    <w14:schemeClr w14:val="tx1"/>
                  </w14:solidFill>
                </w14:textFill>
              </w:rPr>
            </w:pPr>
            <w:r>
              <w:rPr>
                <w:rFonts w:hint="eastAsia" w:eastAsia="宋体" w:cs="Times New Roman"/>
                <w:b/>
                <w:bCs/>
                <w:vanish w:val="0"/>
                <w:color w:val="000000" w:themeColor="text1"/>
                <w:sz w:val="21"/>
                <w:szCs w:val="21"/>
                <w:highlight w:val="none"/>
                <w:lang w:val="en-US" w:eastAsia="zh-CN"/>
                <w14:textFill>
                  <w14:solidFill>
                    <w14:schemeClr w14:val="tx1"/>
                  </w14:solidFill>
                </w14:textFill>
              </w:rPr>
              <w:t>图2-5 净化水厂工艺流程图</w:t>
            </w:r>
          </w:p>
          <w:p w14:paraId="2E568766">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水厂设备采用集成式净水厂设备，工艺流程为水力混合网格絮凝-斜管沉淀-重力虹吸滤池，设计规模为800m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/d，设计出水率为45.8m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/h。主箱体外形尺寸为6.2mx3.6mx4.2m，采用304不锈钢结构。</w:t>
            </w:r>
          </w:p>
          <w:p w14:paraId="13496552">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1</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絮凝工艺</w:t>
            </w:r>
          </w:p>
          <w:p w14:paraId="4CE2F279">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根据水质分析，絮凝剂使用聚合氯化铝</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PAC</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，采用湿法投加。总絮凝时间为28min，絮凝池分为三段:前段放置密网格，过网格流速为0.25m/s</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中段放置疏网格，过网格流速加 0.22m/s</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末端不放网格。絮凝池总高4.13m，其中泥斗高度为0.45m。管道混合器靠近絮凝池采用直接连接方式，连接管道内的流速为0.8~1.0m/s。</w:t>
            </w:r>
          </w:p>
          <w:p w14:paraId="01AB358C">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2</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沉淀工艺</w:t>
            </w:r>
          </w:p>
          <w:p w14:paraId="5E0094DC">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采用上向流斜管沉淀池，采用泥斗穿孔管排泥。设计表面负荷为5.3m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lang w:val="en-US" w:eastAsia="zh-CN"/>
                <w14:textFill>
                  <w14:solidFill>
                    <w14:schemeClr w14:val="tx1"/>
                  </w14:solidFill>
                </w14:textFill>
              </w:rPr>
              <w:t>/</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h</w:t>
            </w:r>
            <w:r>
              <w:rPr>
                <w:rFonts w:hint="eastAsia"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m2</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，斜管有效沉淀时间为8min。斜管沉淀池总高为4.13m，其中泥斗高0.8m，布水区高1.2m，斜管区高0.866m，清水区高1.034m，超高0.3m。</w:t>
            </w:r>
          </w:p>
          <w:p w14:paraId="518211C1">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3</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过滤工艺</w:t>
            </w:r>
          </w:p>
          <w:p w14:paraId="72503230">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滤室共设计3格，正常滤速为6.4m/h，强制滤速为9.6m/h。采用级配滤料。过滤周期为12-24h。</w:t>
            </w:r>
          </w:p>
          <w:p w14:paraId="2D32EF6A">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4</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反冲洗工艺</w:t>
            </w:r>
          </w:p>
          <w:p w14:paraId="070BE601">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采用重力式反冲洗，单独水冲洗，反冲洗强度为15L/</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s·m</w:t>
            </w:r>
            <w:r>
              <w:rPr>
                <w:rFonts w:hint="default" w:ascii="Times New Roman" w:hAnsi="Times New Roman" w:eastAsia="宋体" w:cs="Times New Roman"/>
                <w:vanish w:val="0"/>
                <w:color w:val="000000" w:themeColor="text1"/>
                <w:vertAlign w:val="superscript"/>
                <w:lang w:val="en-US" w:eastAsia="zh-CN"/>
                <w14:textFill>
                  <w14:solidFill>
                    <w14:schemeClr w14:val="tx1"/>
                  </w14:solidFill>
                </w14:textFill>
              </w:rPr>
              <w:t>2</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，反冲洗时间为3-4min。反冲频率和时间可以根据现场运行状态自动调整，提高反洗效率及过滤效率，实现节水。</w:t>
            </w:r>
          </w:p>
          <w:p w14:paraId="5F46BBF2">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（5）</w:t>
            </w:r>
            <w:r>
              <w:rPr>
                <w:rFonts w:hint="default" w:ascii="Times New Roman" w:hAnsi="Times New Roman" w:eastAsia="宋体" w:cs="Times New Roman"/>
                <w:vanish w:val="0"/>
                <w:color w:val="000000" w:themeColor="text1"/>
                <w:lang w:val="en-US" w:eastAsia="zh-CN"/>
                <w14:textFill>
                  <w14:solidFill>
                    <w14:schemeClr w14:val="tx1"/>
                  </w14:solidFill>
                </w14:textFill>
              </w:rPr>
              <w:t>消毒系统</w:t>
            </w:r>
          </w:p>
          <w:p w14:paraId="06597E66">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本项目消毒系统设置一体化次氯酸钠发生器进行消毒，配套设置设备配套溶盐箱（盐水箱）、电解主机、消毒液储药箱、酸洗清洗箱、软水预处理装置、计量投加系统、自动控制系统。主要工艺如下：</w:t>
            </w:r>
          </w:p>
          <w:p w14:paraId="4E8711E4">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①盐水配制单元原水经软水装置软化后送入溶盐箱，投加工业食盐调配 3%～5% 稀氯化钠盐水，静置饱和备用。</w:t>
            </w:r>
          </w:p>
          <w:p w14:paraId="419F8C4C">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②电解制氯单元饱和盐水经计量泵定量输送至电解主机电解槽，低压直流电电解氯化钠，现场生成次氯酸钠消毒液，产出消毒液自流进入储药箱暂存；电解副产微量氢气集中逸散至室外无组织排放。</w:t>
            </w:r>
          </w:p>
          <w:p w14:paraId="4AF84DA5">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③出水消毒投加工序储药箱内次氯酸钠消毒液通过投加计量泵，定量投加至水厂滤后清水管道/清水池，利用次氯酸强氧化作用灭活水中细菌、大肠菌群、病毒，维持管网余氯，满足生活饮用水消毒指标要求。</w:t>
            </w:r>
          </w:p>
          <w:p w14:paraId="25304083">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④电极酸洗维护单元酸洗箱储存稀盐酸，设备定期自动循环酸洗电解电极，去除钙镁水垢，酸洗废液少量，</w:t>
            </w:r>
            <w:r>
              <w:rPr>
                <w:rFonts w:hint="eastAsia" w:ascii="Times New Roman" w:hAnsi="Times New Roman" w:eastAsia="宋体" w:cs="Times New Roman"/>
                <w:vanish w:val="0"/>
                <w:color w:val="000000" w:themeColor="text1"/>
                <w:lang w:val="en-US" w:eastAsia="zh-CN"/>
                <w14:textFill>
                  <w14:solidFill>
                    <w14:schemeClr w14:val="tx1"/>
                  </w14:solidFill>
                </w14:textFill>
              </w:rPr>
              <w:t>按照危废进行管理</w:t>
            </w:r>
            <w:r>
              <w:rPr>
                <w:rFonts w:hint="default" w:ascii="Times New Roman" w:hAnsi="Times New Roman" w:eastAsia="宋体" w:cs="Times New Roman"/>
                <w:vanish w:val="0"/>
                <w:color w:val="000000" w:themeColor="text1"/>
                <w:lang w:val="en-US" w:eastAsia="zh-CN"/>
                <w14:textFill>
                  <w14:solidFill>
                    <w14:schemeClr w14:val="tx1"/>
                  </w14:solidFill>
                </w14:textFill>
              </w:rPr>
              <w:t>。</w:t>
            </w:r>
          </w:p>
          <w:p w14:paraId="5156B8BF">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eastAsia"/>
                <w:vanish w:val="0"/>
                <w:color w:val="000000" w:themeColor="text1"/>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该消毒工艺</w:t>
            </w:r>
            <w:r>
              <w:rPr>
                <w:rFonts w:hint="default" w:ascii="Times New Roman" w:hAnsi="Times New Roman" w:eastAsia="宋体" w:cs="Times New Roman"/>
                <w:vanish w:val="0"/>
                <w:color w:val="000000" w:themeColor="text1"/>
                <w:lang w:val="en-US" w:eastAsia="zh-CN"/>
                <w14:textFill>
                  <w14:solidFill>
                    <w14:schemeClr w14:val="tx1"/>
                  </w14:solidFill>
                </w14:textFill>
              </w:rPr>
              <w:t>就地制备消毒液，无需外购、储存高浓度含氯危化品，厂区环境风险较低；自动化运行，投加量可联动出水余氯在线监测仪调节，消毒效果稳定</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p>
        </w:tc>
      </w:tr>
      <w:tr w14:paraId="191DA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hidden/>
        </w:trPr>
        <w:tc>
          <w:tcPr>
            <w:tcW w:w="0" w:type="auto"/>
            <w:noWrap w:val="0"/>
            <w:vAlign w:val="center"/>
          </w:tcPr>
          <w:p w14:paraId="292CE558">
            <w:pPr>
              <w:pStyle w:val="20"/>
              <w:adjustRightInd w:val="0"/>
              <w:snapToGrid w:val="0"/>
              <w:spacing w:before="0" w:beforeAutospacing="0" w:after="0" w:afterAutospacing="0"/>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Cs/>
                <w:vanish w:val="0"/>
                <w:color w:val="000000" w:themeColor="text1"/>
                <w:kern w:val="2"/>
                <w:sz w:val="21"/>
                <w:szCs w:val="21"/>
                <w14:textFill>
                  <w14:solidFill>
                    <w14:schemeClr w14:val="tx1"/>
                  </w14:solidFill>
                </w14:textFill>
              </w:rPr>
              <w:t>与项目有关的原有环境污染问题</w:t>
            </w:r>
          </w:p>
        </w:tc>
        <w:tc>
          <w:tcPr>
            <w:tcW w:w="0" w:type="auto"/>
            <w:noWrap w:val="0"/>
            <w:vAlign w:val="top"/>
          </w:tcPr>
          <w:p w14:paraId="5BF1E0C3">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1877DEB3">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6F49D581">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392572B5">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3CDE93ED">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645C349A">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0934BD5A">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6287778F">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4338D6DF">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4F84A29F">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43290F07">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0A7EEB15">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767BCD51">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331DE60D">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08E68E00">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p w14:paraId="7BE04FED">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目前，桃川镇6个行政村主要包括12个供水工程</w:t>
            </w:r>
            <w:r>
              <w:rPr>
                <w:rFonts w:hint="eastAsia" w:ascii="Times New Roman" w:hAnsi="Times New Roman" w:eastAsia="宋体" w:cs="Times New Roman"/>
                <w:vanish w:val="0"/>
                <w:color w:val="000000" w:themeColor="text1"/>
                <w:lang w:val="en-US" w:eastAsia="zh-CN"/>
                <w14:textFill>
                  <w14:solidFill>
                    <w14:schemeClr w14:val="tx1"/>
                  </w14:solidFill>
                </w14:textFill>
              </w:rPr>
              <w:t>，均属于农村供水工程，按照《建设项目环境影响评价分类管理名录》（2021年版）的有关规定，不需要办理环评手续</w:t>
            </w:r>
            <w:r>
              <w:rPr>
                <w:rFonts w:hint="default" w:ascii="Times New Roman" w:hAnsi="Times New Roman" w:eastAsia="宋体" w:cs="Times New Roman"/>
                <w:vanish w:val="0"/>
                <w:color w:val="000000" w:themeColor="text1"/>
                <w:lang w:val="en-US" w:eastAsia="zh-CN"/>
                <w14:textFill>
                  <w14:solidFill>
                    <w14:schemeClr w14:val="tx1"/>
                  </w14:solidFill>
                </w14:textFill>
              </w:rPr>
              <w:t>。</w:t>
            </w:r>
          </w:p>
          <w:p w14:paraId="0498777C">
            <w:pPr>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根据现场踏勘，现有的供水工程运行正常，不存在环境污染问题</w:t>
            </w:r>
            <w:r>
              <w:rPr>
                <w:rFonts w:hint="default" w:ascii="Times New Roman" w:hAnsi="Times New Roman" w:eastAsia="宋体" w:cs="Times New Roman"/>
                <w:vanish w:val="0"/>
                <w:color w:val="000000" w:themeColor="text1"/>
                <w:lang w:val="en-US" w:eastAsia="zh-CN"/>
                <w14:textFill>
                  <w14:solidFill>
                    <w14:schemeClr w14:val="tx1"/>
                  </w14:solidFill>
                </w14:textFill>
              </w:rPr>
              <w:t>。</w:t>
            </w:r>
          </w:p>
          <w:p w14:paraId="01A76043">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22FE2A79">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0CF74D4A">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456E6298">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29CF9998">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163AE0E2">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63635E25">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341989E6">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09719886">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0D63DFC8">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4604A5D7">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12E36894">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118FC951">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65F2A3F1">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4D74D03F">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69CD0D00">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4858C5A6">
            <w:pP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4F8AC9EC">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79E90A6C">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p>
          <w:p w14:paraId="393F724C">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Times New Roman"/>
                <w:bCs/>
                <w:vanish w:val="0"/>
                <w:color w:val="000000" w:themeColor="text1"/>
                <w:sz w:val="21"/>
                <w:szCs w:val="21"/>
                <w14:textFill>
                  <w14:solidFill>
                    <w14:schemeClr w14:val="tx1"/>
                  </w14:solidFill>
                </w14:textFill>
              </w:rPr>
            </w:pPr>
          </w:p>
        </w:tc>
      </w:tr>
    </w:tbl>
    <w:p w14:paraId="605CE5F9">
      <w:pPr>
        <w:pStyle w:val="20"/>
        <w:jc w:val="center"/>
        <w:rPr>
          <w:rFonts w:hint="default" w:ascii="Times New Roman" w:hAnsi="Times New Roman" w:eastAsia="黑体" w:cs="Times New Roman"/>
          <w:snapToGrid w:val="0"/>
          <w:vanish w:val="0"/>
          <w:color w:val="000000" w:themeColor="text1"/>
          <w:sz w:val="36"/>
          <w:szCs w:val="36"/>
          <w14:textFill>
            <w14:solidFill>
              <w14:schemeClr w14:val="tx1"/>
            </w14:solidFill>
          </w14:textFill>
        </w:rPr>
        <w:sectPr>
          <w:footerReference r:id="rId7" w:type="default"/>
          <w:pgSz w:w="11906" w:h="16838"/>
          <w:pgMar w:top="1701" w:right="1531" w:bottom="1701" w:left="1531" w:header="851" w:footer="1361" w:gutter="0"/>
          <w:pgBorders>
            <w:top w:val="none" w:sz="0" w:space="0"/>
            <w:left w:val="none" w:sz="0" w:space="0"/>
            <w:bottom w:val="none" w:sz="0" w:space="0"/>
            <w:right w:val="none" w:sz="0" w:space="0"/>
          </w:pgBorders>
          <w:pgNumType w:fmt="decimal"/>
          <w:cols w:space="720" w:num="1"/>
          <w:docGrid w:linePitch="312" w:charSpace="0"/>
        </w:sectPr>
      </w:pPr>
    </w:p>
    <w:p w14:paraId="7B5CDF0A">
      <w:pPr>
        <w:pStyle w:val="20"/>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vanish w:val="0"/>
          <w:color w:val="000000" w:themeColor="text1"/>
          <w:sz w:val="30"/>
          <w:szCs w:val="30"/>
          <w14:textFill>
            <w14:solidFill>
              <w14:schemeClr w14:val="tx1"/>
            </w14:solidFill>
          </w14:textFill>
        </w:rPr>
      </w:pPr>
    </w:p>
    <w:p w14:paraId="783BC156">
      <w:pPr>
        <w:pStyle w:val="20"/>
        <w:jc w:val="center"/>
        <w:outlineLvl w:val="0"/>
        <w:rPr>
          <w:rFonts w:hint="default" w:ascii="Times New Roman" w:hAnsi="Times New Roman" w:eastAsia="黑体" w:cs="Times New Roman"/>
          <w:snapToGrid w:val="0"/>
          <w:vanish w:val="0"/>
          <w:color w:val="000000" w:themeColor="text1"/>
          <w:sz w:val="30"/>
          <w:szCs w:val="30"/>
          <w14:textFill>
            <w14:solidFill>
              <w14:schemeClr w14:val="tx1"/>
            </w14:solidFill>
          </w14:textFill>
        </w:rPr>
      </w:pPr>
      <w:r>
        <w:rPr>
          <w:rFonts w:hint="default" w:ascii="Times New Roman" w:hAnsi="Times New Roman" w:eastAsia="黑体" w:cs="Times New Roman"/>
          <w:snapToGrid w:val="0"/>
          <w:vanish w:val="0"/>
          <w:color w:val="000000" w:themeColor="text1"/>
          <w:sz w:val="30"/>
          <w:szCs w:val="30"/>
          <w14:textFill>
            <w14:solidFill>
              <w14:schemeClr w14:val="tx1"/>
            </w14:solidFill>
          </w14:textFill>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2AB6C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hidden/>
        </w:trPr>
        <w:tc>
          <w:tcPr>
            <w:tcW w:w="800" w:type="dxa"/>
            <w:noWrap w:val="0"/>
            <w:vAlign w:val="center"/>
          </w:tcPr>
          <w:p w14:paraId="6056C74E">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区域</w:t>
            </w:r>
          </w:p>
          <w:p w14:paraId="524C6049">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环境</w:t>
            </w:r>
          </w:p>
          <w:p w14:paraId="44950CC1">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质量</w:t>
            </w:r>
          </w:p>
          <w:p w14:paraId="494A4151">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现状</w:t>
            </w:r>
          </w:p>
        </w:tc>
        <w:tc>
          <w:tcPr>
            <w:tcW w:w="8190" w:type="dxa"/>
            <w:noWrap w:val="0"/>
            <w:vAlign w:val="center"/>
          </w:tcPr>
          <w:p w14:paraId="2DC64312">
            <w:pPr>
              <w:spacing w:line="360" w:lineRule="auto"/>
              <w:ind w:firstLine="420" w:firstLineChars="200"/>
              <w:rPr>
                <w:rFonts w:hint="default" w:ascii="Times New Roman" w:hAnsi="Times New Roman" w:cs="Times New Roman"/>
                <w:b/>
                <w:bCs/>
                <w:vanish w:val="0"/>
                <w:color w:val="000000" w:themeColor="text1"/>
                <w:lang w:val="en-US" w:eastAsia="zh-CN"/>
                <w14:textFill>
                  <w14:solidFill>
                    <w14:schemeClr w14:val="tx1"/>
                  </w14:solidFill>
                </w14:textFill>
              </w:rPr>
            </w:pPr>
            <w:r>
              <w:rPr>
                <w:rFonts w:hint="default" w:ascii="Times New Roman" w:hAnsi="Times New Roman" w:cs="Times New Roman"/>
                <w:b/>
                <w:bCs/>
                <w:vanish w:val="0"/>
                <w:color w:val="000000" w:themeColor="text1"/>
                <w:lang w:val="en-US" w:eastAsia="zh-CN"/>
                <w14:textFill>
                  <w14:solidFill>
                    <w14:schemeClr w14:val="tx1"/>
                  </w14:solidFill>
                </w14:textFill>
              </w:rPr>
              <w:t>一、环境空气质量现状</w:t>
            </w:r>
          </w:p>
          <w:p w14:paraId="3E9231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为了查明项目所在地附近的环境空气质量现状，本项目环境空气质量数据引用</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陕西省生态环境厅办公室2026年</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发布的</w:t>
            </w:r>
            <w:r>
              <w:rPr>
                <w:rFonts w:hint="default" w:ascii="Times New Roman" w:hAnsi="Times New Roman" w:eastAsia="宋体" w:cs="Times New Roman"/>
                <w:vanish w:val="0"/>
                <w:color w:val="000000" w:themeColor="text1"/>
                <w:sz w:val="21"/>
                <w:szCs w:val="21"/>
                <w14:textFill>
                  <w14:solidFill>
                    <w14:schemeClr w14:val="tx1"/>
                  </w14:solidFill>
                </w14:textFill>
              </w:rPr>
              <w:t>《</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202</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年</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12月及1—12月全省环境空气质量状况</w:t>
            </w:r>
            <w:r>
              <w:rPr>
                <w:rFonts w:hint="default" w:ascii="Times New Roman" w:hAnsi="Times New Roman" w:eastAsia="宋体" w:cs="Times New Roman"/>
                <w:vanish w:val="0"/>
                <w:color w:val="000000" w:themeColor="text1"/>
                <w:sz w:val="21"/>
                <w:szCs w:val="21"/>
                <w14:textFill>
                  <w14:solidFill>
                    <w14:schemeClr w14:val="tx1"/>
                  </w14:solidFill>
                </w14:textFill>
              </w:rPr>
              <w:t>》中</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的数据</w:t>
            </w:r>
            <w:r>
              <w:rPr>
                <w:rFonts w:hint="default" w:ascii="Times New Roman" w:hAnsi="Times New Roman" w:eastAsia="宋体" w:cs="Times New Roman"/>
                <w:vanish w:val="0"/>
                <w:color w:val="000000" w:themeColor="text1"/>
                <w:sz w:val="21"/>
                <w:szCs w:val="21"/>
                <w14:textFill>
                  <w14:solidFill>
                    <w14:schemeClr w14:val="tx1"/>
                  </w14:solidFill>
                </w14:textFill>
              </w:rPr>
              <w:t>进行评价。</w:t>
            </w:r>
          </w:p>
          <w:p w14:paraId="5A7866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vanish w:val="0"/>
                <w:color w:val="000000" w:themeColor="text1"/>
                <w:sz w:val="21"/>
                <w:szCs w:val="21"/>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本项目选用</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宝鸡市</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太白县</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2025年</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1月—12月</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vanish w:val="0"/>
                <w:color w:val="000000" w:themeColor="text1"/>
                <w:sz w:val="21"/>
                <w:szCs w:val="21"/>
                <w14:textFill>
                  <w14:solidFill>
                    <w14:schemeClr w14:val="tx1"/>
                  </w14:solidFill>
                </w14:textFill>
              </w:rPr>
              <w:t>数据</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该数据引用</w:t>
            </w:r>
            <w:r>
              <w:rPr>
                <w:rFonts w:hint="default" w:ascii="Times New Roman" w:hAnsi="Times New Roman" w:eastAsia="宋体" w:cs="Times New Roman"/>
                <w:vanish w:val="0"/>
                <w:color w:val="000000" w:themeColor="text1"/>
                <w:sz w:val="21"/>
                <w:szCs w:val="21"/>
                <w14:textFill>
                  <w14:solidFill>
                    <w14:schemeClr w14:val="tx1"/>
                  </w14:solidFill>
                </w14:textFill>
              </w:rPr>
              <w:t>符合时效性要求</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p>
          <w:p w14:paraId="587521B3">
            <w:pPr>
              <w:pStyle w:val="69"/>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具体</w:t>
            </w:r>
            <w:r>
              <w:rPr>
                <w:rFonts w:hint="default" w:ascii="Times New Roman" w:hAnsi="Times New Roman" w:cs="Times New Roman"/>
                <w:vanish w:val="0"/>
                <w:color w:val="000000" w:themeColor="text1"/>
                <w:sz w:val="21"/>
                <w:szCs w:val="21"/>
                <w14:textFill>
                  <w14:solidFill>
                    <w14:schemeClr w14:val="tx1"/>
                  </w14:solidFill>
                </w14:textFill>
              </w:rPr>
              <w:t>监测结果</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详见</w:t>
            </w:r>
            <w:r>
              <w:rPr>
                <w:rFonts w:hint="default" w:ascii="Times New Roman" w:hAnsi="Times New Roman" w:cs="Times New Roman"/>
                <w:vanish w:val="0"/>
                <w:color w:val="000000" w:themeColor="text1"/>
                <w:sz w:val="21"/>
                <w:szCs w:val="21"/>
                <w14:textFill>
                  <w14:solidFill>
                    <w14:schemeClr w14:val="tx1"/>
                  </w14:solidFill>
                </w14:textFill>
              </w:rPr>
              <w:t>下表。</w:t>
            </w:r>
          </w:p>
          <w:p w14:paraId="10E944C8">
            <w:pPr>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420" w:firstLineChars="200"/>
              <w:jc w:val="center"/>
              <w:textAlignment w:val="auto"/>
              <w:rPr>
                <w:rFonts w:hint="default" w:ascii="Times New Roman" w:hAnsi="Times New Roman" w:eastAsia="宋体"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b/>
                <w:bCs/>
                <w:vanish w:val="0"/>
                <w:color w:val="000000" w:themeColor="text1"/>
                <w:sz w:val="21"/>
                <w:szCs w:val="21"/>
                <w14:textFill>
                  <w14:solidFill>
                    <w14:schemeClr w14:val="tx1"/>
                  </w14:solidFill>
                </w14:textFill>
              </w:rPr>
              <w:t>表3-1</w:t>
            </w:r>
            <w:r>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nish w:val="0"/>
                <w:color w:val="000000" w:themeColor="text1"/>
                <w:sz w:val="21"/>
                <w:szCs w:val="21"/>
                <w14:textFill>
                  <w14:solidFill>
                    <w14:schemeClr w14:val="tx1"/>
                  </w14:solidFill>
                </w14:textFill>
              </w:rPr>
              <w:t xml:space="preserve">  区域空气质量现状评价表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50"/>
              <w:gridCol w:w="1371"/>
              <w:gridCol w:w="1377"/>
              <w:gridCol w:w="1190"/>
              <w:gridCol w:w="1011"/>
            </w:tblGrid>
            <w:tr w14:paraId="1C677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hidden/>
              </w:trPr>
              <w:tc>
                <w:tcPr>
                  <w:tcW w:w="593" w:type="pct"/>
                  <w:tcBorders>
                    <w:tl2br w:val="nil"/>
                    <w:tr2bl w:val="nil"/>
                  </w:tcBorders>
                  <w:noWrap w:val="0"/>
                  <w:vAlign w:val="center"/>
                </w:tcPr>
                <w:p w14:paraId="0C7FEC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污染物</w:t>
                  </w:r>
                </w:p>
              </w:tc>
              <w:tc>
                <w:tcPr>
                  <w:tcW w:w="1290" w:type="pct"/>
                  <w:tcBorders>
                    <w:tl2br w:val="nil"/>
                    <w:tr2bl w:val="nil"/>
                  </w:tcBorders>
                  <w:noWrap w:val="0"/>
                  <w:vAlign w:val="center"/>
                </w:tcPr>
                <w:p w14:paraId="5BE9A9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年评价指标</w:t>
                  </w:r>
                </w:p>
              </w:tc>
              <w:tc>
                <w:tcPr>
                  <w:tcW w:w="863" w:type="pct"/>
                  <w:tcBorders>
                    <w:tl2br w:val="nil"/>
                    <w:tr2bl w:val="nil"/>
                  </w:tcBorders>
                  <w:noWrap w:val="0"/>
                  <w:vAlign w:val="center"/>
                </w:tcPr>
                <w:p w14:paraId="10D6BE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现状浓度/（µg/m</w:t>
                  </w:r>
                  <w:r>
                    <w:rPr>
                      <w:rFonts w:hint="default" w:ascii="Times New Roman" w:hAnsi="Times New Roman" w:eastAsia="宋体" w:cs="Times New Roman"/>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vanish w:val="0"/>
                      <w:color w:val="000000" w:themeColor="text1"/>
                      <w:sz w:val="21"/>
                      <w:szCs w:val="21"/>
                      <w14:textFill>
                        <w14:solidFill>
                          <w14:schemeClr w14:val="tx1"/>
                        </w14:solidFill>
                      </w14:textFill>
                    </w:rPr>
                    <w:t>）</w:t>
                  </w:r>
                </w:p>
              </w:tc>
              <w:tc>
                <w:tcPr>
                  <w:tcW w:w="867" w:type="pct"/>
                  <w:tcBorders>
                    <w:tl2br w:val="nil"/>
                    <w:tr2bl w:val="nil"/>
                  </w:tcBorders>
                  <w:noWrap w:val="0"/>
                  <w:vAlign w:val="center"/>
                </w:tcPr>
                <w:p w14:paraId="0554C7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标准值/（µg/m</w:t>
                  </w:r>
                  <w:r>
                    <w:rPr>
                      <w:rFonts w:hint="default" w:ascii="Times New Roman" w:hAnsi="Times New Roman" w:eastAsia="宋体" w:cs="Times New Roman"/>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vanish w:val="0"/>
                      <w:color w:val="000000" w:themeColor="text1"/>
                      <w:sz w:val="21"/>
                      <w:szCs w:val="21"/>
                      <w14:textFill>
                        <w14:solidFill>
                          <w14:schemeClr w14:val="tx1"/>
                        </w14:solidFill>
                      </w14:textFill>
                    </w:rPr>
                    <w:t>）</w:t>
                  </w:r>
                </w:p>
              </w:tc>
              <w:tc>
                <w:tcPr>
                  <w:tcW w:w="749" w:type="pct"/>
                  <w:tcBorders>
                    <w:tl2br w:val="nil"/>
                    <w:tr2bl w:val="nil"/>
                  </w:tcBorders>
                  <w:noWrap w:val="0"/>
                  <w:vAlign w:val="center"/>
                </w:tcPr>
                <w:p w14:paraId="07478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占标率%</w:t>
                  </w:r>
                </w:p>
              </w:tc>
              <w:tc>
                <w:tcPr>
                  <w:tcW w:w="636" w:type="pct"/>
                  <w:tcBorders>
                    <w:tl2br w:val="nil"/>
                    <w:tr2bl w:val="nil"/>
                  </w:tcBorders>
                  <w:noWrap w:val="0"/>
                  <w:vAlign w:val="center"/>
                </w:tcPr>
                <w:p w14:paraId="11857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p w14:paraId="7210C6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情况</w:t>
                  </w:r>
                </w:p>
              </w:tc>
            </w:tr>
            <w:tr w14:paraId="526CD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593" w:type="pct"/>
                  <w:tcBorders>
                    <w:tl2br w:val="nil"/>
                    <w:tr2bl w:val="nil"/>
                  </w:tcBorders>
                  <w:noWrap w:val="0"/>
                  <w:vAlign w:val="center"/>
                </w:tcPr>
                <w:p w14:paraId="5044A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PM</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2.5</w:t>
                  </w:r>
                </w:p>
              </w:tc>
              <w:tc>
                <w:tcPr>
                  <w:tcW w:w="1290" w:type="pct"/>
                  <w:tcBorders>
                    <w:tl2br w:val="nil"/>
                    <w:tr2bl w:val="nil"/>
                  </w:tcBorders>
                  <w:noWrap w:val="0"/>
                  <w:vAlign w:val="center"/>
                </w:tcPr>
                <w:p w14:paraId="4DDC19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年均值</w:t>
                  </w:r>
                </w:p>
              </w:tc>
              <w:tc>
                <w:tcPr>
                  <w:tcW w:w="1371" w:type="dxa"/>
                  <w:tcBorders>
                    <w:tl2br w:val="nil"/>
                    <w:tr2bl w:val="nil"/>
                  </w:tcBorders>
                  <w:noWrap w:val="0"/>
                  <w:vAlign w:val="center"/>
                </w:tcPr>
                <w:p w14:paraId="5383AB60">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12.8</w:t>
                  </w:r>
                </w:p>
              </w:tc>
              <w:tc>
                <w:tcPr>
                  <w:tcW w:w="1377" w:type="dxa"/>
                  <w:tcBorders>
                    <w:tl2br w:val="nil"/>
                    <w:tr2bl w:val="nil"/>
                  </w:tcBorders>
                  <w:noWrap w:val="0"/>
                  <w:vAlign w:val="center"/>
                </w:tcPr>
                <w:p w14:paraId="63A2F585">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3</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0</w:t>
                  </w:r>
                </w:p>
              </w:tc>
              <w:tc>
                <w:tcPr>
                  <w:tcW w:w="1190" w:type="dxa"/>
                  <w:tcBorders>
                    <w:tl2br w:val="nil"/>
                    <w:tr2bl w:val="nil"/>
                  </w:tcBorders>
                  <w:noWrap w:val="0"/>
                  <w:vAlign w:val="center"/>
                </w:tcPr>
                <w:p w14:paraId="363E07BF">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42.7</w:t>
                  </w:r>
                </w:p>
              </w:tc>
              <w:tc>
                <w:tcPr>
                  <w:tcW w:w="636" w:type="pct"/>
                  <w:tcBorders>
                    <w:tl2br w:val="nil"/>
                    <w:tr2bl w:val="nil"/>
                  </w:tcBorders>
                  <w:noWrap w:val="0"/>
                  <w:vAlign w:val="center"/>
                </w:tcPr>
                <w:p w14:paraId="7B61B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r w14:paraId="6EDED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593" w:type="pct"/>
                  <w:tcBorders>
                    <w:tl2br w:val="nil"/>
                    <w:tr2bl w:val="nil"/>
                  </w:tcBorders>
                  <w:noWrap w:val="0"/>
                  <w:vAlign w:val="center"/>
                </w:tcPr>
                <w:p w14:paraId="593D3B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PM</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10</w:t>
                  </w:r>
                </w:p>
              </w:tc>
              <w:tc>
                <w:tcPr>
                  <w:tcW w:w="1290" w:type="pct"/>
                  <w:tcBorders>
                    <w:tl2br w:val="nil"/>
                    <w:tr2bl w:val="nil"/>
                  </w:tcBorders>
                  <w:noWrap w:val="0"/>
                  <w:vAlign w:val="center"/>
                </w:tcPr>
                <w:p w14:paraId="436186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年均值</w:t>
                  </w:r>
                </w:p>
              </w:tc>
              <w:tc>
                <w:tcPr>
                  <w:tcW w:w="1371" w:type="dxa"/>
                  <w:tcBorders>
                    <w:tl2br w:val="nil"/>
                    <w:tr2bl w:val="nil"/>
                  </w:tcBorders>
                  <w:noWrap w:val="0"/>
                  <w:vAlign w:val="center"/>
                </w:tcPr>
                <w:p w14:paraId="60F0A139">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26</w:t>
                  </w:r>
                </w:p>
              </w:tc>
              <w:tc>
                <w:tcPr>
                  <w:tcW w:w="1377" w:type="dxa"/>
                  <w:tcBorders>
                    <w:tl2br w:val="nil"/>
                    <w:tr2bl w:val="nil"/>
                  </w:tcBorders>
                  <w:noWrap w:val="0"/>
                  <w:vAlign w:val="center"/>
                </w:tcPr>
                <w:p w14:paraId="2A857C76">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vanish w:val="0"/>
                      <w:color w:val="000000" w:themeColor="text1"/>
                      <w:sz w:val="21"/>
                      <w:szCs w:val="21"/>
                      <w14:textFill>
                        <w14:solidFill>
                          <w14:schemeClr w14:val="tx1"/>
                        </w14:solidFill>
                      </w14:textFill>
                    </w:rPr>
                    <w:t>0</w:t>
                  </w:r>
                </w:p>
              </w:tc>
              <w:tc>
                <w:tcPr>
                  <w:tcW w:w="1190" w:type="dxa"/>
                  <w:tcBorders>
                    <w:tl2br w:val="nil"/>
                    <w:tr2bl w:val="nil"/>
                  </w:tcBorders>
                  <w:noWrap w:val="0"/>
                  <w:vAlign w:val="center"/>
                </w:tcPr>
                <w:p w14:paraId="6F311923">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43.3</w:t>
                  </w:r>
                </w:p>
              </w:tc>
              <w:tc>
                <w:tcPr>
                  <w:tcW w:w="636" w:type="pct"/>
                  <w:tcBorders>
                    <w:tl2br w:val="nil"/>
                    <w:tr2bl w:val="nil"/>
                  </w:tcBorders>
                  <w:noWrap w:val="0"/>
                  <w:vAlign w:val="center"/>
                </w:tcPr>
                <w:p w14:paraId="778FFE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r w14:paraId="60512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593" w:type="pct"/>
                  <w:tcBorders>
                    <w:tl2br w:val="nil"/>
                    <w:tr2bl w:val="nil"/>
                  </w:tcBorders>
                  <w:noWrap w:val="0"/>
                  <w:vAlign w:val="center"/>
                </w:tcPr>
                <w:p w14:paraId="209672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SO</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2</w:t>
                  </w:r>
                </w:p>
              </w:tc>
              <w:tc>
                <w:tcPr>
                  <w:tcW w:w="1290" w:type="pct"/>
                  <w:tcBorders>
                    <w:tl2br w:val="nil"/>
                    <w:tr2bl w:val="nil"/>
                  </w:tcBorders>
                  <w:noWrap w:val="0"/>
                  <w:vAlign w:val="center"/>
                </w:tcPr>
                <w:p w14:paraId="1F58BB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年均值</w:t>
                  </w:r>
                </w:p>
              </w:tc>
              <w:tc>
                <w:tcPr>
                  <w:tcW w:w="1371" w:type="dxa"/>
                  <w:tcBorders>
                    <w:tl2br w:val="nil"/>
                    <w:tr2bl w:val="nil"/>
                  </w:tcBorders>
                  <w:noWrap w:val="0"/>
                  <w:vAlign w:val="center"/>
                </w:tcPr>
                <w:p w14:paraId="30100970">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7</w:t>
                  </w:r>
                </w:p>
              </w:tc>
              <w:tc>
                <w:tcPr>
                  <w:tcW w:w="1377" w:type="dxa"/>
                  <w:tcBorders>
                    <w:tl2br w:val="nil"/>
                    <w:tr2bl w:val="nil"/>
                  </w:tcBorders>
                  <w:noWrap w:val="0"/>
                  <w:vAlign w:val="center"/>
                </w:tcPr>
                <w:p w14:paraId="7834EC5C">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60</w:t>
                  </w:r>
                </w:p>
              </w:tc>
              <w:tc>
                <w:tcPr>
                  <w:tcW w:w="1190" w:type="dxa"/>
                  <w:tcBorders>
                    <w:tl2br w:val="nil"/>
                    <w:tr2bl w:val="nil"/>
                  </w:tcBorders>
                  <w:noWrap w:val="0"/>
                  <w:vAlign w:val="center"/>
                </w:tcPr>
                <w:p w14:paraId="05C47B8E">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11.7</w:t>
                  </w:r>
                </w:p>
              </w:tc>
              <w:tc>
                <w:tcPr>
                  <w:tcW w:w="636" w:type="pct"/>
                  <w:tcBorders>
                    <w:tl2br w:val="nil"/>
                    <w:tr2bl w:val="nil"/>
                  </w:tcBorders>
                  <w:noWrap w:val="0"/>
                  <w:vAlign w:val="center"/>
                </w:tcPr>
                <w:p w14:paraId="112BC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r w14:paraId="68FAE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593" w:type="pct"/>
                  <w:tcBorders>
                    <w:tl2br w:val="nil"/>
                    <w:tr2bl w:val="nil"/>
                  </w:tcBorders>
                  <w:noWrap w:val="0"/>
                  <w:vAlign w:val="center"/>
                </w:tcPr>
                <w:p w14:paraId="0D9C2F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NO</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2</w:t>
                  </w:r>
                </w:p>
              </w:tc>
              <w:tc>
                <w:tcPr>
                  <w:tcW w:w="1290" w:type="pct"/>
                  <w:tcBorders>
                    <w:tl2br w:val="nil"/>
                    <w:tr2bl w:val="nil"/>
                  </w:tcBorders>
                  <w:noWrap w:val="0"/>
                  <w:vAlign w:val="center"/>
                </w:tcPr>
                <w:p w14:paraId="61CC2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年均值</w:t>
                  </w:r>
                </w:p>
              </w:tc>
              <w:tc>
                <w:tcPr>
                  <w:tcW w:w="1371" w:type="dxa"/>
                  <w:tcBorders>
                    <w:tl2br w:val="nil"/>
                    <w:tr2bl w:val="nil"/>
                  </w:tcBorders>
                  <w:noWrap w:val="0"/>
                  <w:vAlign w:val="center"/>
                </w:tcPr>
                <w:p w14:paraId="188B07A3">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9</w:t>
                  </w:r>
                </w:p>
              </w:tc>
              <w:tc>
                <w:tcPr>
                  <w:tcW w:w="1377" w:type="dxa"/>
                  <w:tcBorders>
                    <w:tl2br w:val="nil"/>
                    <w:tr2bl w:val="nil"/>
                  </w:tcBorders>
                  <w:noWrap w:val="0"/>
                  <w:vAlign w:val="center"/>
                </w:tcPr>
                <w:p w14:paraId="16A0C1DE">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40</w:t>
                  </w:r>
                </w:p>
              </w:tc>
              <w:tc>
                <w:tcPr>
                  <w:tcW w:w="1190" w:type="dxa"/>
                  <w:tcBorders>
                    <w:tl2br w:val="nil"/>
                    <w:tr2bl w:val="nil"/>
                  </w:tcBorders>
                  <w:noWrap w:val="0"/>
                  <w:vAlign w:val="center"/>
                </w:tcPr>
                <w:p w14:paraId="74A2B3E7">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22.5</w:t>
                  </w:r>
                </w:p>
              </w:tc>
              <w:tc>
                <w:tcPr>
                  <w:tcW w:w="636" w:type="pct"/>
                  <w:tcBorders>
                    <w:tl2br w:val="nil"/>
                    <w:tr2bl w:val="nil"/>
                  </w:tcBorders>
                  <w:noWrap w:val="0"/>
                  <w:vAlign w:val="center"/>
                </w:tcPr>
                <w:p w14:paraId="5F0CD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r w14:paraId="4FE4F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593" w:type="pct"/>
                  <w:tcBorders>
                    <w:tl2br w:val="nil"/>
                    <w:tr2bl w:val="nil"/>
                  </w:tcBorders>
                  <w:noWrap w:val="0"/>
                  <w:vAlign w:val="center"/>
                </w:tcPr>
                <w:p w14:paraId="67AA45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CO</w:t>
                  </w:r>
                </w:p>
              </w:tc>
              <w:tc>
                <w:tcPr>
                  <w:tcW w:w="1290" w:type="pct"/>
                  <w:tcBorders>
                    <w:tl2br w:val="nil"/>
                    <w:tr2bl w:val="nil"/>
                  </w:tcBorders>
                  <w:noWrap w:val="0"/>
                  <w:vAlign w:val="center"/>
                </w:tcPr>
                <w:p w14:paraId="479C15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24小时平均浓度第95百分位数</w:t>
                  </w:r>
                </w:p>
              </w:tc>
              <w:tc>
                <w:tcPr>
                  <w:tcW w:w="1371" w:type="dxa"/>
                  <w:tcBorders>
                    <w:tl2br w:val="nil"/>
                    <w:tr2bl w:val="nil"/>
                  </w:tcBorders>
                  <w:noWrap w:val="0"/>
                  <w:vAlign w:val="center"/>
                </w:tcPr>
                <w:p w14:paraId="6B648B77">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600</w:t>
                  </w:r>
                </w:p>
              </w:tc>
              <w:tc>
                <w:tcPr>
                  <w:tcW w:w="1377" w:type="dxa"/>
                  <w:tcBorders>
                    <w:tl2br w:val="nil"/>
                    <w:tr2bl w:val="nil"/>
                  </w:tcBorders>
                  <w:noWrap w:val="0"/>
                  <w:vAlign w:val="center"/>
                </w:tcPr>
                <w:p w14:paraId="5A1FF5AB">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4</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000</w:t>
                  </w:r>
                </w:p>
              </w:tc>
              <w:tc>
                <w:tcPr>
                  <w:tcW w:w="1190" w:type="dxa"/>
                  <w:tcBorders>
                    <w:tl2br w:val="nil"/>
                    <w:tr2bl w:val="nil"/>
                  </w:tcBorders>
                  <w:noWrap w:val="0"/>
                  <w:vAlign w:val="center"/>
                </w:tcPr>
                <w:p w14:paraId="1A147EC9">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15</w:t>
                  </w:r>
                </w:p>
              </w:tc>
              <w:tc>
                <w:tcPr>
                  <w:tcW w:w="636" w:type="pct"/>
                  <w:tcBorders>
                    <w:tl2br w:val="nil"/>
                    <w:tr2bl w:val="nil"/>
                  </w:tcBorders>
                  <w:noWrap w:val="0"/>
                  <w:vAlign w:val="center"/>
                </w:tcPr>
                <w:p w14:paraId="4243A7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r w14:paraId="3CEED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593" w:type="pct"/>
                  <w:tcBorders>
                    <w:tl2br w:val="nil"/>
                    <w:tr2bl w:val="nil"/>
                  </w:tcBorders>
                  <w:noWrap w:val="0"/>
                  <w:vAlign w:val="center"/>
                </w:tcPr>
                <w:p w14:paraId="09ED94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O</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3</w:t>
                  </w:r>
                </w:p>
              </w:tc>
              <w:tc>
                <w:tcPr>
                  <w:tcW w:w="1290" w:type="pct"/>
                  <w:tcBorders>
                    <w:tl2br w:val="nil"/>
                    <w:tr2bl w:val="nil"/>
                  </w:tcBorders>
                  <w:noWrap w:val="0"/>
                  <w:vAlign w:val="center"/>
                </w:tcPr>
                <w:p w14:paraId="22F6ED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日最大8小时平均浓度第90百分位数</w:t>
                  </w:r>
                </w:p>
              </w:tc>
              <w:tc>
                <w:tcPr>
                  <w:tcW w:w="1371" w:type="dxa"/>
                  <w:tcBorders>
                    <w:tl2br w:val="nil"/>
                    <w:tr2bl w:val="nil"/>
                  </w:tcBorders>
                  <w:noWrap w:val="0"/>
                  <w:vAlign w:val="center"/>
                </w:tcPr>
                <w:p w14:paraId="3EE15687">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126</w:t>
                  </w:r>
                </w:p>
              </w:tc>
              <w:tc>
                <w:tcPr>
                  <w:tcW w:w="1377" w:type="dxa"/>
                  <w:tcBorders>
                    <w:tl2br w:val="nil"/>
                    <w:tr2bl w:val="nil"/>
                  </w:tcBorders>
                  <w:noWrap w:val="0"/>
                  <w:vAlign w:val="center"/>
                </w:tcPr>
                <w:p w14:paraId="353836DC">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160</w:t>
                  </w:r>
                </w:p>
              </w:tc>
              <w:tc>
                <w:tcPr>
                  <w:tcW w:w="1190" w:type="dxa"/>
                  <w:tcBorders>
                    <w:tl2br w:val="nil"/>
                    <w:tr2bl w:val="nil"/>
                  </w:tcBorders>
                  <w:noWrap w:val="0"/>
                  <w:vAlign w:val="center"/>
                </w:tcPr>
                <w:p w14:paraId="093A9D62">
                  <w:pPr>
                    <w:keepNext w:val="0"/>
                    <w:keepLines w:val="0"/>
                    <w:pageBreakBefore w:val="0"/>
                    <w:widowControl/>
                    <w:suppressLineNumbers w:val="0"/>
                    <w:kinsoku/>
                    <w:wordWrap/>
                    <w:overflowPunct w:val="0"/>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78.8</w:t>
                  </w:r>
                </w:p>
              </w:tc>
              <w:tc>
                <w:tcPr>
                  <w:tcW w:w="636" w:type="pct"/>
                  <w:tcBorders>
                    <w:tl2br w:val="nil"/>
                    <w:tr2bl w:val="nil"/>
                  </w:tcBorders>
                  <w:noWrap w:val="0"/>
                  <w:vAlign w:val="center"/>
                </w:tcPr>
                <w:p w14:paraId="316D0F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bl>
          <w:p w14:paraId="0D87711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vanish w:val="0"/>
                <w:color w:val="000000" w:themeColor="text1"/>
                <w:sz w:val="21"/>
                <w:szCs w:val="21"/>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由表3-1可知，</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宝鸡市</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太白县</w:t>
            </w:r>
            <w:r>
              <w:rPr>
                <w:rFonts w:hint="default" w:ascii="Times New Roman" w:hAnsi="Times New Roman" w:eastAsia="宋体" w:cs="Times New Roman"/>
                <w:vanish w:val="0"/>
                <w:color w:val="000000" w:themeColor="text1"/>
                <w:sz w:val="21"/>
                <w:szCs w:val="21"/>
                <w14:textFill>
                  <w14:solidFill>
                    <w14:schemeClr w14:val="tx1"/>
                  </w14:solidFill>
                </w14:textFill>
              </w:rPr>
              <w:t>PM</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PM</w:t>
            </w:r>
            <w:r>
              <w:rPr>
                <w:rFonts w:hint="default" w:ascii="Times New Roman" w:hAnsi="Times New Roman" w:eastAsia="宋体" w:cs="Times New Roman"/>
                <w:vanish w:val="0"/>
                <w:color w:val="000000" w:themeColor="text1"/>
                <w:sz w:val="21"/>
                <w:szCs w:val="21"/>
                <w:vertAlign w:val="subscript"/>
                <w:lang w:val="en-US" w:eastAsia="zh-CN"/>
                <w14:textFill>
                  <w14:solidFill>
                    <w14:schemeClr w14:val="tx1"/>
                  </w14:solidFill>
                </w14:textFill>
              </w:rPr>
              <w:t>2.5</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NO</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vanish w:val="0"/>
                <w:color w:val="000000" w:themeColor="text1"/>
                <w:sz w:val="21"/>
                <w:szCs w:val="21"/>
                <w14:textFill>
                  <w14:solidFill>
                    <w14:schemeClr w14:val="tx1"/>
                  </w14:solidFill>
                </w14:textFill>
              </w:rPr>
              <w:t>、SO</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vanish w:val="0"/>
                <w:color w:val="000000" w:themeColor="text1"/>
                <w:sz w:val="21"/>
                <w:szCs w:val="21"/>
                <w14:textFill>
                  <w14:solidFill>
                    <w14:schemeClr w14:val="tx1"/>
                  </w14:solidFill>
                </w14:textFill>
              </w:rPr>
              <w:t>年平均值</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CO24小时平均浓度第95百分位数、O</w:t>
            </w:r>
            <w:r>
              <w:rPr>
                <w:rFonts w:hint="default" w:ascii="Times New Roman" w:hAnsi="Times New Roman" w:eastAsia="宋体" w:cs="Times New Roman"/>
                <w:vanish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vanish w:val="0"/>
                <w:color w:val="000000" w:themeColor="text1"/>
                <w:sz w:val="21"/>
                <w:szCs w:val="21"/>
                <w14:textFill>
                  <w14:solidFill>
                    <w14:schemeClr w14:val="tx1"/>
                  </w14:solidFill>
                </w14:textFill>
              </w:rPr>
              <w:t>日最大8小时平均浓度第90百分位数</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均</w:t>
            </w:r>
            <w:r>
              <w:rPr>
                <w:rFonts w:hint="default" w:ascii="Times New Roman" w:hAnsi="Times New Roman" w:eastAsia="宋体" w:cs="Times New Roman"/>
                <w:vanish w:val="0"/>
                <w:color w:val="000000" w:themeColor="text1"/>
                <w:sz w:val="21"/>
                <w:szCs w:val="21"/>
                <w14:textFill>
                  <w14:solidFill>
                    <w14:schemeClr w14:val="tx1"/>
                  </w14:solidFill>
                </w14:textFill>
              </w:rPr>
              <w:t>符合《环境空气质量标准》（</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GB3095-2026</w:t>
            </w:r>
            <w:r>
              <w:rPr>
                <w:rFonts w:hint="default" w:ascii="Times New Roman" w:hAnsi="Times New Roman" w:eastAsia="宋体" w:cs="Times New Roman"/>
                <w:vanish w:val="0"/>
                <w:color w:val="000000" w:themeColor="text1"/>
                <w:sz w:val="21"/>
                <w:szCs w:val="21"/>
                <w14:textFill>
                  <w14:solidFill>
                    <w14:schemeClr w14:val="tx1"/>
                  </w14:solidFill>
                </w14:textFill>
              </w:rPr>
              <w:t>）</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过渡阶段</w:t>
            </w:r>
            <w:r>
              <w:rPr>
                <w:rFonts w:hint="default" w:ascii="Times New Roman" w:hAnsi="Times New Roman" w:eastAsia="宋体" w:cs="Times New Roman"/>
                <w:vanish w:val="0"/>
                <w:color w:val="000000" w:themeColor="text1"/>
                <w:sz w:val="21"/>
                <w:szCs w:val="21"/>
                <w14:textFill>
                  <w14:solidFill>
                    <w14:schemeClr w14:val="tx1"/>
                  </w14:solidFill>
                </w14:textFill>
              </w:rPr>
              <w:t>二级标准</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要求</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p>
          <w:p w14:paraId="3FF6D0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综上所述，项目所在区域属于环境空气质量达标区</w:t>
            </w:r>
            <w:r>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t>。</w:t>
            </w:r>
          </w:p>
          <w:p w14:paraId="584583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bCs/>
                <w:vanish w:val="0"/>
                <w:color w:val="000000" w:themeColor="text1"/>
                <w:lang w:val="en-US" w:eastAsia="zh-CN"/>
                <w14:textFill>
                  <w14:solidFill>
                    <w14:schemeClr w14:val="tx1"/>
                  </w14:solidFill>
                </w14:textFill>
              </w:rPr>
            </w:pPr>
            <w:r>
              <w:rPr>
                <w:rFonts w:hint="eastAsia" w:ascii="Times New Roman" w:hAnsi="Times New Roman" w:cs="Times New Roman"/>
                <w:b/>
                <w:bCs/>
                <w:vanish w:val="0"/>
                <w:color w:val="000000" w:themeColor="text1"/>
                <w:lang w:val="en-US" w:eastAsia="zh-CN"/>
                <w14:textFill>
                  <w14:solidFill>
                    <w14:schemeClr w14:val="tx1"/>
                  </w14:solidFill>
                </w14:textFill>
              </w:rPr>
              <w:t>二</w:t>
            </w:r>
            <w:r>
              <w:rPr>
                <w:rFonts w:hint="default" w:ascii="Times New Roman" w:hAnsi="Times New Roman" w:cs="Times New Roman"/>
                <w:b/>
                <w:bCs/>
                <w:vanish w:val="0"/>
                <w:color w:val="000000" w:themeColor="text1"/>
                <w:lang w:val="en-US" w:eastAsia="zh-CN"/>
                <w14:textFill>
                  <w14:solidFill>
                    <w14:schemeClr w14:val="tx1"/>
                  </w14:solidFill>
                </w14:textFill>
              </w:rPr>
              <w:t>、声环境质量现状</w:t>
            </w:r>
          </w:p>
          <w:p w14:paraId="12DE8C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vanish w:val="0"/>
                <w:color w:val="000000" w:themeColor="text1"/>
                <w:lang w:val="en-US" w:eastAsia="zh-CN"/>
                <w14:textFill>
                  <w14:solidFill>
                    <w14:schemeClr w14:val="tx1"/>
                  </w14:solidFill>
                </w14:textFill>
              </w:rPr>
            </w:pPr>
            <w:r>
              <w:rPr>
                <w:rFonts w:hint="eastAsia" w:ascii="Times New Roman" w:hAnsi="Times New Roman" w:cs="Times New Roman"/>
                <w:vanish w:val="0"/>
                <w:color w:val="000000" w:themeColor="text1"/>
                <w:lang w:val="en-US" w:eastAsia="zh-CN"/>
                <w14:textFill>
                  <w14:solidFill>
                    <w14:schemeClr w14:val="tx1"/>
                  </w14:solidFill>
                </w14:textFill>
              </w:rPr>
              <w:t>净化水厂50m周边不存在环境敏感点，因此，不进行声环境现状评价。</w:t>
            </w:r>
          </w:p>
          <w:p w14:paraId="36A0112E">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360" w:lineRule="auto"/>
              <w:ind w:left="0" w:right="0" w:firstLine="412" w:firstLineChars="196"/>
              <w:textAlignment w:val="auto"/>
              <w:outlineLvl w:val="2"/>
              <w:rPr>
                <w:rFonts w:hint="default" w:ascii="Times New Roman" w:hAnsi="Times New Roman" w:cs="Times New Roman"/>
                <w:vanish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vanish w:val="0"/>
                <w:color w:val="000000" w:themeColor="text1"/>
                <w:kern w:val="0"/>
                <w:sz w:val="21"/>
                <w:szCs w:val="21"/>
                <w:highlight w:val="none"/>
                <w:lang w:val="en-US" w:eastAsia="zh-CN"/>
                <w14:textFill>
                  <w14:solidFill>
                    <w14:schemeClr w14:val="tx1"/>
                  </w14:solidFill>
                </w14:textFill>
              </w:rPr>
              <w:t>三、土壤环境质量现状</w:t>
            </w:r>
          </w:p>
          <w:p w14:paraId="31EBFA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vanish w:val="0"/>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0"/>
                <w:szCs w:val="21"/>
                <w:lang w:val="en-US" w:eastAsia="zh-CN"/>
                <w14:textFill>
                  <w14:solidFill>
                    <w14:schemeClr w14:val="tx1"/>
                  </w14:solidFill>
                </w14:textFill>
              </w:rPr>
              <w:t>根据《环境影响评价技术导则 土壤环境（试行）》（HJ964-2018），本项目为Ⅳ类建设项目，不存在土壤污染因子和途径，可不开展土壤环境质量现状调查。</w:t>
            </w:r>
          </w:p>
          <w:p w14:paraId="2A085C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bCs/>
                <w:snapToGrid w:val="0"/>
                <w:vanish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vanish w:val="0"/>
                <w:color w:val="000000" w:themeColor="text1"/>
                <w:kern w:val="0"/>
                <w:sz w:val="21"/>
                <w:szCs w:val="21"/>
                <w:highlight w:val="none"/>
                <w:lang w:val="en-US" w:eastAsia="zh-CN" w:bidi="ar-SA"/>
                <w14:textFill>
                  <w14:solidFill>
                    <w14:schemeClr w14:val="tx1"/>
                  </w14:solidFill>
                </w14:textFill>
              </w:rPr>
              <w:t>四、地下水环境质量现状</w:t>
            </w:r>
          </w:p>
          <w:p w14:paraId="4F69C05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0"/>
                <w:sz w:val="21"/>
                <w:szCs w:val="21"/>
                <w:lang w:val="en-US" w:eastAsia="zh-CN" w:bidi="ar-SA"/>
                <w14:textFill>
                  <w14:solidFill>
                    <w14:schemeClr w14:val="tx1"/>
                  </w14:solidFill>
                </w14:textFill>
              </w:rPr>
              <w:t>根据《环境影响评价技术导则 地下水环境》（HJ610-2016），本项目地下水环境影响评价项目类别为Ⅳ类，不存在土壤污染因子和途径，可不开展地下水环境质量现状调查。</w:t>
            </w:r>
          </w:p>
          <w:p w14:paraId="4753B70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五</w:t>
            </w:r>
            <w:r>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、生态环境质量现状</w:t>
            </w:r>
          </w:p>
          <w:p w14:paraId="185EAA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bCs/>
                <w:vanish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b/>
                <w:bCs/>
                <w:vanish w:val="0"/>
                <w:color w:val="000000" w:themeColor="text1"/>
                <w:kern w:val="0"/>
                <w:sz w:val="21"/>
                <w:szCs w:val="21"/>
                <w:lang w:val="en-US" w:eastAsia="zh-CN" w:bidi="ar-SA"/>
                <w14:textFill>
                  <w14:solidFill>
                    <w14:schemeClr w14:val="tx1"/>
                  </w14:solidFill>
                </w14:textFill>
              </w:rPr>
              <w:t>生态功能区划</w:t>
            </w:r>
          </w:p>
          <w:p w14:paraId="42CB56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根据《陕西省生态功能区划》，陕西省划分4个生态区、10个生态功能区、35个生态功能小区。本项目位于陕西省生态功能区中的</w:t>
            </w:r>
            <w:r>
              <w:rPr>
                <w:rFonts w:hint="eastAsia"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秦岭中高山生物多样性保护区</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，本项目在陕西省生态功能区划中位置详见附图</w:t>
            </w:r>
            <w:r>
              <w:rPr>
                <w:rFonts w:hint="eastAsia"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w:t>
            </w:r>
          </w:p>
          <w:p w14:paraId="3826F102">
            <w:pPr>
              <w:pStyle w:val="3"/>
              <w:keepNext/>
              <w:keepLines w:val="0"/>
              <w:pageBreakBefore w:val="0"/>
              <w:widowControl w:val="0"/>
              <w:kinsoku/>
              <w:wordWrap/>
              <w:overflowPunct/>
              <w:topLinePunct w:val="0"/>
              <w:autoSpaceDE/>
              <w:autoSpaceDN/>
              <w:bidi w:val="0"/>
              <w:adjustRightInd w:val="0"/>
              <w:snapToGrid w:val="0"/>
              <w:spacing w:before="0" w:after="0" w:line="360" w:lineRule="auto"/>
              <w:ind w:firstLine="420" w:firstLineChars="200"/>
              <w:jc w:val="left"/>
              <w:textAlignment w:val="auto"/>
              <w:rPr>
                <w:rFonts w:hint="default" w:ascii="Times New Roman" w:hAnsi="Times New Roman" w:eastAsia="宋体" w:cs="Times New Roman"/>
                <w:b/>
                <w:bCs/>
                <w:vanish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0"/>
                <w:sz w:val="21"/>
                <w:szCs w:val="21"/>
                <w:lang w:val="en-US" w:eastAsia="zh-CN" w:bidi="ar-SA"/>
                <w14:textFill>
                  <w14:solidFill>
                    <w14:schemeClr w14:val="tx1"/>
                  </w14:solidFill>
                </w14:textFill>
              </w:rPr>
              <w:t>2</w:t>
            </w:r>
            <w:r>
              <w:rPr>
                <w:rFonts w:hint="default" w:ascii="Times New Roman" w:hAnsi="Times New Roman" w:eastAsia="宋体" w:cs="Times New Roman"/>
                <w:b/>
                <w:bCs/>
                <w:vanish w:val="0"/>
                <w:color w:val="000000" w:themeColor="text1"/>
                <w:kern w:val="0"/>
                <w:sz w:val="21"/>
                <w:szCs w:val="21"/>
                <w:lang w:val="en-US" w:eastAsia="zh-CN" w:bidi="ar-SA"/>
                <w14:textFill>
                  <w14:solidFill>
                    <w14:schemeClr w14:val="tx1"/>
                  </w14:solidFill>
                </w14:textFill>
              </w:rPr>
              <w:t>、地形、地貌</w:t>
            </w:r>
          </w:p>
          <w:p w14:paraId="3841BAA1">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太白县</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由北及南，北仰南缓，太白山居中东西展布隆起，形成中高、南北较低之地形大势，分为高山、中山、中山丘陵、断陷盆地、山间盆地、冰川6种地貌类型。</w:t>
            </w:r>
          </w:p>
          <w:p w14:paraId="6A3FECF7">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高山由北而南大致分为三个带：北带从玉皇山、冻山到青峰山；中带从太白山主峰拔仙台向西经跑马梁、太白梁到鳌山、南天门、银河山；南带见于光头山。北带与中带海拔多为2000米以上的山峰与山脊，比高在1000米以上，岩石质地坚硬、节理裂隙发育，山体处上升时期，切割剧烈，地形高峻，呈</w:t>
            </w:r>
            <w:r>
              <w:rPr>
                <w:rFonts w:hint="eastAsia" w:ascii="Times New Roman" w:hAnsi="Times New Roman"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V</w:t>
            </w:r>
            <w:r>
              <w:rPr>
                <w:rFonts w:hint="eastAsia" w:ascii="Times New Roman" w:hAnsi="Times New Roman"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形河谷发育。</w:t>
            </w:r>
          </w:p>
          <w:p w14:paraId="4295B2C7">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中山山体陡峭、谷深、水流湍急，喀斯特地形较发育，海拔一般在1500～2000米，山间呈</w:t>
            </w:r>
            <w:r>
              <w:rPr>
                <w:rFonts w:hint="eastAsia" w:ascii="Times New Roman" w:hAnsi="Times New Roman"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U</w:t>
            </w:r>
            <w:r>
              <w:rPr>
                <w:rFonts w:hint="eastAsia" w:ascii="Times New Roman" w:hAnsi="Times New Roman"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形河谷。</w:t>
            </w:r>
          </w:p>
          <w:p w14:paraId="43BB9B0A">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中山丘陵分布于靖口、嘴头、桃川、鹦鸽等地，海拔一般在1000～1500米，比高在500～800米左右，岩石抗蚀能力差，山脊多被剥蚀成圆形山丘，且多被以薄层黄土。</w:t>
            </w:r>
          </w:p>
          <w:p w14:paraId="4EB770CB">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断陷盆地靖口乡与嘴头镇的断陷盆地是燕山运动时形成的，至第四纪时，秦岭褶皱虽在整体上升，但由于受老构造控制及新构造运动的差异活动，这些断陷盆地以下沉为主。桃川乡、鹦鸽乡断陷盆地是第四纪时老断裂的复活加上河流侵蚀作用形成的。这些断陷盆地，前者受东西构造控制，后者受北东构造控制，唯嘴头镇较为开阔，桃川、鹦鸽、靖口较狭窄。</w:t>
            </w:r>
          </w:p>
          <w:p w14:paraId="5C205249">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山间盆地沿县境南部的红岩河、太白河、湑水河及其支流所处位置的岩石主要为页岩类，其抗蚀能力差、裂隙发育，经河流不断冲刷形成一系列山间小盆地。主要分布于白云、王家堎、太白河、二郎坝、牛尾河等地。</w:t>
            </w:r>
          </w:p>
          <w:p w14:paraId="18DFADAA">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冰川境内第四纪冰川地形遗迹保留完好。主要分布于玉皇山、冻山，向东经秦岭梁至青峰山，向南经五里坡到鳌山、太白山，再东跨出县境。冰川遗迹有冰窖、雪坑、冰斗、槽谷、悬冰川、角峰、刃脊等。这些遗迹在玉皇山到青峰山一带，多发生在海拔2000米左右，在太白山到鳌山一带发生在3000米左右。在太白山主峰3425～3524米和3600～3700米高度，有两个大平面，属山丘冰川遗迹，山峰呈棱角锥体，峰峦叠嶂，深谷回折，刃脊、角峰峥嵘峻峭。</w:t>
            </w:r>
          </w:p>
          <w:p w14:paraId="4F180945">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bCs/>
                <w:i w:val="0"/>
                <w:iCs w:val="0"/>
                <w:caps w:val="0"/>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bCs/>
                <w:i w:val="0"/>
                <w:iCs w:val="0"/>
                <w:caps w:val="0"/>
                <w:vanish w:val="0"/>
                <w:color w:val="000000" w:themeColor="text1"/>
                <w:spacing w:val="0"/>
                <w:kern w:val="2"/>
                <w:sz w:val="21"/>
                <w:szCs w:val="21"/>
                <w:lang w:val="en-US" w:eastAsia="zh-CN" w:bidi="ar-SA"/>
                <w14:textFill>
                  <w14:solidFill>
                    <w14:schemeClr w14:val="tx1"/>
                  </w14:solidFill>
                </w14:textFill>
              </w:rPr>
              <w:t>3</w:t>
            </w:r>
            <w:r>
              <w:rPr>
                <w:rFonts w:hint="default" w:ascii="Times New Roman" w:hAnsi="Times New Roman" w:eastAsia="宋体" w:cs="Times New Roman"/>
                <w:b/>
                <w:bCs/>
                <w:i w:val="0"/>
                <w:iCs w:val="0"/>
                <w:caps w:val="0"/>
                <w:vanish w:val="0"/>
                <w:color w:val="000000" w:themeColor="text1"/>
                <w:spacing w:val="0"/>
                <w:kern w:val="2"/>
                <w:sz w:val="21"/>
                <w:szCs w:val="21"/>
                <w:lang w:val="en-US" w:eastAsia="zh-CN" w:bidi="ar-SA"/>
                <w14:textFill>
                  <w14:solidFill>
                    <w14:schemeClr w14:val="tx1"/>
                  </w14:solidFill>
                </w14:textFill>
              </w:rPr>
              <w:t>、水文</w:t>
            </w:r>
          </w:p>
          <w:p w14:paraId="0202D436">
            <w:pPr>
              <w:keepNext w:val="0"/>
              <w:keepLines w:val="0"/>
              <w:widowControl/>
              <w:suppressLineNumbers w:val="0"/>
              <w:spacing w:line="360" w:lineRule="auto"/>
              <w:ind w:firstLine="420" w:firstLineChars="200"/>
              <w:jc w:val="both"/>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项目最近地表水系为</w:t>
            </w:r>
            <w:r>
              <w:rPr>
                <w:rFonts w:hint="eastAsia"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石头河，</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 xml:space="preserve">石头河属黄河水系，是渭河右岸一级支流，发源于宝鸡市太白县桃川镇沙坡村秦岭西端太白山区的鳌山北麓，由南向北流经太白县桃川镇、鹦鸽镇、眉县齐镇、岐山县蔡家坡镇，于岐山县蔡家坡镇新庄村附近汇入渭河。河道全长68.4km，流域面积 778.7km2，河道比降 20.0‰。石头河流域南踞太白山，北临渭河，地势南高北低，东西高中部低。南部的太白山区海拔高程多在 2500m 以上，最高峰太白山海拔 3767m；北部为关中平原的一部分，河口处的岐山县蔡家坡镇新庄村附近海拔高程在 497m 左右。 </w:t>
            </w:r>
          </w:p>
          <w:p w14:paraId="42F169DE">
            <w:pPr>
              <w:keepNext w:val="0"/>
              <w:keepLines w:val="0"/>
              <w:pageBreakBefore w:val="0"/>
              <w:widowControl/>
              <w:suppressLineNumbers w:val="0"/>
              <w:kinsoku/>
              <w:wordWrap/>
              <w:overflowPunct/>
              <w:topLinePunct/>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石头河源头段称五里峡，发源于鳌山北麓，由源头至大蹇沟口全长约14.0km成南北流向，流域面积160km</w:t>
            </w:r>
            <w:r>
              <w:rPr>
                <w:rFonts w:hint="default" w:ascii="Times New Roman" w:hAnsi="Times New Roman" w:eastAsia="宋体" w:cs="Times New Roman"/>
                <w:b w:val="0"/>
                <w:bCs w:val="0"/>
                <w:vanish w:val="0"/>
                <w:color w:val="000000" w:themeColor="text1"/>
                <w:kern w:val="0"/>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，全部穿流在高山峻岭之中，河床平均比降40～50‰，常年流量1.2m</w:t>
            </w:r>
            <w:r>
              <w:rPr>
                <w:rFonts w:hint="default" w:ascii="Times New Roman" w:hAnsi="Times New Roman" w:eastAsia="宋体" w:cs="Times New Roman"/>
                <w:b w:val="0"/>
                <w:bCs w:val="0"/>
                <w:vanish w:val="0"/>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/s，河床质以大粒径卵石为主。从大蹇沟口开始转为东西流向，并进入桃川盆地，东流 15.0km以后出桃川盆地，此时有白云峡从右岸入汇。过白云峡口以后，又折向北流，至任朝楞段，有三岔河汇入，常年流量显著增加到12.0m</w:t>
            </w:r>
            <w:r>
              <w:rPr>
                <w:rFonts w:hint="default" w:ascii="Times New Roman" w:hAnsi="Times New Roman" w:eastAsia="宋体" w:cs="Times New Roman"/>
                <w:b w:val="0"/>
                <w:bCs w:val="0"/>
                <w:vanish w:val="0"/>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/s以上，河宽增大至200～300m，平均比降20‰左右，出斜峪关后，进入关中平原。石头河斜峪关以上为山区，控制流域面积686km</w:t>
            </w:r>
            <w:r>
              <w:rPr>
                <w:rFonts w:hint="default" w:ascii="Times New Roman" w:hAnsi="Times New Roman" w:eastAsia="宋体" w:cs="Times New Roman"/>
                <w:b w:val="0"/>
                <w:bCs w:val="0"/>
                <w:vanish w:val="0"/>
                <w:color w:val="000000" w:themeColor="text1"/>
                <w:kern w:val="0"/>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，占流域总面积的90%，干流长53.6km，河道比降平均为1/60～1/70，流域呈扇形，河床质由沙砾石组成。马耳山以上山高沟深，多为</w:t>
            </w:r>
            <w:r>
              <w:rPr>
                <w:rFonts w:hint="eastAsia"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V</w:t>
            </w:r>
            <w:r>
              <w:rPr>
                <w:rFonts w:hint="eastAsia"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形河谷，以下成</w:t>
            </w:r>
            <w:r>
              <w:rPr>
                <w:rFonts w:hint="eastAsia"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U</w:t>
            </w:r>
            <w:r>
              <w:rPr>
                <w:rFonts w:hint="eastAsia"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形，平均宽约300多米，河道蜿蜒，悬崖峭壁，林木茂盛，植被较好，水流清澈，含沙量小，仅洪水期有滚石现象。斜峪关以下无支流汇入，流域面积很小。</w:t>
            </w:r>
          </w:p>
          <w:p w14:paraId="77D30E4E">
            <w:pPr>
              <w:pStyle w:val="3"/>
              <w:keepNext/>
              <w:keepLines w:val="0"/>
              <w:pageBreakBefore w:val="0"/>
              <w:widowControl w:val="0"/>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default" w:ascii="Times New Roman" w:hAnsi="Times New Roman" w:eastAsia="宋体" w:cs="Times New Roman"/>
                <w:b/>
                <w:bCs/>
                <w:i w:val="0"/>
                <w:iCs w:val="0"/>
                <w:caps w:val="0"/>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bCs/>
                <w:i w:val="0"/>
                <w:iCs w:val="0"/>
                <w:caps w:val="0"/>
                <w:vanish w:val="0"/>
                <w:color w:val="000000" w:themeColor="text1"/>
                <w:spacing w:val="0"/>
                <w:kern w:val="2"/>
                <w:sz w:val="21"/>
                <w:szCs w:val="21"/>
                <w:lang w:val="en-US" w:eastAsia="zh-CN" w:bidi="ar-SA"/>
                <w14:textFill>
                  <w14:solidFill>
                    <w14:schemeClr w14:val="tx1"/>
                  </w14:solidFill>
                </w14:textFill>
              </w:rPr>
              <w:t>4</w:t>
            </w:r>
            <w:r>
              <w:rPr>
                <w:rFonts w:hint="default" w:ascii="Times New Roman" w:hAnsi="Times New Roman" w:eastAsia="宋体" w:cs="Times New Roman"/>
                <w:b/>
                <w:bCs/>
                <w:i w:val="0"/>
                <w:iCs w:val="0"/>
                <w:caps w:val="0"/>
                <w:vanish w:val="0"/>
                <w:color w:val="000000" w:themeColor="text1"/>
                <w:spacing w:val="0"/>
                <w:kern w:val="2"/>
                <w:sz w:val="21"/>
                <w:szCs w:val="21"/>
                <w:lang w:val="en-US" w:eastAsia="zh-CN" w:bidi="ar-SA"/>
                <w14:textFill>
                  <w14:solidFill>
                    <w14:schemeClr w14:val="tx1"/>
                  </w14:solidFill>
                </w14:textFill>
              </w:rPr>
              <w:t>、地质条件</w:t>
            </w:r>
          </w:p>
          <w:p w14:paraId="03752A65">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太白县</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处于秦岭褶皱系中，分华北台地和秦岭褶皱两个一级构造单元。元古代以前，县西的靖口以北至嘴头镇到鹦鸽一带为北秦岭中元古代地槽，由早、晚两个阶段构成。早期阶段由海相塞性火山——沉积岩、碳酸盐岩构成；晚期阶段由陆原碎岩、碳酸盐岩构成。古生代时，为火山岩层的奥陶系沉积。石炭纪时，为含煤碎屑岩建造，并伴有基性岩到酸性岩的岩浆侵入。华力西回旋时，为泥盆系类复理式沉积建造。</w:t>
            </w:r>
          </w:p>
          <w:p w14:paraId="08A5D8F7">
            <w:pPr>
              <w:pStyle w:val="22"/>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textAlignment w:val="auto"/>
              <w:rPr>
                <w:rFonts w:hint="eastAsia" w:ascii="Times New Roman" w:hAnsi="Times New Roman" w:eastAsia="宋体" w:cs="Times New Roman"/>
                <w:b/>
                <w:bCs/>
                <w:vanish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0"/>
                <w:sz w:val="21"/>
                <w:szCs w:val="21"/>
                <w:lang w:val="en-US" w:eastAsia="zh-CN" w:bidi="ar-SA"/>
                <w14:textFill>
                  <w14:solidFill>
                    <w14:schemeClr w14:val="tx1"/>
                  </w14:solidFill>
                </w14:textFill>
              </w:rPr>
              <w:t>植被</w:t>
            </w:r>
          </w:p>
          <w:p w14:paraId="4D63D27F">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太白县</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植被具有华北、华中植物区系成份。由于地质年代古老、山体高大，故植物类型多、垂直分布带谱明显。森林植物1000余种，其中乔木100余种、灌木300余种、草本植物600余种。天然植被主要为落叶阔叶林、针叶阔叶混交林、竹林、高山针叶林、高山灌丛、草甸及草本植物；人工植被为人造油松林、刺槐林、果林及农作物等。</w:t>
            </w:r>
          </w:p>
          <w:p w14:paraId="46FC9B1F">
            <w:pPr>
              <w:pStyle w:val="22"/>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全县森林覆盖面积为308万余亩，占全县总面积的75.12%；荒山荒坡杂草覆盖面积为17万余亩，占全县总面积的4.15%；人工造林覆盖面积为10236亩，占全县总面积的0.25%；果林覆盖面积3005亩，占全县总面积的0.073%；农作物覆盖面积12万余亩，占全县总面积的2.93%；种植牧草覆盖面积9739亩，占全县总面积的0.23%。</w:t>
            </w:r>
          </w:p>
          <w:p w14:paraId="69A5F73B">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太白县</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天然植被主要分为落叶阔叶林、针阔叶混交林、高山针叶林、高山灌丛和高山草甸五个植被区。</w:t>
            </w:r>
          </w:p>
          <w:p w14:paraId="29F03D19">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其中</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落叶阔叶林植被区 主要分布于桃川、鹦鸽、龙窝、高码头等4乡之海拔800～1100米低山地带，为本县暖温带区域内地带性顶极植被群落。以天然阔叶林为主，有栓皮栎、锐齿栎、辽东栎、板栗、槲栎、山杨、榔榆、小叶朴、山杏等林木及竹林。其大部分为采伐后而萌生的幼林，干矮弯曲者多，已趋衰退。在鹦鸽乡之陡地、土浅、石多之处，有片状分布的侧柏林。本区因人为因素也常有针叶树如油松侵入林内，形成针阔叶混交林植被相。本区灌木类以优势植被出现的有黄栌、绿叶胡枝子、盐肤木、胡颓子、榛子、绣球绣线菊、蔷薇等；草本植被主要有兔儿伞、供蒿、牛尾蒿、野青茅、野棉花、前胡、紫苑、狼尾巴草、柴胡等。</w:t>
            </w:r>
          </w:p>
          <w:p w14:paraId="13840047">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针阔叶混交林植被区针阔叶混交林是本县主要植被群落，类型较多，植被区系成份复杂，有暖温带、亚热带植被过渡的自然特色。主要分布于中山地带之海拔1100～2300米间，有松栎混交林、松（华山松</w:t>
            </w: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桦（白桦</w:t>
            </w: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混交林，也有栎、松、桦或阔杂分别成片分布相，形成不同群落类型。其树种组成有油松、华山松、锐齿栎、辽东栎、栓皮栎、槲树、红桦、白桦、山杨、铁杉、五角枫、山榆、千金榆、鹅耳枥、漆树、白腊树、核桃、野胡桃、栲属、椴属等。在黄柏塬、二郎坝、太白河、王家堎等</w:t>
            </w:r>
            <w:r>
              <w:rPr>
                <w:rFonts w:hint="eastAsia"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乡</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海拔1500米以下多为油松与阔叶树混交林。植被区灌丛以优势的松花竹、蔷薇、绣线菊、忍冬、园叶六道木、黄栌、盐肤木、胡枝子为主；草本以优势大披针、菊科为主。</w:t>
            </w:r>
          </w:p>
          <w:p w14:paraId="64FFC402">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（6）动植物资源现状</w:t>
            </w:r>
          </w:p>
          <w:p w14:paraId="5D48DC4B">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项目位于宝鸡市太白县，</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根据现状调查和收集资料，项目所在区域地处秦岭中高山生物多样性保护区，受人类活动的影响，区内陆生动物组成比较简单，种类较少，多为常见种类，物种组成以小型兽类、禽类和爬行类为主。兽类主要有草兔、普通刺猬、花鼠、小家鼠等，禽类主要有家燕、喜鹊、乌鸦、麻雀等、爬行类主要有无蹼壁虎、黑眉锦蛇等。</w:t>
            </w:r>
          </w:p>
          <w:p w14:paraId="511DB64D">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项目涉及河道穿越，评价区内水生动物主要分布于</w:t>
            </w: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红岩</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河和</w:t>
            </w:r>
            <w:r>
              <w:rPr>
                <w:rFonts w:hint="eastAsia"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虢川</w:t>
            </w:r>
            <w:r>
              <w:rPr>
                <w:rFonts w:hint="default" w:ascii="Times New Roman" w:hAnsi="Times New Roman" w:eastAsia="宋体" w:cs="Times New Roman"/>
                <w:b w:val="0"/>
                <w:bCs w:val="0"/>
                <w:i w:val="0"/>
                <w:iCs w:val="0"/>
                <w:caps w:val="0"/>
                <w:vanish w:val="0"/>
                <w:color w:val="000000" w:themeColor="text1"/>
                <w:spacing w:val="0"/>
                <w:kern w:val="2"/>
                <w:sz w:val="21"/>
                <w:szCs w:val="21"/>
                <w:lang w:val="en-US" w:eastAsia="zh-CN" w:bidi="ar-SA"/>
                <w14:textFill>
                  <w14:solidFill>
                    <w14:schemeClr w14:val="tx1"/>
                  </w14:solidFill>
                </w14:textFill>
              </w:rPr>
              <w:t>河中，主要动物为浮游动物、底栖动物和鱼类为主，浮游动物主要有普通表壳虫、锯齿真剑水蚤、螺形龟甲轮虫等，底栖动物主要有河蚬、田螺、蜉蝣、龙虱等，鱼类主要有麦穗鱼、鲫鱼、泥鳅、草鱼、鲶鱼等。经调查和走访，评价范围内无需要特殊保护的野生动物。</w:t>
            </w:r>
          </w:p>
        </w:tc>
      </w:tr>
      <w:tr w14:paraId="40C4A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hidden/>
        </w:trPr>
        <w:tc>
          <w:tcPr>
            <w:tcW w:w="800" w:type="dxa"/>
            <w:noWrap w:val="0"/>
            <w:vAlign w:val="center"/>
          </w:tcPr>
          <w:p w14:paraId="6513E039">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环境</w:t>
            </w:r>
          </w:p>
          <w:p w14:paraId="6C657234">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保护</w:t>
            </w:r>
          </w:p>
          <w:p w14:paraId="4E29295A">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目标</w:t>
            </w:r>
          </w:p>
        </w:tc>
        <w:tc>
          <w:tcPr>
            <w:tcW w:w="8190" w:type="dxa"/>
            <w:noWrap w:val="0"/>
            <w:vAlign w:val="center"/>
          </w:tcPr>
          <w:p w14:paraId="1504B774">
            <w:pPr>
              <w:pStyle w:val="13"/>
              <w:keepNext w:val="0"/>
              <w:keepLines w:val="0"/>
              <w:pageBreakBefore w:val="0"/>
              <w:widowControl w:val="0"/>
              <w:kinsoku/>
              <w:wordWrap/>
              <w:overflowPunct/>
              <w:topLinePunct w:val="0"/>
              <w:autoSpaceDE/>
              <w:autoSpaceDN/>
              <w:bidi w:val="0"/>
              <w:adjustRightInd w:val="0"/>
              <w:spacing w:line="360" w:lineRule="auto"/>
              <w:ind w:left="0" w:leftChars="0" w:right="0" w:rightChars="0" w:firstLine="420" w:firstLineChars="200"/>
              <w:jc w:val="left"/>
              <w:textAlignment w:val="auto"/>
              <w:rPr>
                <w:rFonts w:hint="default" w:ascii="Times New Roman" w:hAnsi="Times New Roman" w:cs="Times New Roman"/>
                <w:vanish w:val="0"/>
                <w:color w:val="000000" w:themeColor="text1"/>
                <w:highlight w:val="none"/>
                <w:lang w:val="en-US" w:eastAsia="zh-CN"/>
                <w14:textFill>
                  <w14:solidFill>
                    <w14:schemeClr w14:val="tx1"/>
                  </w14:solidFill>
                </w14:textFill>
              </w:rPr>
            </w:pPr>
            <w:r>
              <w:rPr>
                <w:rFonts w:hint="default" w:ascii="Times New Roman" w:hAnsi="Times New Roman" w:cs="Times New Roman"/>
                <w:vanish w:val="0"/>
                <w:color w:val="000000" w:themeColor="text1"/>
                <w:highlight w:val="none"/>
                <w:lang w:val="en-US" w:eastAsia="zh-CN"/>
                <w14:textFill>
                  <w14:solidFill>
                    <w14:schemeClr w14:val="tx1"/>
                  </w14:solidFill>
                </w14:textFill>
              </w:rPr>
              <w:t>经过现场踏勘，项目周边主要环境保护目标见下表：</w:t>
            </w:r>
          </w:p>
          <w:p w14:paraId="00B889C4">
            <w:pPr>
              <w:pStyle w:val="8"/>
              <w:keepNext w:val="0"/>
              <w:keepLines w:val="0"/>
              <w:pageBreakBefore w:val="0"/>
              <w:widowControl w:val="0"/>
              <w:kinsoku/>
              <w:wordWrap/>
              <w:overflowPunct/>
              <w:topLinePunct w:val="0"/>
              <w:autoSpaceDE/>
              <w:autoSpaceDN/>
              <w:bidi w:val="0"/>
              <w:adjustRightInd w:val="0"/>
              <w:spacing w:after="0" w:line="240" w:lineRule="auto"/>
              <w:ind w:left="0" w:leftChars="0" w:right="0" w:rightChars="0"/>
              <w:jc w:val="center"/>
              <w:textAlignment w:val="auto"/>
              <w:rPr>
                <w:rFonts w:hint="default" w:ascii="Times New Roman" w:hAnsi="Times New Roman" w:cs="Times New Roman"/>
                <w:b/>
                <w:bCs/>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vanish w:val="0"/>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cs="Times New Roman"/>
                <w:b/>
                <w:bCs/>
                <w:vanish w:val="0"/>
                <w:color w:val="000000" w:themeColor="text1"/>
                <w:kern w:val="2"/>
                <w:sz w:val="21"/>
                <w:szCs w:val="21"/>
                <w:highlight w:val="none"/>
                <w:lang w:val="en-US" w:eastAsia="zh-CN" w:bidi="ar-SA"/>
                <w14:textFill>
                  <w14:solidFill>
                    <w14:schemeClr w14:val="tx1"/>
                  </w14:solidFill>
                </w14:textFill>
              </w:rPr>
              <w:t>3-</w:t>
            </w:r>
            <w:r>
              <w:rPr>
                <w:rFonts w:hint="eastAsia" w:cs="Times New Roman"/>
                <w:b/>
                <w:bCs/>
                <w:vanish w:val="0"/>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cs="Times New Roman"/>
                <w:b/>
                <w:bCs/>
                <w:vanish w:val="0"/>
                <w:color w:val="000000" w:themeColor="text1"/>
                <w:kern w:val="2"/>
                <w:sz w:val="21"/>
                <w:szCs w:val="21"/>
                <w:highlight w:val="none"/>
                <w:lang w:val="en-US" w:eastAsia="zh-CN" w:bidi="ar-SA"/>
                <w14:textFill>
                  <w14:solidFill>
                    <w14:schemeClr w14:val="tx1"/>
                  </w14:solidFill>
                </w14:textFill>
              </w:rPr>
              <w:t xml:space="preserve">   环境主要保护目标</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289"/>
              <w:gridCol w:w="1137"/>
              <w:gridCol w:w="753"/>
              <w:gridCol w:w="532"/>
              <w:gridCol w:w="1835"/>
              <w:gridCol w:w="902"/>
              <w:gridCol w:w="894"/>
            </w:tblGrid>
            <w:tr w14:paraId="4F91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hidden/>
              </w:trPr>
              <w:tc>
                <w:tcPr>
                  <w:tcW w:w="387" w:type="pct"/>
                  <w:vMerge w:val="restart"/>
                  <w:noWrap w:val="0"/>
                  <w:vAlign w:val="center"/>
                </w:tcPr>
                <w:p w14:paraId="482B276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名称</w:t>
                  </w:r>
                </w:p>
              </w:tc>
              <w:tc>
                <w:tcPr>
                  <w:tcW w:w="1524" w:type="pct"/>
                  <w:gridSpan w:val="2"/>
                  <w:noWrap w:val="0"/>
                  <w:vAlign w:val="center"/>
                </w:tcPr>
                <w:p w14:paraId="7B4AC61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坐标/m</w:t>
                  </w:r>
                </w:p>
              </w:tc>
              <w:tc>
                <w:tcPr>
                  <w:tcW w:w="473" w:type="pct"/>
                  <w:vMerge w:val="restart"/>
                  <w:noWrap w:val="0"/>
                  <w:vAlign w:val="center"/>
                </w:tcPr>
                <w:p w14:paraId="362E341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保护对象</w:t>
                  </w:r>
                </w:p>
              </w:tc>
              <w:tc>
                <w:tcPr>
                  <w:tcW w:w="334" w:type="pct"/>
                  <w:vMerge w:val="restart"/>
                  <w:noWrap w:val="0"/>
                  <w:vAlign w:val="center"/>
                </w:tcPr>
                <w:p w14:paraId="2A4824E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保护内容</w:t>
                  </w:r>
                </w:p>
              </w:tc>
              <w:tc>
                <w:tcPr>
                  <w:tcW w:w="1152" w:type="pct"/>
                  <w:vMerge w:val="restart"/>
                  <w:noWrap w:val="0"/>
                  <w:vAlign w:val="center"/>
                </w:tcPr>
                <w:p w14:paraId="4B9A5B1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环境功能区</w:t>
                  </w:r>
                </w:p>
              </w:tc>
              <w:tc>
                <w:tcPr>
                  <w:tcW w:w="566" w:type="pct"/>
                  <w:vMerge w:val="restart"/>
                  <w:noWrap w:val="0"/>
                  <w:vAlign w:val="center"/>
                </w:tcPr>
                <w:p w14:paraId="2BFD90C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相对场址方位</w:t>
                  </w:r>
                </w:p>
              </w:tc>
              <w:tc>
                <w:tcPr>
                  <w:tcW w:w="561" w:type="pct"/>
                  <w:vMerge w:val="restart"/>
                  <w:noWrap w:val="0"/>
                  <w:vAlign w:val="center"/>
                </w:tcPr>
                <w:p w14:paraId="294EA69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相对厂界距离</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/m</w:t>
                  </w:r>
                </w:p>
              </w:tc>
            </w:tr>
            <w:tr w14:paraId="19A2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hidden/>
              </w:trPr>
              <w:tc>
                <w:tcPr>
                  <w:tcW w:w="387" w:type="pct"/>
                  <w:vMerge w:val="continue"/>
                  <w:noWrap w:val="0"/>
                  <w:vAlign w:val="center"/>
                </w:tcPr>
                <w:p w14:paraId="78CF0EA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p>
              </w:tc>
              <w:tc>
                <w:tcPr>
                  <w:tcW w:w="809" w:type="pct"/>
                  <w:noWrap w:val="0"/>
                  <w:vAlign w:val="center"/>
                </w:tcPr>
                <w:p w14:paraId="2953ABB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X</w:t>
                  </w:r>
                </w:p>
              </w:tc>
              <w:tc>
                <w:tcPr>
                  <w:tcW w:w="714" w:type="pct"/>
                  <w:noWrap w:val="0"/>
                  <w:vAlign w:val="center"/>
                </w:tcPr>
                <w:p w14:paraId="3639B2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Y</w:t>
                  </w:r>
                </w:p>
              </w:tc>
              <w:tc>
                <w:tcPr>
                  <w:tcW w:w="473" w:type="pct"/>
                  <w:vMerge w:val="continue"/>
                  <w:noWrap w:val="0"/>
                  <w:vAlign w:val="center"/>
                </w:tcPr>
                <w:p w14:paraId="667EFCF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p>
              </w:tc>
              <w:tc>
                <w:tcPr>
                  <w:tcW w:w="334" w:type="pct"/>
                  <w:vMerge w:val="continue"/>
                  <w:noWrap w:val="0"/>
                  <w:vAlign w:val="center"/>
                </w:tcPr>
                <w:p w14:paraId="757F9EF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p>
              </w:tc>
              <w:tc>
                <w:tcPr>
                  <w:tcW w:w="1152" w:type="pct"/>
                  <w:vMerge w:val="continue"/>
                  <w:noWrap w:val="0"/>
                  <w:vAlign w:val="center"/>
                </w:tcPr>
                <w:p w14:paraId="25FB962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p>
              </w:tc>
              <w:tc>
                <w:tcPr>
                  <w:tcW w:w="566" w:type="pct"/>
                  <w:vMerge w:val="continue"/>
                  <w:noWrap w:val="0"/>
                  <w:vAlign w:val="center"/>
                </w:tcPr>
                <w:p w14:paraId="3796556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p>
              </w:tc>
              <w:tc>
                <w:tcPr>
                  <w:tcW w:w="561" w:type="pct"/>
                  <w:vMerge w:val="continue"/>
                  <w:noWrap w:val="0"/>
                  <w:vAlign w:val="center"/>
                </w:tcPr>
                <w:p w14:paraId="1AE3F0C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p>
              </w:tc>
            </w:tr>
            <w:tr w14:paraId="6F03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hidden/>
              </w:trPr>
              <w:tc>
                <w:tcPr>
                  <w:tcW w:w="5000" w:type="pct"/>
                  <w:gridSpan w:val="8"/>
                  <w:noWrap w:val="0"/>
                  <w:vAlign w:val="center"/>
                </w:tcPr>
                <w:p w14:paraId="596E25F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净化水厂</w:t>
                  </w:r>
                </w:p>
              </w:tc>
            </w:tr>
            <w:tr w14:paraId="2A3B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hidden/>
              </w:trPr>
              <w:tc>
                <w:tcPr>
                  <w:tcW w:w="387" w:type="pct"/>
                  <w:noWrap w:val="0"/>
                  <w:vAlign w:val="center"/>
                </w:tcPr>
                <w:p w14:paraId="3BAF9E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大气</w:t>
                  </w:r>
                </w:p>
                <w:p w14:paraId="6CAA45E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环境</w:t>
                  </w:r>
                </w:p>
              </w:tc>
              <w:tc>
                <w:tcPr>
                  <w:tcW w:w="809" w:type="pct"/>
                  <w:noWrap w:val="0"/>
                  <w:vAlign w:val="center"/>
                </w:tcPr>
                <w:p w14:paraId="46EB72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107.448571</w:t>
                  </w:r>
                </w:p>
              </w:tc>
              <w:tc>
                <w:tcPr>
                  <w:tcW w:w="714" w:type="pct"/>
                  <w:noWrap w:val="0"/>
                  <w:vAlign w:val="center"/>
                </w:tcPr>
                <w:p w14:paraId="751775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34.048841</w:t>
                  </w:r>
                </w:p>
              </w:tc>
              <w:tc>
                <w:tcPr>
                  <w:tcW w:w="473" w:type="pct"/>
                  <w:noWrap w:val="0"/>
                  <w:vAlign w:val="center"/>
                </w:tcPr>
                <w:p w14:paraId="19196F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杜家庄</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村</w:t>
                  </w:r>
                </w:p>
              </w:tc>
              <w:tc>
                <w:tcPr>
                  <w:tcW w:w="334" w:type="pct"/>
                  <w:noWrap w:val="0"/>
                  <w:vAlign w:val="center"/>
                </w:tcPr>
                <w:p w14:paraId="45F1991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人群健康</w:t>
                  </w:r>
                </w:p>
              </w:tc>
              <w:tc>
                <w:tcPr>
                  <w:tcW w:w="1152" w:type="pct"/>
                  <w:noWrap w:val="0"/>
                  <w:vAlign w:val="center"/>
                </w:tcPr>
                <w:p w14:paraId="14F5A83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《环境空气质量标准》（GB3095-2012</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中的二级标准</w:t>
                  </w:r>
                </w:p>
              </w:tc>
              <w:tc>
                <w:tcPr>
                  <w:tcW w:w="566" w:type="pct"/>
                  <w:noWrap w:val="0"/>
                  <w:vAlign w:val="center"/>
                </w:tcPr>
                <w:p w14:paraId="77F350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E</w:t>
                  </w:r>
                </w:p>
              </w:tc>
              <w:tc>
                <w:tcPr>
                  <w:tcW w:w="561" w:type="pct"/>
                  <w:noWrap w:val="0"/>
                  <w:vAlign w:val="center"/>
                </w:tcPr>
                <w:p w14:paraId="1945EC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150</w:t>
                  </w:r>
                </w:p>
              </w:tc>
            </w:tr>
            <w:tr w14:paraId="1C32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hidden/>
              </w:trPr>
              <w:tc>
                <w:tcPr>
                  <w:tcW w:w="387" w:type="pct"/>
                  <w:noWrap w:val="0"/>
                  <w:vAlign w:val="center"/>
                </w:tcPr>
                <w:p w14:paraId="6AA960E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地表水</w:t>
                  </w:r>
                </w:p>
              </w:tc>
              <w:tc>
                <w:tcPr>
                  <w:tcW w:w="809" w:type="pct"/>
                  <w:noWrap w:val="0"/>
                  <w:vAlign w:val="center"/>
                </w:tcPr>
                <w:p w14:paraId="290D99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107.295877</w:t>
                  </w:r>
                </w:p>
              </w:tc>
              <w:tc>
                <w:tcPr>
                  <w:tcW w:w="714" w:type="pct"/>
                  <w:noWrap w:val="0"/>
                  <w:vAlign w:val="center"/>
                </w:tcPr>
                <w:p w14:paraId="647600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34.053410</w:t>
                  </w:r>
                </w:p>
              </w:tc>
              <w:tc>
                <w:tcPr>
                  <w:tcW w:w="473" w:type="pct"/>
                  <w:noWrap w:val="0"/>
                  <w:vAlign w:val="center"/>
                </w:tcPr>
                <w:p w14:paraId="21AAF6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石头</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河</w:t>
                  </w:r>
                </w:p>
              </w:tc>
              <w:tc>
                <w:tcPr>
                  <w:tcW w:w="334" w:type="pct"/>
                  <w:noWrap w:val="0"/>
                  <w:vAlign w:val="center"/>
                </w:tcPr>
                <w:p w14:paraId="3E2E0F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水质</w:t>
                  </w:r>
                </w:p>
              </w:tc>
              <w:tc>
                <w:tcPr>
                  <w:tcW w:w="1152" w:type="pct"/>
                  <w:noWrap w:val="0"/>
                  <w:vAlign w:val="center"/>
                </w:tcPr>
                <w:p w14:paraId="5D1B854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《地表水环境质量标准》（GB3838-2002</w:t>
                  </w:r>
                  <w:r>
                    <w:rPr>
                      <w:rFonts w:hint="eastAsia" w:ascii="Times New Roman" w:hAnsi="Times New Roman" w:cs="Times New Roman"/>
                      <w:vanish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14:textFill>
                        <w14:solidFill>
                          <w14:schemeClr w14:val="tx1"/>
                        </w14:solidFill>
                      </w14:textFill>
                    </w:rPr>
                    <w:t xml:space="preserve"> Ⅱ类</w:t>
                  </w:r>
                  <w:r>
                    <w:rPr>
                      <w:rFonts w:hint="eastAsia" w:cs="Times New Roman"/>
                      <w:vanish w:val="0"/>
                      <w:color w:val="000000" w:themeColor="text1"/>
                      <w:sz w:val="21"/>
                      <w:szCs w:val="21"/>
                      <w:highlight w:val="none"/>
                      <w:lang w:eastAsia="zh-CN"/>
                      <w14:textFill>
                        <w14:solidFill>
                          <w14:schemeClr w14:val="tx1"/>
                        </w14:solidFill>
                      </w14:textFill>
                    </w:rPr>
                    <w:t>标准</w:t>
                  </w:r>
                </w:p>
              </w:tc>
              <w:tc>
                <w:tcPr>
                  <w:tcW w:w="566" w:type="pct"/>
                  <w:noWrap w:val="0"/>
                  <w:vAlign w:val="center"/>
                </w:tcPr>
                <w:p w14:paraId="4F2D5E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N</w:t>
                  </w:r>
                </w:p>
              </w:tc>
              <w:tc>
                <w:tcPr>
                  <w:tcW w:w="561" w:type="pct"/>
                  <w:noWrap w:val="0"/>
                  <w:vAlign w:val="center"/>
                </w:tcPr>
                <w:p w14:paraId="4F6C2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30</w:t>
                  </w:r>
                </w:p>
              </w:tc>
            </w:tr>
            <w:tr w14:paraId="2D7B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hidden/>
              </w:trPr>
              <w:tc>
                <w:tcPr>
                  <w:tcW w:w="5000" w:type="pct"/>
                  <w:gridSpan w:val="8"/>
                  <w:noWrap w:val="0"/>
                  <w:vAlign w:val="center"/>
                </w:tcPr>
                <w:p w14:paraId="431F0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管网工程</w:t>
                  </w:r>
                </w:p>
              </w:tc>
            </w:tr>
            <w:tr w14:paraId="4F3D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vMerge w:val="restart"/>
                  <w:noWrap w:val="0"/>
                  <w:vAlign w:val="center"/>
                </w:tcPr>
                <w:p w14:paraId="0340DE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大气</w:t>
                  </w:r>
                </w:p>
                <w:p w14:paraId="0DD7A53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环境</w:t>
                  </w:r>
                </w:p>
              </w:tc>
              <w:tc>
                <w:tcPr>
                  <w:tcW w:w="809" w:type="pct"/>
                  <w:noWrap w:val="0"/>
                  <w:vAlign w:val="center"/>
                </w:tcPr>
                <w:p w14:paraId="0FD94B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107.448571</w:t>
                  </w:r>
                </w:p>
              </w:tc>
              <w:tc>
                <w:tcPr>
                  <w:tcW w:w="714" w:type="pct"/>
                  <w:noWrap w:val="0"/>
                  <w:vAlign w:val="center"/>
                </w:tcPr>
                <w:p w14:paraId="2D9504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34.048841</w:t>
                  </w:r>
                </w:p>
              </w:tc>
              <w:tc>
                <w:tcPr>
                  <w:tcW w:w="473" w:type="pct"/>
                  <w:noWrap w:val="0"/>
                  <w:vAlign w:val="center"/>
                </w:tcPr>
                <w:p w14:paraId="1359B5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杜家庄</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村</w:t>
                  </w:r>
                </w:p>
              </w:tc>
              <w:tc>
                <w:tcPr>
                  <w:tcW w:w="334" w:type="pct"/>
                  <w:vMerge w:val="restart"/>
                  <w:noWrap w:val="0"/>
                  <w:vAlign w:val="center"/>
                </w:tcPr>
                <w:p w14:paraId="67F5B78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人群健康</w:t>
                  </w:r>
                </w:p>
              </w:tc>
              <w:tc>
                <w:tcPr>
                  <w:tcW w:w="1152" w:type="pct"/>
                  <w:vMerge w:val="restart"/>
                  <w:noWrap w:val="0"/>
                  <w:vAlign w:val="center"/>
                </w:tcPr>
                <w:p w14:paraId="42D3F00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《环境空气质量标准》（GB3095-2012</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中的二级标准</w:t>
                  </w:r>
                </w:p>
              </w:tc>
              <w:tc>
                <w:tcPr>
                  <w:tcW w:w="1128" w:type="pct"/>
                  <w:gridSpan w:val="2"/>
                  <w:vMerge w:val="restart"/>
                  <w:noWrap w:val="0"/>
                  <w:vAlign w:val="center"/>
                </w:tcPr>
                <w:p w14:paraId="5CFBF5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项目</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管网沿线</w:t>
                  </w:r>
                  <w:r>
                    <w:rPr>
                      <w:rFonts w:hint="eastAsia" w:cs="Times New Roman"/>
                      <w:vanish w:val="0"/>
                      <w:color w:val="000000" w:themeColor="text1"/>
                      <w:sz w:val="21"/>
                      <w:szCs w:val="21"/>
                      <w:highlight w:val="none"/>
                      <w:lang w:val="en-US" w:eastAsia="zh-CN"/>
                      <w14:textFill>
                        <w14:solidFill>
                          <w14:schemeClr w14:val="tx1"/>
                        </w14:solidFill>
                      </w14:textFill>
                    </w:rPr>
                    <w:t>200</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m范围内</w:t>
                  </w:r>
                </w:p>
              </w:tc>
            </w:tr>
            <w:tr w14:paraId="0E1B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vMerge w:val="continue"/>
                  <w:noWrap w:val="0"/>
                  <w:vAlign w:val="center"/>
                </w:tcPr>
                <w:p w14:paraId="6F62222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809" w:type="pct"/>
                  <w:noWrap w:val="0"/>
                  <w:vAlign w:val="center"/>
                </w:tcPr>
                <w:p w14:paraId="34571B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107.528239</w:t>
                  </w:r>
                </w:p>
              </w:tc>
              <w:tc>
                <w:tcPr>
                  <w:tcW w:w="714" w:type="pct"/>
                  <w:noWrap w:val="0"/>
                  <w:vAlign w:val="center"/>
                </w:tcPr>
                <w:p w14:paraId="78D6CE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34.056246</w:t>
                  </w:r>
                </w:p>
              </w:tc>
              <w:tc>
                <w:tcPr>
                  <w:tcW w:w="473" w:type="pct"/>
                  <w:noWrap w:val="0"/>
                  <w:vAlign w:val="center"/>
                </w:tcPr>
                <w:p w14:paraId="47E705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魁星楼村</w:t>
                  </w:r>
                </w:p>
              </w:tc>
              <w:tc>
                <w:tcPr>
                  <w:tcW w:w="334" w:type="pct"/>
                  <w:vMerge w:val="continue"/>
                  <w:noWrap w:val="0"/>
                  <w:vAlign w:val="center"/>
                </w:tcPr>
                <w:p w14:paraId="15A2E13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52" w:type="pct"/>
                  <w:vMerge w:val="continue"/>
                  <w:noWrap w:val="0"/>
                  <w:vAlign w:val="center"/>
                </w:tcPr>
                <w:p w14:paraId="1A93A95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28" w:type="pct"/>
                  <w:gridSpan w:val="2"/>
                  <w:vMerge w:val="continue"/>
                  <w:noWrap w:val="0"/>
                  <w:vAlign w:val="center"/>
                </w:tcPr>
                <w:p w14:paraId="7737AB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r>
            <w:tr w14:paraId="276E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vMerge w:val="continue"/>
                  <w:noWrap w:val="0"/>
                  <w:vAlign w:val="center"/>
                </w:tcPr>
                <w:p w14:paraId="4724C72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809" w:type="pct"/>
                  <w:noWrap w:val="0"/>
                  <w:vAlign w:val="center"/>
                </w:tcPr>
                <w:p w14:paraId="061979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107.540094</w:t>
                  </w:r>
                </w:p>
              </w:tc>
              <w:tc>
                <w:tcPr>
                  <w:tcW w:w="714" w:type="pct"/>
                  <w:noWrap w:val="0"/>
                  <w:vAlign w:val="center"/>
                </w:tcPr>
                <w:p w14:paraId="6809C7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34.059764</w:t>
                  </w:r>
                </w:p>
              </w:tc>
              <w:tc>
                <w:tcPr>
                  <w:tcW w:w="473" w:type="pct"/>
                  <w:noWrap w:val="0"/>
                  <w:vAlign w:val="center"/>
                </w:tcPr>
                <w:p w14:paraId="2EA647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枣园村</w:t>
                  </w:r>
                </w:p>
              </w:tc>
              <w:tc>
                <w:tcPr>
                  <w:tcW w:w="334" w:type="pct"/>
                  <w:vMerge w:val="continue"/>
                  <w:noWrap w:val="0"/>
                  <w:vAlign w:val="center"/>
                </w:tcPr>
                <w:p w14:paraId="600D2BF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52" w:type="pct"/>
                  <w:vMerge w:val="continue"/>
                  <w:noWrap w:val="0"/>
                  <w:vAlign w:val="center"/>
                </w:tcPr>
                <w:p w14:paraId="0EF6E9A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28" w:type="pct"/>
                  <w:gridSpan w:val="2"/>
                  <w:vMerge w:val="continue"/>
                  <w:noWrap w:val="0"/>
                  <w:vAlign w:val="center"/>
                </w:tcPr>
                <w:p w14:paraId="3B7785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r>
            <w:tr w14:paraId="10B7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vMerge w:val="continue"/>
                  <w:noWrap w:val="0"/>
                  <w:vAlign w:val="center"/>
                </w:tcPr>
                <w:p w14:paraId="2EBE75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809" w:type="pct"/>
                  <w:noWrap w:val="0"/>
                  <w:vAlign w:val="center"/>
                </w:tcPr>
                <w:p w14:paraId="68F536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107.553928</w:t>
                  </w:r>
                </w:p>
              </w:tc>
              <w:tc>
                <w:tcPr>
                  <w:tcW w:w="714" w:type="pct"/>
                  <w:noWrap w:val="0"/>
                  <w:vAlign w:val="center"/>
                </w:tcPr>
                <w:p w14:paraId="1676FA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34.056653</w:t>
                  </w:r>
                </w:p>
              </w:tc>
              <w:tc>
                <w:tcPr>
                  <w:tcW w:w="473" w:type="pct"/>
                  <w:noWrap w:val="0"/>
                  <w:vAlign w:val="center"/>
                </w:tcPr>
                <w:p w14:paraId="09A679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灵丹庙村</w:t>
                  </w:r>
                </w:p>
              </w:tc>
              <w:tc>
                <w:tcPr>
                  <w:tcW w:w="334" w:type="pct"/>
                  <w:vMerge w:val="continue"/>
                  <w:noWrap w:val="0"/>
                  <w:vAlign w:val="center"/>
                </w:tcPr>
                <w:p w14:paraId="6FF55CA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52" w:type="pct"/>
                  <w:vMerge w:val="continue"/>
                  <w:noWrap w:val="0"/>
                  <w:vAlign w:val="center"/>
                </w:tcPr>
                <w:p w14:paraId="30A0117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28" w:type="pct"/>
                  <w:gridSpan w:val="2"/>
                  <w:vMerge w:val="continue"/>
                  <w:noWrap w:val="0"/>
                  <w:vAlign w:val="center"/>
                </w:tcPr>
                <w:p w14:paraId="08BB6F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r>
            <w:tr w14:paraId="016B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vMerge w:val="continue"/>
                  <w:noWrap w:val="0"/>
                  <w:vAlign w:val="center"/>
                </w:tcPr>
                <w:p w14:paraId="349211D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809" w:type="pct"/>
                  <w:noWrap w:val="0"/>
                  <w:vAlign w:val="center"/>
                </w:tcPr>
                <w:p w14:paraId="23C884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107.581483</w:t>
                  </w:r>
                </w:p>
              </w:tc>
              <w:tc>
                <w:tcPr>
                  <w:tcW w:w="714" w:type="pct"/>
                  <w:noWrap w:val="0"/>
                  <w:vAlign w:val="center"/>
                </w:tcPr>
                <w:p w14:paraId="35BD6C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34.055743</w:t>
                  </w:r>
                </w:p>
              </w:tc>
              <w:tc>
                <w:tcPr>
                  <w:tcW w:w="473" w:type="pct"/>
                  <w:noWrap w:val="0"/>
                  <w:vAlign w:val="center"/>
                </w:tcPr>
                <w:p w14:paraId="49C450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白杨塬村</w:t>
                  </w:r>
                </w:p>
              </w:tc>
              <w:tc>
                <w:tcPr>
                  <w:tcW w:w="334" w:type="pct"/>
                  <w:vMerge w:val="continue"/>
                  <w:noWrap w:val="0"/>
                  <w:vAlign w:val="center"/>
                </w:tcPr>
                <w:p w14:paraId="76FEEDC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52" w:type="pct"/>
                  <w:vMerge w:val="continue"/>
                  <w:noWrap w:val="0"/>
                  <w:vAlign w:val="center"/>
                </w:tcPr>
                <w:p w14:paraId="381A203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28" w:type="pct"/>
                  <w:gridSpan w:val="2"/>
                  <w:vMerge w:val="continue"/>
                  <w:noWrap w:val="0"/>
                  <w:vAlign w:val="center"/>
                </w:tcPr>
                <w:p w14:paraId="10347B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r>
            <w:tr w14:paraId="3A67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vMerge w:val="continue"/>
                  <w:noWrap w:val="0"/>
                  <w:vAlign w:val="center"/>
                </w:tcPr>
                <w:p w14:paraId="03C1078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809" w:type="pct"/>
                  <w:noWrap w:val="0"/>
                  <w:vAlign w:val="center"/>
                </w:tcPr>
                <w:p w14:paraId="354A56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107.596896</w:t>
                  </w:r>
                </w:p>
              </w:tc>
              <w:tc>
                <w:tcPr>
                  <w:tcW w:w="714" w:type="pct"/>
                  <w:noWrap w:val="0"/>
                  <w:vAlign w:val="center"/>
                </w:tcPr>
                <w:p w14:paraId="30AFA0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34.050794</w:t>
                  </w:r>
                </w:p>
              </w:tc>
              <w:tc>
                <w:tcPr>
                  <w:tcW w:w="473" w:type="pct"/>
                  <w:noWrap w:val="0"/>
                  <w:vAlign w:val="center"/>
                </w:tcPr>
                <w:p w14:paraId="452868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杨下村</w:t>
                  </w:r>
                </w:p>
              </w:tc>
              <w:tc>
                <w:tcPr>
                  <w:tcW w:w="334" w:type="pct"/>
                  <w:vMerge w:val="continue"/>
                  <w:noWrap w:val="0"/>
                  <w:vAlign w:val="center"/>
                </w:tcPr>
                <w:p w14:paraId="504A22B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52" w:type="pct"/>
                  <w:vMerge w:val="continue"/>
                  <w:noWrap w:val="0"/>
                  <w:vAlign w:val="center"/>
                </w:tcPr>
                <w:p w14:paraId="617D7EA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128" w:type="pct"/>
                  <w:gridSpan w:val="2"/>
                  <w:vMerge w:val="continue"/>
                  <w:noWrap w:val="0"/>
                  <w:vAlign w:val="center"/>
                </w:tcPr>
                <w:p w14:paraId="2A2905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r>
            <w:tr w14:paraId="1814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noWrap w:val="0"/>
                  <w:vAlign w:val="center"/>
                </w:tcPr>
                <w:p w14:paraId="7558914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地表水</w:t>
                  </w:r>
                </w:p>
              </w:tc>
              <w:tc>
                <w:tcPr>
                  <w:tcW w:w="809" w:type="pct"/>
                  <w:noWrap w:val="0"/>
                  <w:vAlign w:val="center"/>
                </w:tcPr>
                <w:p w14:paraId="604771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107.295877</w:t>
                  </w:r>
                </w:p>
              </w:tc>
              <w:tc>
                <w:tcPr>
                  <w:tcW w:w="714" w:type="pct"/>
                  <w:noWrap w:val="0"/>
                  <w:vAlign w:val="center"/>
                </w:tcPr>
                <w:p w14:paraId="0B0819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34.053410</w:t>
                  </w:r>
                </w:p>
              </w:tc>
              <w:tc>
                <w:tcPr>
                  <w:tcW w:w="473" w:type="pct"/>
                  <w:noWrap w:val="0"/>
                  <w:vAlign w:val="center"/>
                </w:tcPr>
                <w:p w14:paraId="7E7750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石头</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河</w:t>
                  </w:r>
                </w:p>
              </w:tc>
              <w:tc>
                <w:tcPr>
                  <w:tcW w:w="334" w:type="pct"/>
                  <w:noWrap w:val="0"/>
                  <w:vAlign w:val="center"/>
                </w:tcPr>
                <w:p w14:paraId="4C0E012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水质</w:t>
                  </w:r>
                </w:p>
              </w:tc>
              <w:tc>
                <w:tcPr>
                  <w:tcW w:w="1152" w:type="pct"/>
                  <w:noWrap w:val="0"/>
                  <w:vAlign w:val="center"/>
                </w:tcPr>
                <w:p w14:paraId="35345FB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《地表水环境质量标准》（GB3838-2002</w:t>
                  </w:r>
                  <w:r>
                    <w:rPr>
                      <w:rFonts w:hint="eastAsia" w:ascii="Times New Roman" w:hAnsi="Times New Roman" w:cs="Times New Roman"/>
                      <w:vanish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14:textFill>
                        <w14:solidFill>
                          <w14:schemeClr w14:val="tx1"/>
                        </w14:solidFill>
                      </w14:textFill>
                    </w:rPr>
                    <w:t xml:space="preserve"> Ⅱ类</w:t>
                  </w:r>
                  <w:r>
                    <w:rPr>
                      <w:rFonts w:hint="eastAsia" w:cs="Times New Roman"/>
                      <w:vanish w:val="0"/>
                      <w:color w:val="000000" w:themeColor="text1"/>
                      <w:sz w:val="21"/>
                      <w:szCs w:val="21"/>
                      <w:highlight w:val="none"/>
                      <w:lang w:eastAsia="zh-CN"/>
                      <w14:textFill>
                        <w14:solidFill>
                          <w14:schemeClr w14:val="tx1"/>
                        </w14:solidFill>
                      </w14:textFill>
                    </w:rPr>
                    <w:t>标准</w:t>
                  </w:r>
                </w:p>
              </w:tc>
              <w:tc>
                <w:tcPr>
                  <w:tcW w:w="1128" w:type="pct"/>
                  <w:gridSpan w:val="2"/>
                  <w:noWrap w:val="0"/>
                  <w:vAlign w:val="center"/>
                </w:tcPr>
                <w:p w14:paraId="0E2047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N</w:t>
                  </w:r>
                </w:p>
              </w:tc>
            </w:tr>
            <w:tr w14:paraId="28BD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noWrap w:val="0"/>
                  <w:vAlign w:val="center"/>
                </w:tcPr>
                <w:p w14:paraId="34B4230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土壤环境</w:t>
                  </w:r>
                </w:p>
              </w:tc>
              <w:tc>
                <w:tcPr>
                  <w:tcW w:w="809" w:type="pct"/>
                  <w:noWrap w:val="0"/>
                  <w:vAlign w:val="center"/>
                </w:tcPr>
                <w:p w14:paraId="10B58D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c>
                <w:tcPr>
                  <w:tcW w:w="714" w:type="pct"/>
                  <w:noWrap w:val="0"/>
                  <w:vAlign w:val="center"/>
                </w:tcPr>
                <w:p w14:paraId="666E94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c>
                <w:tcPr>
                  <w:tcW w:w="473" w:type="pct"/>
                  <w:noWrap w:val="0"/>
                  <w:vAlign w:val="center"/>
                </w:tcPr>
                <w:p w14:paraId="427408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农田</w:t>
                  </w:r>
                </w:p>
              </w:tc>
              <w:tc>
                <w:tcPr>
                  <w:tcW w:w="334" w:type="pct"/>
                  <w:noWrap w:val="0"/>
                  <w:vAlign w:val="center"/>
                </w:tcPr>
                <w:p w14:paraId="0B5C8F5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土壤环境</w:t>
                  </w:r>
                </w:p>
              </w:tc>
              <w:tc>
                <w:tcPr>
                  <w:tcW w:w="1152" w:type="pct"/>
                  <w:noWrap w:val="0"/>
                  <w:vAlign w:val="center"/>
                </w:tcPr>
                <w:p w14:paraId="3DAE21C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《土壤环境质量 农用地土壤污染风险管控标准（试行</w:t>
                  </w:r>
                  <w:r>
                    <w:rPr>
                      <w:rFonts w:hint="eastAsia" w:ascii="Times New Roman" w:hAnsi="Times New Roman" w:cs="Times New Roman"/>
                      <w:vanish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》（GB 15618-2018</w:t>
                  </w:r>
                  <w:r>
                    <w:rPr>
                      <w:rFonts w:hint="eastAsia" w:ascii="Times New Roman" w:hAnsi="Times New Roman" w:cs="Times New Roman"/>
                      <w:vanish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表</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中风险筛选值</w:t>
                  </w:r>
                </w:p>
              </w:tc>
              <w:tc>
                <w:tcPr>
                  <w:tcW w:w="1128" w:type="pct"/>
                  <w:gridSpan w:val="2"/>
                  <w:noWrap w:val="0"/>
                  <w:vAlign w:val="center"/>
                </w:tcPr>
                <w:p w14:paraId="442A90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项目</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管网沿线10</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m范围内</w:t>
                  </w:r>
                </w:p>
              </w:tc>
            </w:tr>
            <w:tr w14:paraId="6E4B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hidden/>
              </w:trPr>
              <w:tc>
                <w:tcPr>
                  <w:tcW w:w="387" w:type="pct"/>
                  <w:noWrap w:val="0"/>
                  <w:vAlign w:val="center"/>
                </w:tcPr>
                <w:p w14:paraId="032E820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生态环境</w:t>
                  </w:r>
                </w:p>
              </w:tc>
              <w:tc>
                <w:tcPr>
                  <w:tcW w:w="809" w:type="pct"/>
                  <w:noWrap w:val="0"/>
                  <w:vAlign w:val="center"/>
                </w:tcPr>
                <w:p w14:paraId="38CF51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c>
                <w:tcPr>
                  <w:tcW w:w="714" w:type="pct"/>
                  <w:noWrap w:val="0"/>
                  <w:vAlign w:val="center"/>
                </w:tcPr>
                <w:p w14:paraId="05BB7B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c>
                <w:tcPr>
                  <w:tcW w:w="807" w:type="pct"/>
                  <w:gridSpan w:val="2"/>
                  <w:noWrap w:val="0"/>
                  <w:vAlign w:val="center"/>
                </w:tcPr>
                <w:p w14:paraId="1F82C3D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野生动植物、生态系统</w:t>
                  </w:r>
                </w:p>
              </w:tc>
              <w:tc>
                <w:tcPr>
                  <w:tcW w:w="1152" w:type="pct"/>
                  <w:noWrap w:val="0"/>
                  <w:vAlign w:val="center"/>
                </w:tcPr>
                <w:p w14:paraId="683FD20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维护生物多样性</w:t>
                  </w:r>
                </w:p>
              </w:tc>
              <w:tc>
                <w:tcPr>
                  <w:tcW w:w="1128" w:type="pct"/>
                  <w:gridSpan w:val="2"/>
                  <w:noWrap w:val="0"/>
                  <w:vAlign w:val="center"/>
                </w:tcPr>
                <w:p w14:paraId="3E3407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项目</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管网沿线</w:t>
                  </w:r>
                  <w:r>
                    <w:rPr>
                      <w:rFonts w:hint="eastAsia" w:cs="Times New Roman"/>
                      <w:vanish w:val="0"/>
                      <w:color w:val="000000" w:themeColor="text1"/>
                      <w:sz w:val="21"/>
                      <w:szCs w:val="21"/>
                      <w:highlight w:val="none"/>
                      <w:lang w:val="en-US" w:eastAsia="zh-CN"/>
                      <w14:textFill>
                        <w14:solidFill>
                          <w14:schemeClr w14:val="tx1"/>
                        </w14:solidFill>
                      </w14:textFill>
                    </w:rPr>
                    <w:t>200</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m范围内</w:t>
                  </w:r>
                </w:p>
              </w:tc>
            </w:tr>
          </w:tbl>
          <w:p w14:paraId="0443FE22">
            <w:pPr>
              <w:rPr>
                <w:rFonts w:hint="default" w:ascii="Times New Roman" w:hAnsi="Times New Roman" w:cs="Times New Roman"/>
                <w:vanish w:val="0"/>
                <w:color w:val="000000" w:themeColor="text1"/>
                <w:highlight w:val="yellow"/>
                <w14:textFill>
                  <w14:solidFill>
                    <w14:schemeClr w14:val="tx1"/>
                  </w14:solidFill>
                </w14:textFill>
              </w:rPr>
            </w:pPr>
          </w:p>
        </w:tc>
      </w:tr>
      <w:tr w14:paraId="47AC8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hidden/>
        </w:trPr>
        <w:tc>
          <w:tcPr>
            <w:tcW w:w="800" w:type="dxa"/>
            <w:noWrap w:val="0"/>
            <w:tcMar>
              <w:left w:w="28" w:type="dxa"/>
              <w:right w:w="28" w:type="dxa"/>
            </w:tcMar>
            <w:vAlign w:val="center"/>
          </w:tcPr>
          <w:p w14:paraId="79B45226">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污染</w:t>
            </w:r>
          </w:p>
          <w:p w14:paraId="391209B0">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物排</w:t>
            </w:r>
          </w:p>
          <w:p w14:paraId="21686300">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放控</w:t>
            </w:r>
          </w:p>
          <w:p w14:paraId="655CF9E4">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制标</w:t>
            </w:r>
          </w:p>
          <w:p w14:paraId="5D27146E">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准</w:t>
            </w:r>
          </w:p>
        </w:tc>
        <w:tc>
          <w:tcPr>
            <w:tcW w:w="8190" w:type="dxa"/>
            <w:noWrap w:val="0"/>
            <w:vAlign w:val="center"/>
          </w:tcPr>
          <w:p w14:paraId="74F356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vanish w:val="0"/>
                <w:color w:val="000000" w:themeColor="text1"/>
                <w:kern w:val="2"/>
                <w:sz w:val="21"/>
                <w:szCs w:val="24"/>
                <w:highlight w:val="none"/>
                <w:lang w:val="en-US" w:eastAsia="zh-CN" w:bidi="ar-SA"/>
                <w14:textFill>
                  <w14:solidFill>
                    <w14:schemeClr w14:val="tx1"/>
                  </w14:solidFill>
                </w14:textFill>
              </w:rPr>
              <w:t>一、废气排放标准</w:t>
            </w:r>
          </w:p>
          <w:p w14:paraId="704C78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eastAsia"/>
                <w:vanish w:val="0"/>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施工期扬尘排放执行《施工厂界扬尘排放限值》（DB61/1078-2017</w:t>
            </w:r>
            <w:r>
              <w:rPr>
                <w:rFonts w:hint="eastAsia"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中浓度限值</w:t>
            </w:r>
            <w:r>
              <w:rPr>
                <w:rFonts w:hint="eastAsia"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w:t>
            </w:r>
          </w:p>
          <w:p w14:paraId="2A2E80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具体标准限值见下表。</w:t>
            </w:r>
          </w:p>
          <w:p w14:paraId="60EA2CB2">
            <w:pPr>
              <w:jc w:val="cente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表</w:t>
            </w:r>
            <w:r>
              <w:rPr>
                <w:rFonts w:hint="eastAsia" w:ascii="Times New Roman" w:hAnsi="Times New Roman" w:eastAsia="宋体" w:cs="Times New Roman"/>
                <w:b/>
                <w:bCs/>
                <w:vanish w:val="0"/>
                <w:color w:val="000000" w:themeColor="text1"/>
                <w:szCs w:val="21"/>
                <w:highlight w:val="none"/>
                <w:lang w:val="en-US" w:eastAsia="zh-CN"/>
                <w14:textFill>
                  <w14:solidFill>
                    <w14:schemeClr w14:val="tx1"/>
                  </w14:solidFill>
                </w14:textFill>
              </w:rPr>
              <w:t>3-</w:t>
            </w:r>
            <w:r>
              <w:rPr>
                <w:rFonts w:hint="eastAsia" w:cs="Times New Roman"/>
                <w:b/>
                <w:bCs/>
                <w:vanish w:val="0"/>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 xml:space="preserve">   施工厂界扬尘（总悬浮颗粒物</w:t>
            </w:r>
            <w:r>
              <w:rPr>
                <w:rFonts w:hint="eastAsia" w:ascii="Times New Roman" w:hAnsi="Times New Roman" w:eastAsia="宋体" w:cs="Times New Roman"/>
                <w:b/>
                <w:bCs/>
                <w:vanish w:val="0"/>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浓度限值</w:t>
            </w:r>
          </w:p>
          <w:tbl>
            <w:tblPr>
              <w:tblStyle w:val="24"/>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635"/>
              <w:gridCol w:w="900"/>
              <w:gridCol w:w="2687"/>
              <w:gridCol w:w="1823"/>
            </w:tblGrid>
            <w:tr w14:paraId="0373C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hidden/>
              </w:trPr>
              <w:tc>
                <w:tcPr>
                  <w:tcW w:w="564" w:type="pct"/>
                  <w:tcBorders>
                    <w:tl2br w:val="nil"/>
                    <w:tr2bl w:val="nil"/>
                  </w:tcBorders>
                  <w:noWrap w:val="0"/>
                  <w:vAlign w:val="center"/>
                </w:tcPr>
                <w:p w14:paraId="2D0A29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序号</w:t>
                  </w:r>
                </w:p>
              </w:tc>
              <w:tc>
                <w:tcPr>
                  <w:tcW w:w="1029" w:type="pct"/>
                  <w:tcBorders>
                    <w:tl2br w:val="nil"/>
                    <w:tr2bl w:val="nil"/>
                  </w:tcBorders>
                  <w:noWrap w:val="0"/>
                  <w:vAlign w:val="center"/>
                </w:tcPr>
                <w:p w14:paraId="3BD0BD3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污染物</w:t>
                  </w:r>
                </w:p>
              </w:tc>
              <w:tc>
                <w:tcPr>
                  <w:tcW w:w="566" w:type="pct"/>
                  <w:tcBorders>
                    <w:tl2br w:val="nil"/>
                    <w:tr2bl w:val="nil"/>
                  </w:tcBorders>
                  <w:noWrap w:val="0"/>
                  <w:vAlign w:val="center"/>
                </w:tcPr>
                <w:p w14:paraId="2FEF57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监控点</w:t>
                  </w:r>
                </w:p>
              </w:tc>
              <w:tc>
                <w:tcPr>
                  <w:tcW w:w="1691" w:type="pct"/>
                  <w:tcBorders>
                    <w:tl2br w:val="nil"/>
                    <w:tr2bl w:val="nil"/>
                  </w:tcBorders>
                  <w:noWrap w:val="0"/>
                  <w:vAlign w:val="center"/>
                </w:tcPr>
                <w:p w14:paraId="7ADB71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施工阶段</w:t>
                  </w:r>
                </w:p>
              </w:tc>
              <w:tc>
                <w:tcPr>
                  <w:tcW w:w="1147" w:type="pct"/>
                  <w:tcBorders>
                    <w:tl2br w:val="nil"/>
                    <w:tr2bl w:val="nil"/>
                  </w:tcBorders>
                  <w:noWrap w:val="0"/>
                  <w:vAlign w:val="center"/>
                </w:tcPr>
                <w:p w14:paraId="385D00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小时平均浓度限值（mg/m³</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r>
            <w:tr w14:paraId="73868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hidden/>
              </w:trPr>
              <w:tc>
                <w:tcPr>
                  <w:tcW w:w="564" w:type="pct"/>
                  <w:tcBorders>
                    <w:tl2br w:val="nil"/>
                    <w:tr2bl w:val="nil"/>
                  </w:tcBorders>
                  <w:noWrap w:val="0"/>
                  <w:vAlign w:val="center"/>
                </w:tcPr>
                <w:p w14:paraId="2E7C51A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w:t>
                  </w:r>
                </w:p>
              </w:tc>
              <w:tc>
                <w:tcPr>
                  <w:tcW w:w="1029" w:type="pct"/>
                  <w:vMerge w:val="restart"/>
                  <w:tcBorders>
                    <w:tl2br w:val="nil"/>
                    <w:tr2bl w:val="nil"/>
                  </w:tcBorders>
                  <w:noWrap w:val="0"/>
                  <w:vAlign w:val="center"/>
                </w:tcPr>
                <w:p w14:paraId="5DC1DB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施工扬尘（即总悬浮颗粒物TSP</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c>
                <w:tcPr>
                  <w:tcW w:w="566" w:type="pct"/>
                  <w:vMerge w:val="restart"/>
                  <w:tcBorders>
                    <w:tl2br w:val="nil"/>
                    <w:tr2bl w:val="nil"/>
                  </w:tcBorders>
                  <w:noWrap w:val="0"/>
                  <w:vAlign w:val="center"/>
                </w:tcPr>
                <w:p w14:paraId="5A28FBD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周界外浓度最高点*</w:t>
                  </w:r>
                </w:p>
              </w:tc>
              <w:tc>
                <w:tcPr>
                  <w:tcW w:w="1691" w:type="pct"/>
                  <w:tcBorders>
                    <w:tl2br w:val="nil"/>
                    <w:tr2bl w:val="nil"/>
                  </w:tcBorders>
                  <w:noWrap w:val="0"/>
                  <w:vAlign w:val="center"/>
                </w:tcPr>
                <w:p w14:paraId="0A66CD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拆除、土方及地基处理工程</w:t>
                  </w:r>
                </w:p>
              </w:tc>
              <w:tc>
                <w:tcPr>
                  <w:tcW w:w="1147" w:type="pct"/>
                  <w:tcBorders>
                    <w:tl2br w:val="nil"/>
                    <w:tr2bl w:val="nil"/>
                  </w:tcBorders>
                  <w:noWrap w:val="0"/>
                  <w:vAlign w:val="center"/>
                </w:tcPr>
                <w:p w14:paraId="55229BA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≤0.8</w:t>
                  </w:r>
                </w:p>
              </w:tc>
            </w:tr>
            <w:tr w14:paraId="1AEA6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hidden/>
              </w:trPr>
              <w:tc>
                <w:tcPr>
                  <w:tcW w:w="564" w:type="pct"/>
                  <w:tcBorders>
                    <w:tl2br w:val="nil"/>
                    <w:tr2bl w:val="nil"/>
                  </w:tcBorders>
                  <w:noWrap w:val="0"/>
                  <w:vAlign w:val="center"/>
                </w:tcPr>
                <w:p w14:paraId="67633BB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2</w:t>
                  </w:r>
                </w:p>
              </w:tc>
              <w:tc>
                <w:tcPr>
                  <w:tcW w:w="1029" w:type="pct"/>
                  <w:vMerge w:val="continue"/>
                  <w:tcBorders>
                    <w:tl2br w:val="nil"/>
                    <w:tr2bl w:val="nil"/>
                  </w:tcBorders>
                  <w:noWrap w:val="0"/>
                  <w:vAlign w:val="center"/>
                </w:tcPr>
                <w:p w14:paraId="437E57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566" w:type="pct"/>
                  <w:vMerge w:val="continue"/>
                  <w:tcBorders>
                    <w:tl2br w:val="nil"/>
                    <w:tr2bl w:val="nil"/>
                  </w:tcBorders>
                  <w:noWrap w:val="0"/>
                  <w:vAlign w:val="center"/>
                </w:tcPr>
                <w:p w14:paraId="11BB5E3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p>
              </w:tc>
              <w:tc>
                <w:tcPr>
                  <w:tcW w:w="1691" w:type="pct"/>
                  <w:tcBorders>
                    <w:tl2br w:val="nil"/>
                    <w:tr2bl w:val="nil"/>
                  </w:tcBorders>
                  <w:noWrap w:val="0"/>
                  <w:vAlign w:val="center"/>
                </w:tcPr>
                <w:p w14:paraId="026E09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基础、主体结构及装饰工程</w:t>
                  </w:r>
                </w:p>
              </w:tc>
              <w:tc>
                <w:tcPr>
                  <w:tcW w:w="1147" w:type="pct"/>
                  <w:tcBorders>
                    <w:tl2br w:val="nil"/>
                    <w:tr2bl w:val="nil"/>
                  </w:tcBorders>
                  <w:noWrap w:val="0"/>
                  <w:vAlign w:val="center"/>
                </w:tcPr>
                <w:p w14:paraId="76AD995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≤0.7</w:t>
                  </w:r>
                </w:p>
              </w:tc>
            </w:tr>
            <w:tr w14:paraId="37381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hidden/>
              </w:trPr>
              <w:tc>
                <w:tcPr>
                  <w:tcW w:w="5000" w:type="pct"/>
                  <w:gridSpan w:val="5"/>
                  <w:tcBorders>
                    <w:tl2br w:val="nil"/>
                    <w:tr2bl w:val="nil"/>
                  </w:tcBorders>
                  <w:noWrap w:val="0"/>
                  <w:vAlign w:val="top"/>
                </w:tcPr>
                <w:p w14:paraId="6250E356">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*周界外浓度最高点一般应设置于无组织排放源下风向的单位周界外10m范围内，若预计无组织排放的最大落地浓度点超出10m范围，可将监控点移至该预计浓度最高点</w:t>
                  </w:r>
                  <w:r>
                    <w:rPr>
                      <w:rFonts w:hint="eastAsia" w:cs="Times New Roman"/>
                      <w:vanish w:val="0"/>
                      <w:color w:val="000000" w:themeColor="text1"/>
                      <w:sz w:val="21"/>
                      <w:szCs w:val="21"/>
                      <w:highlight w:val="none"/>
                      <w:lang w:val="en-US" w:eastAsia="zh-CN"/>
                      <w14:textFill>
                        <w14:solidFill>
                          <w14:schemeClr w14:val="tx1"/>
                        </w14:solidFill>
                      </w14:textFill>
                    </w:rPr>
                    <w:t>附近</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r>
          </w:tbl>
          <w:p w14:paraId="2CE00F9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cs="Times New Roman"/>
                <w:vanish w:val="0"/>
                <w:color w:val="000000" w:themeColor="text1"/>
                <w:highlight w:val="none"/>
                <w:lang w:val="en-US" w:eastAsia="zh-CN"/>
                <w14:textFill>
                  <w14:solidFill>
                    <w14:schemeClr w14:val="tx1"/>
                  </w14:solidFill>
                </w14:textFill>
              </w:rPr>
            </w:pPr>
            <w:r>
              <w:rPr>
                <w:rFonts w:hint="default" w:ascii="Times New Roman" w:hAnsi="Times New Roman" w:cs="Times New Roman"/>
                <w:b/>
                <w:bCs/>
                <w:vanish w:val="0"/>
                <w:color w:val="000000" w:themeColor="text1"/>
                <w:highlight w:val="none"/>
                <w:lang w:val="en-US" w:eastAsia="zh-CN"/>
                <w14:textFill>
                  <w14:solidFill>
                    <w14:schemeClr w14:val="tx1"/>
                  </w14:solidFill>
                </w14:textFill>
              </w:rPr>
              <w:t>二、废水排放标准</w:t>
            </w:r>
          </w:p>
          <w:p w14:paraId="3BBD6B87">
            <w:pPr>
              <w:pStyle w:val="15"/>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420" w:firstLineChars="200"/>
              <w:jc w:val="both"/>
              <w:textAlignment w:val="auto"/>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施工期、运营期废水均不外排。</w:t>
            </w:r>
          </w:p>
          <w:p w14:paraId="6D2965E3">
            <w:pPr>
              <w:pStyle w:val="15"/>
              <w:keepNext w:val="0"/>
              <w:keepLines w:val="0"/>
              <w:pageBreakBefore w:val="0"/>
              <w:widowControl w:val="0"/>
              <w:kinsoku/>
              <w:wordWrap/>
              <w:overflowPunct/>
              <w:topLinePunct w:val="0"/>
              <w:autoSpaceDE/>
              <w:autoSpaceDN/>
              <w:bidi w:val="0"/>
              <w:adjustRightInd w:val="0"/>
              <w:snapToGrid/>
              <w:spacing w:after="0" w:line="360" w:lineRule="auto"/>
              <w:ind w:left="0" w:leftChars="0" w:firstLine="420" w:firstLineChars="200"/>
              <w:jc w:val="both"/>
              <w:textAlignment w:val="auto"/>
              <w:rPr>
                <w:rFonts w:hint="default" w:ascii="Times New Roman" w:hAnsi="Times New Roman" w:eastAsia="宋体" w:cs="Times New Roman"/>
                <w:b/>
                <w:bCs/>
                <w:vanish w:val="0"/>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vanish w:val="0"/>
                <w:color w:val="000000" w:themeColor="text1"/>
                <w:kern w:val="2"/>
                <w:sz w:val="21"/>
                <w:szCs w:val="24"/>
                <w:highlight w:val="none"/>
                <w:lang w:val="en-US" w:eastAsia="zh-CN" w:bidi="ar-SA"/>
                <w14:textFill>
                  <w14:solidFill>
                    <w14:schemeClr w14:val="tx1"/>
                  </w14:solidFill>
                </w14:textFill>
              </w:rPr>
              <w:t>三、噪声排放标准</w:t>
            </w:r>
          </w:p>
          <w:p w14:paraId="076E94B8">
            <w:pPr>
              <w:pStyle w:val="15"/>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420" w:firstLineChars="200"/>
              <w:jc w:val="both"/>
              <w:textAlignment w:val="auto"/>
              <w:rPr>
                <w:rFonts w:hint="default" w:ascii="Times New Roman" w:hAnsi="Times New Roman" w:cs="Times New Roman"/>
                <w:vanish w:val="0"/>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施工期噪声排放执行《建筑施工场界环境噪声排放标准》（GB12523-2011</w:t>
            </w:r>
            <w:r>
              <w:rPr>
                <w:rFonts w:hint="eastAsia"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排放限</w:t>
            </w:r>
            <w:r>
              <w:rPr>
                <w:rFonts w:hint="default" w:ascii="Times New Roman" w:hAnsi="Times New Roman" w:cs="Times New Roman"/>
                <w:vanish w:val="0"/>
                <w:color w:val="000000" w:themeColor="text1"/>
                <w:highlight w:val="none"/>
                <w:lang w:val="en-US" w:eastAsia="zh-CN"/>
                <w14:textFill>
                  <w14:solidFill>
                    <w14:schemeClr w14:val="tx1"/>
                  </w14:solidFill>
                </w14:textFill>
              </w:rPr>
              <w:t>值；</w:t>
            </w:r>
            <w:r>
              <w:rPr>
                <w:rFonts w:hint="eastAsia" w:ascii="Times New Roman" w:hAnsi="Times New Roman" w:cs="Times New Roman"/>
                <w:vanish w:val="0"/>
                <w:color w:val="000000" w:themeColor="text1"/>
                <w:highlight w:val="none"/>
                <w:lang w:val="en-US" w:eastAsia="zh-CN"/>
                <w14:textFill>
                  <w14:solidFill>
                    <w14:schemeClr w14:val="tx1"/>
                  </w14:solidFill>
                </w14:textFill>
              </w:rPr>
              <w:t>净化水厂运行期</w:t>
            </w:r>
            <w:r>
              <w:rPr>
                <w:rFonts w:hint="default" w:ascii="Times New Roman" w:hAnsi="Times New Roman" w:cs="Times New Roman"/>
                <w:vanish w:val="0"/>
                <w:color w:val="000000" w:themeColor="text1"/>
                <w:highlight w:val="none"/>
                <w:lang w:val="en-US" w:eastAsia="zh-CN"/>
                <w14:textFill>
                  <w14:solidFill>
                    <w14:schemeClr w14:val="tx1"/>
                  </w14:solidFill>
                </w14:textFill>
              </w:rPr>
              <w:t>厂界</w:t>
            </w:r>
            <w:r>
              <w:rPr>
                <w:rFonts w:hint="eastAsia" w:ascii="Times New Roman" w:hAnsi="Times New Roman" w:cs="Times New Roman"/>
                <w:vanish w:val="0"/>
                <w:color w:val="000000" w:themeColor="text1"/>
                <w:highlight w:val="none"/>
                <w:lang w:val="en-US" w:eastAsia="zh-CN"/>
                <w14:textFill>
                  <w14:solidFill>
                    <w14:schemeClr w14:val="tx1"/>
                  </w14:solidFill>
                </w14:textFill>
              </w:rPr>
              <w:t>噪声</w:t>
            </w:r>
            <w:r>
              <w:rPr>
                <w:rFonts w:hint="default" w:ascii="Times New Roman" w:hAnsi="Times New Roman" w:cs="Times New Roman"/>
                <w:vanish w:val="0"/>
                <w:color w:val="000000" w:themeColor="text1"/>
                <w:highlight w:val="none"/>
                <w:lang w:val="en-US" w:eastAsia="zh-CN"/>
                <w14:textFill>
                  <w14:solidFill>
                    <w14:schemeClr w14:val="tx1"/>
                  </w14:solidFill>
                </w14:textFill>
              </w:rPr>
              <w:t>执行《工业企业厂界环境噪声排放标准》（GB12348-2008</w:t>
            </w:r>
            <w:r>
              <w:rPr>
                <w:rFonts w:hint="eastAsia" w:ascii="Times New Roman" w:hAnsi="Times New Roman" w:cs="Times New Roman"/>
                <w:vanish w:val="0"/>
                <w:color w:val="000000" w:themeColor="text1"/>
                <w:highlight w:val="none"/>
                <w:lang w:val="en-US" w:eastAsia="zh-CN"/>
                <w14:textFill>
                  <w14:solidFill>
                    <w14:schemeClr w14:val="tx1"/>
                  </w14:solidFill>
                </w14:textFill>
              </w:rPr>
              <w:t>）2</w:t>
            </w:r>
            <w:r>
              <w:rPr>
                <w:rFonts w:hint="default" w:ascii="Times New Roman" w:hAnsi="Times New Roman" w:cs="Times New Roman"/>
                <w:vanish w:val="0"/>
                <w:color w:val="000000" w:themeColor="text1"/>
                <w:highlight w:val="none"/>
                <w:lang w:val="en-US" w:eastAsia="zh-CN"/>
                <w14:textFill>
                  <w14:solidFill>
                    <w14:schemeClr w14:val="tx1"/>
                  </w14:solidFill>
                </w14:textFill>
              </w:rPr>
              <w:t>类标准。</w:t>
            </w:r>
          </w:p>
          <w:p w14:paraId="1C23CC6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vanish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highlight w:val="none"/>
                <w:lang w:val="en-US" w:eastAsia="zh-CN" w:bidi="ar-SA"/>
                <w14:textFill>
                  <w14:solidFill>
                    <w14:schemeClr w14:val="tx1"/>
                  </w14:solidFill>
                </w14:textFill>
              </w:rPr>
              <w:t>具体标准详见下表。</w:t>
            </w:r>
          </w:p>
          <w:p w14:paraId="435693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表</w:t>
            </w:r>
            <w:r>
              <w:rPr>
                <w:rFonts w:hint="eastAsia" w:ascii="Times New Roman" w:hAnsi="Times New Roman" w:eastAsia="宋体" w:cs="Times New Roman"/>
                <w:b/>
                <w:bCs/>
                <w:vanish w:val="0"/>
                <w:color w:val="000000" w:themeColor="text1"/>
                <w:szCs w:val="21"/>
                <w:highlight w:val="none"/>
                <w:lang w:val="en-US" w:eastAsia="zh-CN"/>
                <w14:textFill>
                  <w14:solidFill>
                    <w14:schemeClr w14:val="tx1"/>
                  </w14:solidFill>
                </w14:textFill>
              </w:rPr>
              <w:t>3-</w:t>
            </w:r>
            <w:r>
              <w:rPr>
                <w:rFonts w:hint="eastAsia" w:cs="Times New Roman"/>
                <w:b/>
                <w:bCs/>
                <w:vanish w:val="0"/>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 xml:space="preserve">  建筑施工场界环境噪声排放限值  单位：dB</w:t>
            </w:r>
            <w:r>
              <w:rPr>
                <w:rFonts w:hint="eastAsia" w:ascii="Times New Roman" w:hAnsi="Times New Roman" w:eastAsia="宋体" w:cs="Times New Roman"/>
                <w:b/>
                <w:bCs/>
                <w:vanish w:val="0"/>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A</w:t>
            </w:r>
            <w:r>
              <w:rPr>
                <w:rFonts w:hint="eastAsia" w:ascii="Times New Roman" w:hAnsi="Times New Roman" w:eastAsia="宋体" w:cs="Times New Roman"/>
                <w:b/>
                <w:bCs/>
                <w:vanish w:val="0"/>
                <w:color w:val="000000" w:themeColor="text1"/>
                <w:szCs w:val="21"/>
                <w:highlight w:val="none"/>
                <w:lang w:val="en-US" w:eastAsia="zh-CN"/>
                <w14:textFill>
                  <w14:solidFill>
                    <w14:schemeClr w14:val="tx1"/>
                  </w14:solidFill>
                </w14:textFill>
              </w:rPr>
              <w:t>）</w:t>
            </w:r>
          </w:p>
          <w:tbl>
            <w:tblPr>
              <w:tblStyle w:val="24"/>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2973"/>
              <w:gridCol w:w="2028"/>
            </w:tblGrid>
            <w:tr w14:paraId="183B8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1851" w:type="pct"/>
                  <w:tcBorders>
                    <w:tl2br w:val="nil"/>
                    <w:tr2bl w:val="nil"/>
                  </w:tcBorders>
                  <w:noWrap w:val="0"/>
                  <w:vAlign w:val="center"/>
                </w:tcPr>
                <w:p w14:paraId="19EC33DA">
                  <w:pPr>
                    <w:keepNext/>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昼间</w:t>
                  </w:r>
                </w:p>
              </w:tc>
              <w:tc>
                <w:tcPr>
                  <w:tcW w:w="1871" w:type="pct"/>
                  <w:tcBorders>
                    <w:tl2br w:val="nil"/>
                    <w:tr2bl w:val="nil"/>
                  </w:tcBorders>
                  <w:noWrap w:val="0"/>
                  <w:vAlign w:val="center"/>
                </w:tcPr>
                <w:p w14:paraId="21E76DEE">
                  <w:pPr>
                    <w:keepNext/>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夜间</w:t>
                  </w:r>
                </w:p>
              </w:tc>
              <w:tc>
                <w:tcPr>
                  <w:tcW w:w="1276" w:type="pct"/>
                  <w:tcBorders>
                    <w:tl2br w:val="nil"/>
                    <w:tr2bl w:val="nil"/>
                  </w:tcBorders>
                  <w:noWrap w:val="0"/>
                  <w:vAlign w:val="center"/>
                </w:tcPr>
                <w:p w14:paraId="541EE3BC">
                  <w:pPr>
                    <w:keepNext/>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备注</w:t>
                  </w:r>
                </w:p>
              </w:tc>
            </w:tr>
            <w:tr w14:paraId="51D20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1851" w:type="pct"/>
                  <w:tcBorders>
                    <w:tl2br w:val="nil"/>
                    <w:tr2bl w:val="nil"/>
                  </w:tcBorders>
                  <w:noWrap w:val="0"/>
                  <w:vAlign w:val="center"/>
                </w:tcPr>
                <w:p w14:paraId="1A664192">
                  <w:pPr>
                    <w:keepNext/>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vanish w:val="0"/>
                      <w:color w:val="000000" w:themeColor="text1"/>
                      <w:sz w:val="21"/>
                      <w:szCs w:val="21"/>
                      <w:highlight w:val="none"/>
                      <w:lang w:val="en-US"/>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70</w:t>
                  </w:r>
                </w:p>
              </w:tc>
              <w:tc>
                <w:tcPr>
                  <w:tcW w:w="1871" w:type="pct"/>
                  <w:tcBorders>
                    <w:tl2br w:val="nil"/>
                    <w:tr2bl w:val="nil"/>
                  </w:tcBorders>
                  <w:noWrap w:val="0"/>
                  <w:vAlign w:val="center"/>
                </w:tcPr>
                <w:p w14:paraId="034622FA">
                  <w:pPr>
                    <w:keepNext/>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vanish w:val="0"/>
                      <w:color w:val="000000" w:themeColor="text1"/>
                      <w:sz w:val="21"/>
                      <w:szCs w:val="21"/>
                      <w:highlight w:val="none"/>
                      <w:lang w:val="en-US"/>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55</w:t>
                  </w:r>
                </w:p>
              </w:tc>
              <w:tc>
                <w:tcPr>
                  <w:tcW w:w="1276" w:type="pct"/>
                  <w:tcBorders>
                    <w:tl2br w:val="nil"/>
                    <w:tr2bl w:val="nil"/>
                  </w:tcBorders>
                  <w:noWrap w:val="0"/>
                  <w:vAlign w:val="center"/>
                </w:tcPr>
                <w:p w14:paraId="4B22E4EC">
                  <w:pPr>
                    <w:keepNext/>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厂界</w:t>
                  </w:r>
                </w:p>
              </w:tc>
            </w:tr>
          </w:tbl>
          <w:p w14:paraId="36ABA55F">
            <w:pPr>
              <w:jc w:val="cente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pPr>
          </w:p>
          <w:p w14:paraId="304A4424">
            <w:pPr>
              <w:jc w:val="cente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表</w:t>
            </w:r>
            <w:r>
              <w:rPr>
                <w:rFonts w:hint="eastAsia" w:ascii="Times New Roman" w:hAnsi="Times New Roman" w:eastAsia="宋体" w:cs="Times New Roman"/>
                <w:b/>
                <w:bCs/>
                <w:vanish w:val="0"/>
                <w:color w:val="000000" w:themeColor="text1"/>
                <w:szCs w:val="21"/>
                <w:highlight w:val="none"/>
                <w:lang w:val="en-US" w:eastAsia="zh-CN"/>
                <w14:textFill>
                  <w14:solidFill>
                    <w14:schemeClr w14:val="tx1"/>
                  </w14:solidFill>
                </w14:textFill>
              </w:rPr>
              <w:t>3-</w:t>
            </w:r>
            <w:r>
              <w:rPr>
                <w:rFonts w:hint="eastAsia" w:cs="Times New Roman"/>
                <w:b/>
                <w:bCs/>
                <w:vanish w:val="0"/>
                <w:color w:val="000000" w:themeColor="text1"/>
                <w:szCs w:val="21"/>
                <w:highlight w:val="none"/>
                <w:lang w:val="en-US" w:eastAsia="zh-CN"/>
                <w14:textFill>
                  <w14:solidFill>
                    <w14:schemeClr w14:val="tx1"/>
                  </w14:solidFill>
                </w14:textFill>
              </w:rPr>
              <w:t>5</w:t>
            </w: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 xml:space="preserve">  工业企业厂界环境噪声排放限值  单位：dB</w:t>
            </w:r>
            <w:r>
              <w:rPr>
                <w:rFonts w:hint="eastAsia" w:ascii="Times New Roman" w:hAnsi="Times New Roman" w:eastAsia="宋体" w:cs="Times New Roman"/>
                <w:b/>
                <w:bCs/>
                <w:vanish w:val="0"/>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b/>
                <w:bCs/>
                <w:vanish w:val="0"/>
                <w:color w:val="000000" w:themeColor="text1"/>
                <w:szCs w:val="21"/>
                <w:highlight w:val="none"/>
                <w:lang w:val="en-US" w:eastAsia="zh-CN"/>
                <w14:textFill>
                  <w14:solidFill>
                    <w14:schemeClr w14:val="tx1"/>
                  </w14:solidFill>
                </w14:textFill>
              </w:rPr>
              <w:t>A</w:t>
            </w:r>
            <w:r>
              <w:rPr>
                <w:rFonts w:hint="eastAsia" w:ascii="Times New Roman" w:hAnsi="Times New Roman" w:eastAsia="宋体" w:cs="Times New Roman"/>
                <w:b/>
                <w:bCs/>
                <w:vanish w:val="0"/>
                <w:color w:val="000000" w:themeColor="text1"/>
                <w:szCs w:val="21"/>
                <w:highlight w:val="none"/>
                <w:lang w:val="en-US" w:eastAsia="zh-CN"/>
                <w14:textFill>
                  <w14:solidFill>
                    <w14:schemeClr w14:val="tx1"/>
                  </w14:solidFill>
                </w14:textFill>
              </w:rPr>
              <w:t>）</w:t>
            </w:r>
          </w:p>
          <w:tbl>
            <w:tblPr>
              <w:tblStyle w:val="24"/>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51"/>
              <w:gridCol w:w="1123"/>
              <w:gridCol w:w="2214"/>
              <w:gridCol w:w="1253"/>
            </w:tblGrid>
            <w:tr w14:paraId="4E11C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2109"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1B6081D">
                  <w:pPr>
                    <w:keepLines w:val="0"/>
                    <w:pageBreakBefore w:val="0"/>
                    <w:widowControl/>
                    <w:kinsoku/>
                    <w:wordWrap/>
                    <w:overflowPunct/>
                    <w:topLinePunct w:val="0"/>
                    <w:autoSpaceDE/>
                    <w:autoSpaceDN/>
                    <w:bidi w:val="0"/>
                    <w:adjustRightInd/>
                    <w:snapToGrid w:val="0"/>
                    <w:spacing w:line="240" w:lineRule="auto"/>
                    <w:textAlignment w:val="auto"/>
                    <w:outlineLvl w:val="0"/>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p>
                <w:p w14:paraId="1ED18B03">
                  <w:pPr>
                    <w:keepLines w:val="0"/>
                    <w:pageBreakBefore w:val="0"/>
                    <w:widowControl/>
                    <w:kinsoku/>
                    <w:wordWrap/>
                    <w:overflowPunct/>
                    <w:topLinePunct w:val="0"/>
                    <w:autoSpaceDE/>
                    <w:autoSpaceDN/>
                    <w:bidi w:val="0"/>
                    <w:adjustRightInd/>
                    <w:snapToGrid w:val="0"/>
                    <w:spacing w:line="240" w:lineRule="auto"/>
                    <w:textAlignment w:val="auto"/>
                    <w:outlineLvl w:val="0"/>
                    <mc:AlternateContent>
                      <mc:Choice Requires="wpsCustomData">
                        <wpsCustomData:diagonalParaType/>
                      </mc:Choice>
                    </mc:AlternateContent>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声</w:t>
                  </w:r>
                  <w:r>
                    <w:rPr>
                      <w:rFonts w:hint="default" w:ascii="Times New Roman" w:hAnsi="Times New Roman" w:cs="Times New Roman"/>
                      <w:vanish w:val="0"/>
                      <w:color w:val="000000" w:themeColor="text1"/>
                      <w:sz w:val="21"/>
                      <w:szCs w:val="21"/>
                      <w:highlight w:val="none"/>
                      <w14:textFill>
                        <w14:solidFill>
                          <w14:schemeClr w14:val="tx1"/>
                        </w14:solidFill>
                      </w14:textFill>
                    </w:rPr>
                    <w:t xml:space="preserve">境功能区       </w:t>
                  </w:r>
                </w:p>
                <w:p w14:paraId="3906E9C9">
                  <w:pPr>
                    <w:keepLines w:val="0"/>
                    <w:pageBreakBefore w:val="0"/>
                    <w:widowControl/>
                    <w:kinsoku/>
                    <w:wordWrap/>
                    <w:overflowPunct/>
                    <w:topLinePunct w:val="0"/>
                    <w:autoSpaceDE/>
                    <w:autoSpaceDN/>
                    <w:bidi w:val="0"/>
                    <w:adjustRightInd/>
                    <w:snapToGrid/>
                    <w:spacing w:line="240" w:lineRule="exact"/>
                    <w:textAlignment w:val="auto"/>
                    <w:outlineLvl w:val="0"/>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时段</w:t>
                  </w:r>
                </w:p>
              </w:tc>
              <w:tc>
                <w:tcPr>
                  <w:tcW w:w="707" w:type="pct"/>
                  <w:tcBorders>
                    <w:tl2br w:val="nil"/>
                    <w:tr2bl w:val="nil"/>
                  </w:tcBorders>
                  <w:noWrap w:val="0"/>
                  <w:vAlign w:val="center"/>
                </w:tcPr>
                <w:p w14:paraId="6D64AE00">
                  <w:pPr>
                    <w:keepNext/>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昼间</w:t>
                  </w:r>
                </w:p>
              </w:tc>
              <w:tc>
                <w:tcPr>
                  <w:tcW w:w="1394" w:type="pct"/>
                  <w:tcBorders>
                    <w:tl2br w:val="nil"/>
                    <w:tr2bl w:val="nil"/>
                  </w:tcBorders>
                  <w:noWrap w:val="0"/>
                  <w:vAlign w:val="center"/>
                </w:tcPr>
                <w:p w14:paraId="7193063B">
                  <w:pPr>
                    <w:keepNext/>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夜间</w:t>
                  </w:r>
                </w:p>
              </w:tc>
              <w:tc>
                <w:tcPr>
                  <w:tcW w:w="788" w:type="pct"/>
                  <w:tcBorders>
                    <w:tl2br w:val="nil"/>
                    <w:tr2bl w:val="nil"/>
                  </w:tcBorders>
                  <w:noWrap w:val="0"/>
                  <w:vAlign w:val="center"/>
                </w:tcPr>
                <w:p w14:paraId="75355EFC">
                  <w:pPr>
                    <w:keepNext/>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备注</w:t>
                  </w:r>
                </w:p>
              </w:tc>
            </w:tr>
            <w:tr w14:paraId="4913A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hidden/>
              </w:trPr>
              <w:tc>
                <w:tcPr>
                  <w:tcW w:w="2109" w:type="pct"/>
                  <w:tcBorders>
                    <w:tl2br w:val="nil"/>
                    <w:tr2bl w:val="nil"/>
                  </w:tcBorders>
                  <w:noWrap w:val="0"/>
                  <w:vAlign w:val="center"/>
                </w:tcPr>
                <w:p w14:paraId="16287C85">
                  <w:pPr>
                    <w:keepLines w:val="0"/>
                    <w:pageBreakBefore w:val="0"/>
                    <w:widowControl/>
                    <w:kinsoku/>
                    <w:wordWrap/>
                    <w:overflowPunct/>
                    <w:topLinePunct w:val="0"/>
                    <w:autoSpaceDE/>
                    <w:autoSpaceDN/>
                    <w:bidi w:val="0"/>
                    <w:adjustRightInd/>
                    <w:snapToGrid/>
                    <w:spacing w:line="240" w:lineRule="exact"/>
                    <w:jc w:val="center"/>
                    <w:textAlignment w:val="auto"/>
                    <w:outlineLvl w:val="0"/>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vanish w:val="0"/>
                      <w:color w:val="000000" w:themeColor="text1"/>
                      <w:sz w:val="21"/>
                      <w:szCs w:val="21"/>
                      <w:highlight w:val="none"/>
                      <w14:textFill>
                        <w14:solidFill>
                          <w14:schemeClr w14:val="tx1"/>
                        </w14:solidFill>
                      </w14:textFill>
                    </w:rPr>
                    <w:t>类</w:t>
                  </w:r>
                </w:p>
              </w:tc>
              <w:tc>
                <w:tcPr>
                  <w:tcW w:w="707" w:type="pct"/>
                  <w:tcBorders>
                    <w:tl2br w:val="nil"/>
                    <w:tr2bl w:val="nil"/>
                  </w:tcBorders>
                  <w:noWrap w:val="0"/>
                  <w:vAlign w:val="center"/>
                </w:tcPr>
                <w:p w14:paraId="4F433996">
                  <w:pPr>
                    <w:keepNext/>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60</w:t>
                  </w:r>
                </w:p>
              </w:tc>
              <w:tc>
                <w:tcPr>
                  <w:tcW w:w="1394" w:type="pct"/>
                  <w:tcBorders>
                    <w:tl2br w:val="nil"/>
                    <w:tr2bl w:val="nil"/>
                  </w:tcBorders>
                  <w:noWrap w:val="0"/>
                  <w:vAlign w:val="center"/>
                </w:tcPr>
                <w:p w14:paraId="6B299A80">
                  <w:pPr>
                    <w:keepNext/>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vanish w:val="0"/>
                      <w:color w:val="000000" w:themeColor="text1"/>
                      <w:sz w:val="21"/>
                      <w:szCs w:val="21"/>
                      <w:highlight w:val="none"/>
                      <w:lang w:val="en-US"/>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50</w:t>
                  </w:r>
                </w:p>
              </w:tc>
              <w:tc>
                <w:tcPr>
                  <w:tcW w:w="788" w:type="pct"/>
                  <w:tcBorders>
                    <w:tl2br w:val="nil"/>
                    <w:tr2bl w:val="nil"/>
                  </w:tcBorders>
                  <w:noWrap w:val="0"/>
                  <w:vAlign w:val="center"/>
                </w:tcPr>
                <w:p w14:paraId="2D66C903">
                  <w:pPr>
                    <w:keepNext/>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厂界</w:t>
                  </w:r>
                </w:p>
              </w:tc>
            </w:tr>
          </w:tbl>
          <w:p w14:paraId="7134843F">
            <w:pPr>
              <w:pStyle w:val="15"/>
              <w:keepNext w:val="0"/>
              <w:keepLines w:val="0"/>
              <w:pageBreakBefore w:val="0"/>
              <w:widowControl w:val="0"/>
              <w:kinsoku/>
              <w:wordWrap/>
              <w:overflowPunct/>
              <w:topLinePunct w:val="0"/>
              <w:autoSpaceDE/>
              <w:autoSpaceDN/>
              <w:bidi w:val="0"/>
              <w:adjustRightInd w:val="0"/>
              <w:snapToGrid/>
              <w:spacing w:after="0" w:line="360" w:lineRule="auto"/>
              <w:ind w:left="0" w:leftChars="0" w:firstLine="420" w:firstLineChars="200"/>
              <w:jc w:val="both"/>
              <w:textAlignment w:val="auto"/>
              <w:rPr>
                <w:rFonts w:hint="default" w:ascii="Times New Roman" w:hAnsi="Times New Roman" w:eastAsia="宋体" w:cs="Times New Roman"/>
                <w:b/>
                <w:bCs/>
                <w:vanish w:val="0"/>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vanish w:val="0"/>
                <w:color w:val="000000" w:themeColor="text1"/>
                <w:kern w:val="2"/>
                <w:sz w:val="21"/>
                <w:szCs w:val="24"/>
                <w:highlight w:val="none"/>
                <w:lang w:val="en-US" w:eastAsia="zh-CN" w:bidi="ar-SA"/>
                <w14:textFill>
                  <w14:solidFill>
                    <w14:schemeClr w14:val="tx1"/>
                  </w14:solidFill>
                </w14:textFill>
              </w:rPr>
              <w:t>四、固体废物排放标准</w:t>
            </w:r>
          </w:p>
          <w:p w14:paraId="78218E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一般固废参照执行《一般工业固体废物贮存和填埋污染控制标准》（GB18599-2020）中的有关规定；生活垃圾执行《城市生活垃圾管理办法》（建设部令第</w:t>
            </w:r>
            <w:r>
              <w:rPr>
                <w:rFonts w:hint="default"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157号）的有关规定</w:t>
            </w:r>
            <w:r>
              <w:rPr>
                <w:rFonts w:hint="eastAsia" w:ascii="Times New Roman" w:hAnsi="Times New Roman" w:eastAsia="宋体" w:cs="Times New Roman"/>
                <w:b w:val="0"/>
                <w:bCs w:val="0"/>
                <w:vanish w:val="0"/>
                <w:color w:val="000000" w:themeColor="text1"/>
                <w:kern w:val="2"/>
                <w:sz w:val="21"/>
                <w:szCs w:val="24"/>
                <w:highlight w:val="none"/>
                <w:lang w:val="en-US" w:eastAsia="zh-CN" w:bidi="ar-SA"/>
                <w14:textFill>
                  <w14:solidFill>
                    <w14:schemeClr w14:val="tx1"/>
                  </w14:solidFill>
                </w14:textFill>
              </w:rPr>
              <w:t>；危险废物执行《危险废物贮存污染控制标准》（GB 18597-2023）有关规定。</w:t>
            </w:r>
          </w:p>
          <w:p w14:paraId="606E8C6D">
            <w:pPr>
              <w:adjustRightInd w:val="0"/>
              <w:snapToGrid w:val="0"/>
              <w:jc w:val="center"/>
              <w:rPr>
                <w:rFonts w:hint="default" w:ascii="Times New Roman" w:hAnsi="Times New Roman" w:cs="Times New Roman"/>
                <w:vanish w:val="0"/>
                <w:color w:val="000000" w:themeColor="text1"/>
                <w:kern w:val="0"/>
                <w:szCs w:val="21"/>
                <w:highlight w:val="yellow"/>
                <w14:textFill>
                  <w14:solidFill>
                    <w14:schemeClr w14:val="tx1"/>
                  </w14:solidFill>
                </w14:textFill>
              </w:rPr>
            </w:pPr>
          </w:p>
        </w:tc>
      </w:tr>
      <w:tr w14:paraId="19DA2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3" w:hRule="atLeast"/>
          <w:jc w:val="center"/>
          <w:hidden/>
        </w:trPr>
        <w:tc>
          <w:tcPr>
            <w:tcW w:w="800" w:type="dxa"/>
            <w:noWrap w:val="0"/>
            <w:vAlign w:val="center"/>
          </w:tcPr>
          <w:p w14:paraId="1188492D">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总量</w:t>
            </w:r>
          </w:p>
          <w:p w14:paraId="515300C1">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控制</w:t>
            </w:r>
          </w:p>
          <w:p w14:paraId="346297A9">
            <w:pPr>
              <w:adjustRightInd w:val="0"/>
              <w:snapToGrid w:val="0"/>
              <w:jc w:val="center"/>
              <w:rPr>
                <w:rFonts w:hint="default" w:ascii="Times New Roman" w:hAnsi="Times New Roman" w:cs="Times New Roman"/>
                <w:vanish w:val="0"/>
                <w:color w:val="000000" w:themeColor="text1"/>
                <w:kern w:val="0"/>
                <w:szCs w:val="21"/>
                <w14:textFill>
                  <w14:solidFill>
                    <w14:schemeClr w14:val="tx1"/>
                  </w14:solidFill>
                </w14:textFill>
              </w:rPr>
            </w:pPr>
            <w:r>
              <w:rPr>
                <w:rFonts w:hint="default" w:ascii="Times New Roman" w:hAnsi="Times New Roman" w:cs="Times New Roman"/>
                <w:vanish w:val="0"/>
                <w:color w:val="000000" w:themeColor="text1"/>
                <w:kern w:val="0"/>
                <w:szCs w:val="21"/>
                <w14:textFill>
                  <w14:solidFill>
                    <w14:schemeClr w14:val="tx1"/>
                  </w14:solidFill>
                </w14:textFill>
              </w:rPr>
              <w:t>指标</w:t>
            </w:r>
          </w:p>
        </w:tc>
        <w:tc>
          <w:tcPr>
            <w:tcW w:w="8190" w:type="dxa"/>
            <w:noWrap w:val="0"/>
            <w:vAlign w:val="center"/>
          </w:tcPr>
          <w:p w14:paraId="0167B0FF">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537C800F">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68E28ED1">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4815BC93">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03775836">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4F6B55C7">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213574BD">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34256103">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440CCB07">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32C7F1F4">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7853D757">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p>
          <w:p w14:paraId="24A5D970">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根据环保部环发</w:t>
            </w:r>
            <w:r>
              <w:rPr>
                <w:rFonts w:hint="eastAsia" w:cs="Times New Roman"/>
                <w:b w:val="0"/>
                <w:bCs w:val="0"/>
                <w:vanish w:val="0"/>
                <w:color w:val="000000" w:themeColor="text1"/>
                <w:kern w:val="2"/>
                <w:sz w:val="21"/>
                <w:szCs w:val="24"/>
                <w:lang w:val="en-US" w:eastAsia="zh-CN" w:bidi="ar-SA"/>
                <w14:textFill>
                  <w14:solidFill>
                    <w14:schemeClr w14:val="tx1"/>
                  </w14:solidFill>
                </w14:textFill>
              </w:rPr>
              <w:t>〔2014〕197号“</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关于印发《建设项目主要污染物排放总量指标审核及管理暂行办法》、《中华人民共和国国民经济和社会发展第十</w:t>
            </w: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四</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个五年规划纲要》（简称</w:t>
            </w:r>
            <w:r>
              <w:rPr>
                <w:rFonts w:hint="eastAsia" w:cs="Times New Roman"/>
                <w:b w:val="0"/>
                <w:bCs w:val="0"/>
                <w:vanish w:val="0"/>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十</w:t>
            </w: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四</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五</w:t>
            </w:r>
            <w:r>
              <w:rPr>
                <w:rFonts w:hint="eastAsia" w:cs="Times New Roman"/>
                <w:b w:val="0"/>
                <w:bCs w:val="0"/>
                <w:vanish w:val="0"/>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规划</w:t>
            </w: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及陕西有关规定，对COD、NH</w:t>
            </w:r>
            <w:r>
              <w:rPr>
                <w:rFonts w:hint="default" w:ascii="Times New Roman" w:hAnsi="Times New Roman" w:eastAsia="宋体" w:cs="Times New Roman"/>
                <w:b w:val="0"/>
                <w:bCs w:val="0"/>
                <w:vanish w:val="0"/>
                <w:color w:val="000000" w:themeColor="text1"/>
                <w:kern w:val="2"/>
                <w:sz w:val="21"/>
                <w:szCs w:val="24"/>
                <w:vertAlign w:val="subscript"/>
                <w:lang w:val="en-US" w:eastAsia="zh-CN" w:bidi="ar-SA"/>
                <w14:textFill>
                  <w14:solidFill>
                    <w14:schemeClr w14:val="tx1"/>
                  </w14:solidFill>
                </w14:textFill>
              </w:rPr>
              <w:t>3</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-N、NO</w:t>
            </w:r>
            <w:r>
              <w:rPr>
                <w:rFonts w:hint="default" w:ascii="Times New Roman" w:hAnsi="Times New Roman" w:eastAsia="宋体" w:cs="Times New Roman"/>
                <w:b w:val="0"/>
                <w:bCs w:val="0"/>
                <w:vanish w:val="0"/>
                <w:color w:val="000000" w:themeColor="text1"/>
                <w:kern w:val="2"/>
                <w:sz w:val="21"/>
                <w:szCs w:val="24"/>
                <w:vertAlign w:val="subscript"/>
                <w:lang w:val="en-US" w:eastAsia="zh-CN" w:bidi="ar-SA"/>
                <w14:textFill>
                  <w14:solidFill>
                    <w14:schemeClr w14:val="tx1"/>
                  </w14:solidFill>
                </w14:textFill>
              </w:rPr>
              <w:t>X</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及挥发性有机物五种污染物排放实行总量控制和计划管理。</w:t>
            </w:r>
          </w:p>
          <w:p w14:paraId="2FA4AC1A">
            <w:pPr>
              <w:pStyle w:val="15"/>
              <w:adjustRightInd w:val="0"/>
              <w:spacing w:after="0" w:line="360" w:lineRule="auto"/>
              <w:ind w:left="0" w:leftChars="0" w:firstLine="420" w:firstLineChars="200"/>
              <w:jc w:val="both"/>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本项目不涉及总量控制指标。</w:t>
            </w:r>
          </w:p>
          <w:p w14:paraId="64931B17">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72E87B74">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3C5792A2">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29960730">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3F7B7F54">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78D9DBBE">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5DB0C4B5">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680F7269">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5F143E57">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779ECBDF">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51754987">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01013290">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p w14:paraId="06E50E3F">
            <w:pPr>
              <w:pStyle w:val="15"/>
              <w:adjustRightInd w:val="0"/>
              <w:spacing w:after="0" w:line="360" w:lineRule="auto"/>
              <w:ind w:left="0" w:leftChars="0" w:firstLine="0" w:firstLineChars="0"/>
              <w:jc w:val="both"/>
              <w:rPr>
                <w:rFonts w:hint="default" w:ascii="Times New Roman" w:hAnsi="Times New Roman" w:cs="Times New Roman"/>
                <w:vanish w:val="0"/>
                <w:color w:val="000000" w:themeColor="text1"/>
                <w:kern w:val="0"/>
                <w:szCs w:val="21"/>
                <w14:textFill>
                  <w14:solidFill>
                    <w14:schemeClr w14:val="tx1"/>
                  </w14:solidFill>
                </w14:textFill>
              </w:rPr>
            </w:pPr>
          </w:p>
        </w:tc>
      </w:tr>
    </w:tbl>
    <w:p w14:paraId="7F408C5D">
      <w:pPr>
        <w:pStyle w:val="20"/>
        <w:jc w:val="center"/>
        <w:outlineLvl w:val="0"/>
        <w:rPr>
          <w:rFonts w:hint="default" w:ascii="Times New Roman" w:hAnsi="Times New Roman" w:eastAsia="黑体" w:cs="Times New Roman"/>
          <w:snapToGrid w:val="0"/>
          <w:vanish w:val="0"/>
          <w:color w:val="000000" w:themeColor="text1"/>
          <w:sz w:val="30"/>
          <w:szCs w:val="30"/>
          <w14:textFill>
            <w14:solidFill>
              <w14:schemeClr w14:val="tx1"/>
            </w14:solidFill>
          </w14:textFill>
        </w:rPr>
      </w:pPr>
      <w:r>
        <w:rPr>
          <w:rFonts w:hint="default" w:ascii="Times New Roman" w:hAnsi="Times New Roman" w:eastAsia="黑体" w:cs="Times New Roman"/>
          <w:snapToGrid w:val="0"/>
          <w:vanish w:val="0"/>
          <w:color w:val="000000" w:themeColor="text1"/>
          <w:sz w:val="36"/>
          <w:szCs w:val="36"/>
          <w14:textFill>
            <w14:solidFill>
              <w14:schemeClr w14:val="tx1"/>
            </w14:solidFill>
          </w14:textFill>
        </w:rPr>
        <w:br w:type="page"/>
      </w:r>
      <w:r>
        <w:rPr>
          <w:rFonts w:hint="default" w:ascii="Times New Roman" w:hAnsi="Times New Roman" w:eastAsia="黑体" w:cs="Times New Roman"/>
          <w:snapToGrid w:val="0"/>
          <w:vanish w:val="0"/>
          <w:color w:val="000000" w:themeColor="text1"/>
          <w:sz w:val="30"/>
          <w:szCs w:val="30"/>
          <w14:textFill>
            <w14:solidFill>
              <w14:schemeClr w14:val="tx1"/>
            </w14:solidFill>
          </w14:textFill>
        </w:rPr>
        <w:t>四、主要环境影响和保护措施</w:t>
      </w:r>
    </w:p>
    <w:tbl>
      <w:tblPr>
        <w:tblStyle w:val="23"/>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316"/>
      </w:tblGrid>
      <w:tr w14:paraId="496F3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jc w:val="center"/>
          <w:hidden/>
        </w:trPr>
        <w:tc>
          <w:tcPr>
            <w:tcW w:w="746" w:type="dxa"/>
            <w:noWrap w:val="0"/>
            <w:tcMar>
              <w:left w:w="28" w:type="dxa"/>
              <w:right w:w="28" w:type="dxa"/>
            </w:tcMar>
            <w:vAlign w:val="center"/>
          </w:tcPr>
          <w:p w14:paraId="3F4E51C3">
            <w:pPr>
              <w:pStyle w:val="20"/>
              <w:adjustRightInd w:val="0"/>
              <w:snapToGrid w:val="0"/>
              <w:spacing w:before="0" w:beforeAutospacing="0" w:after="0" w:afterAutospacing="0"/>
              <w:jc w:val="center"/>
              <w:rPr>
                <w:rFonts w:hint="default" w:ascii="Times New Roman" w:hAnsi="Times New Roman" w:cs="Times New Roman"/>
                <w:vanish w:val="0"/>
                <w:color w:val="000000" w:themeColor="text1"/>
                <w:kern w:val="2"/>
                <w:sz w:val="21"/>
                <w:szCs w:val="21"/>
                <w14:textFill>
                  <w14:solidFill>
                    <w14:schemeClr w14:val="tx1"/>
                  </w14:solidFill>
                </w14:textFill>
              </w:rPr>
            </w:pPr>
            <w:r>
              <w:rPr>
                <w:rFonts w:hint="default" w:ascii="Times New Roman" w:hAnsi="Times New Roman" w:cs="Times New Roman"/>
                <w:vanish w:val="0"/>
                <w:color w:val="000000" w:themeColor="text1"/>
                <w:kern w:val="2"/>
                <w:sz w:val="21"/>
                <w:szCs w:val="21"/>
                <w14:textFill>
                  <w14:solidFill>
                    <w14:schemeClr w14:val="tx1"/>
                  </w14:solidFill>
                </w14:textFill>
              </w:rPr>
              <w:t>施工</w:t>
            </w:r>
          </w:p>
          <w:p w14:paraId="5C289BD2">
            <w:pPr>
              <w:pStyle w:val="20"/>
              <w:adjustRightInd w:val="0"/>
              <w:snapToGrid w:val="0"/>
              <w:spacing w:before="0" w:beforeAutospacing="0" w:after="0" w:afterAutospacing="0"/>
              <w:jc w:val="center"/>
              <w:rPr>
                <w:rFonts w:hint="default" w:ascii="Times New Roman" w:hAnsi="Times New Roman" w:cs="Times New Roman"/>
                <w:vanish w:val="0"/>
                <w:color w:val="000000" w:themeColor="text1"/>
                <w:kern w:val="2"/>
                <w:sz w:val="21"/>
                <w:szCs w:val="21"/>
                <w14:textFill>
                  <w14:solidFill>
                    <w14:schemeClr w14:val="tx1"/>
                  </w14:solidFill>
                </w14:textFill>
              </w:rPr>
            </w:pPr>
            <w:r>
              <w:rPr>
                <w:rFonts w:hint="default" w:ascii="Times New Roman" w:hAnsi="Times New Roman" w:cs="Times New Roman"/>
                <w:vanish w:val="0"/>
                <w:color w:val="000000" w:themeColor="text1"/>
                <w:kern w:val="2"/>
                <w:sz w:val="21"/>
                <w:szCs w:val="21"/>
                <w14:textFill>
                  <w14:solidFill>
                    <w14:schemeClr w14:val="tx1"/>
                  </w14:solidFill>
                </w14:textFill>
              </w:rPr>
              <w:t>期环</w:t>
            </w:r>
          </w:p>
          <w:p w14:paraId="6F88FC55">
            <w:pPr>
              <w:pStyle w:val="20"/>
              <w:adjustRightInd w:val="0"/>
              <w:snapToGrid w:val="0"/>
              <w:spacing w:before="0" w:beforeAutospacing="0" w:after="0" w:afterAutospacing="0"/>
              <w:jc w:val="center"/>
              <w:rPr>
                <w:rFonts w:hint="default" w:ascii="Times New Roman" w:hAnsi="Times New Roman" w:cs="Times New Roman"/>
                <w:vanish w:val="0"/>
                <w:color w:val="000000" w:themeColor="text1"/>
                <w:kern w:val="2"/>
                <w:sz w:val="21"/>
                <w:szCs w:val="21"/>
                <w14:textFill>
                  <w14:solidFill>
                    <w14:schemeClr w14:val="tx1"/>
                  </w14:solidFill>
                </w14:textFill>
              </w:rPr>
            </w:pPr>
            <w:r>
              <w:rPr>
                <w:rFonts w:hint="default" w:ascii="Times New Roman" w:hAnsi="Times New Roman" w:cs="Times New Roman"/>
                <w:vanish w:val="0"/>
                <w:color w:val="000000" w:themeColor="text1"/>
                <w:kern w:val="2"/>
                <w:sz w:val="21"/>
                <w:szCs w:val="21"/>
                <w14:textFill>
                  <w14:solidFill>
                    <w14:schemeClr w14:val="tx1"/>
                  </w14:solidFill>
                </w14:textFill>
              </w:rPr>
              <w:t>境保</w:t>
            </w:r>
          </w:p>
          <w:p w14:paraId="3173EE06">
            <w:pPr>
              <w:pStyle w:val="20"/>
              <w:adjustRightInd w:val="0"/>
              <w:snapToGrid w:val="0"/>
              <w:spacing w:before="0" w:beforeAutospacing="0" w:after="0" w:afterAutospacing="0"/>
              <w:jc w:val="center"/>
              <w:rPr>
                <w:rFonts w:hint="default" w:ascii="Times New Roman" w:hAnsi="Times New Roman" w:cs="Times New Roman"/>
                <w:vanish w:val="0"/>
                <w:color w:val="000000" w:themeColor="text1"/>
                <w:kern w:val="2"/>
                <w:sz w:val="21"/>
                <w:szCs w:val="21"/>
                <w14:textFill>
                  <w14:solidFill>
                    <w14:schemeClr w14:val="tx1"/>
                  </w14:solidFill>
                </w14:textFill>
              </w:rPr>
            </w:pPr>
            <w:r>
              <w:rPr>
                <w:rFonts w:hint="default" w:ascii="Times New Roman" w:hAnsi="Times New Roman" w:cs="Times New Roman"/>
                <w:vanish w:val="0"/>
                <w:color w:val="000000" w:themeColor="text1"/>
                <w:kern w:val="2"/>
                <w:sz w:val="21"/>
                <w:szCs w:val="21"/>
                <w14:textFill>
                  <w14:solidFill>
                    <w14:schemeClr w14:val="tx1"/>
                  </w14:solidFill>
                </w14:textFill>
              </w:rPr>
              <w:t>护措</w:t>
            </w:r>
          </w:p>
          <w:p w14:paraId="03ACF73A">
            <w:pPr>
              <w:pStyle w:val="20"/>
              <w:adjustRightInd w:val="0"/>
              <w:snapToGrid w:val="0"/>
              <w:spacing w:before="0" w:beforeAutospacing="0" w:after="0" w:afterAutospacing="0"/>
              <w:jc w:val="center"/>
              <w:rPr>
                <w:rFonts w:hint="default" w:ascii="Times New Roman" w:hAnsi="Times New Roman" w:cs="Times New Roman"/>
                <w:bCs/>
                <w:vanish w:val="0"/>
                <w:color w:val="000000" w:themeColor="text1"/>
                <w:kern w:val="2"/>
                <w:sz w:val="21"/>
                <w:szCs w:val="21"/>
                <w14:textFill>
                  <w14:solidFill>
                    <w14:schemeClr w14:val="tx1"/>
                  </w14:solidFill>
                </w14:textFill>
              </w:rPr>
            </w:pPr>
            <w:r>
              <w:rPr>
                <w:rFonts w:hint="default" w:ascii="Times New Roman" w:hAnsi="Times New Roman" w:cs="Times New Roman"/>
                <w:vanish w:val="0"/>
                <w:color w:val="000000" w:themeColor="text1"/>
                <w:kern w:val="2"/>
                <w:sz w:val="21"/>
                <w:szCs w:val="21"/>
                <w14:textFill>
                  <w14:solidFill>
                    <w14:schemeClr w14:val="tx1"/>
                  </w14:solidFill>
                </w14:textFill>
              </w:rPr>
              <w:t>施</w:t>
            </w:r>
          </w:p>
        </w:tc>
        <w:tc>
          <w:tcPr>
            <w:tcW w:w="8316" w:type="dxa"/>
            <w:noWrap w:val="0"/>
            <w:vAlign w:val="center"/>
          </w:tcPr>
          <w:p w14:paraId="0DC5BDC4">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本项目施工期主要为净化水厂施工以及管道施工两部分，具体内容如下。</w:t>
            </w:r>
          </w:p>
          <w:p w14:paraId="1EA5FF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vanish w:val="0"/>
                <w:color w:val="000000" w:themeColor="text1"/>
                <w:sz w:val="21"/>
                <w:szCs w:val="21"/>
                <w14:textFill>
                  <w14:solidFill>
                    <w14:schemeClr w14:val="tx1"/>
                  </w14:solidFill>
                </w14:textFill>
              </w:rPr>
              <w:t>一、施工期大气</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环境保护措施</w:t>
            </w:r>
          </w:p>
          <w:p w14:paraId="2BD193D0">
            <w:pPr>
              <w:pStyle w:val="6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A、</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厂内建筑</w:t>
            </w: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施工</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污染治理措施</w:t>
            </w:r>
          </w:p>
          <w:p w14:paraId="1172FA9E">
            <w:pPr>
              <w:pStyle w:val="6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本项目</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厂内建筑</w:t>
            </w:r>
            <w:r>
              <w:rPr>
                <w:rFonts w:hint="default" w:ascii="Times New Roman" w:hAnsi="Times New Roman" w:cs="Times New Roman"/>
                <w:vanish w:val="0"/>
                <w:color w:val="000000" w:themeColor="text1"/>
                <w:sz w:val="21"/>
                <w:szCs w:val="21"/>
                <w14:textFill>
                  <w14:solidFill>
                    <w14:schemeClr w14:val="tx1"/>
                  </w14:solidFill>
                </w14:textFill>
              </w:rPr>
              <w:t>施工期大气污染物主要是施工场地平整、机械车辆运输中产生的扬尘及施工机械排放的烟气。</w:t>
            </w:r>
          </w:p>
          <w:p w14:paraId="08F5C08A">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1、扬尘</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治理措施</w:t>
            </w:r>
          </w:p>
          <w:p w14:paraId="7F72B5AB">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根据现场勘查，本项目</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厂内建筑</w:t>
            </w:r>
            <w:r>
              <w:rPr>
                <w:rFonts w:hint="default" w:ascii="Times New Roman" w:hAnsi="Times New Roman" w:cs="Times New Roman"/>
                <w:vanish w:val="0"/>
                <w:color w:val="000000" w:themeColor="text1"/>
                <w:sz w:val="21"/>
                <w:szCs w:val="21"/>
                <w14:textFill>
                  <w14:solidFill>
                    <w14:schemeClr w14:val="tx1"/>
                  </w14:solidFill>
                </w14:textFill>
              </w:rPr>
              <w:t>为</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混凝土</w:t>
            </w:r>
            <w:r>
              <w:rPr>
                <w:rFonts w:hint="default" w:ascii="Times New Roman" w:hAnsi="Times New Roman" w:cs="Times New Roman"/>
                <w:vanish w:val="0"/>
                <w:color w:val="000000" w:themeColor="text1"/>
                <w:sz w:val="21"/>
                <w:szCs w:val="21"/>
                <w14:textFill>
                  <w14:solidFill>
                    <w14:schemeClr w14:val="tx1"/>
                  </w14:solidFill>
                </w14:textFill>
              </w:rPr>
              <w:t>结构，土方开挖量较小</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施工扬尘量较小。</w:t>
            </w:r>
          </w:p>
          <w:p w14:paraId="05D313AC">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为降低扬尘对周边环境的影响，采取如下减缓及保护措施：</w:t>
            </w:r>
          </w:p>
          <w:p w14:paraId="4704F6A8">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（1</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在施工期间对车辆行驶的路面实施洒水抑尘，每天洒水4～5次，可使扬尘减少70%左右，表</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4-1</w:t>
            </w:r>
            <w:r>
              <w:rPr>
                <w:rFonts w:hint="default" w:ascii="Times New Roman" w:hAnsi="Times New Roman" w:cs="Times New Roman"/>
                <w:vanish w:val="0"/>
                <w:color w:val="000000" w:themeColor="text1"/>
                <w:sz w:val="21"/>
                <w:szCs w:val="21"/>
                <w14:textFill>
                  <w14:solidFill>
                    <w14:schemeClr w14:val="tx1"/>
                  </w14:solidFill>
                </w14:textFill>
              </w:rPr>
              <w:t>为施工场地洒水抑尘的试验结果。可见，每天洒水4～5次进行抑尘，可有效地控制施工扬尘，可将颗粒物的污染距离缩小到20～50m范围。</w:t>
            </w:r>
          </w:p>
          <w:p w14:paraId="1EEA7549">
            <w:pPr>
              <w:pStyle w:val="20"/>
              <w:spacing w:before="0" w:beforeAutospacing="0" w:after="0" w:afterAutospacing="0"/>
              <w:jc w:val="center"/>
              <w:rPr>
                <w:rStyle w:val="26"/>
                <w:rFonts w:hint="default" w:ascii="Times New Roman" w:hAnsi="Times New Roman" w:cs="Times New Roman"/>
                <w:b/>
                <w:bCs/>
                <w:vanish w:val="0"/>
                <w:color w:val="000000" w:themeColor="text1"/>
                <w:sz w:val="21"/>
                <w:szCs w:val="21"/>
                <w14:textFill>
                  <w14:solidFill>
                    <w14:schemeClr w14:val="tx1"/>
                  </w14:solidFill>
                </w14:textFill>
              </w:rPr>
            </w:pPr>
            <w:r>
              <w:rPr>
                <w:rStyle w:val="26"/>
                <w:rFonts w:hint="default" w:ascii="Times New Roman" w:hAnsi="Times New Roman" w:cs="Times New Roman"/>
                <w:b/>
                <w:bCs/>
                <w:vanish w:val="0"/>
                <w:color w:val="000000" w:themeColor="text1"/>
                <w:sz w:val="21"/>
                <w:szCs w:val="21"/>
                <w14:textFill>
                  <w14:solidFill>
                    <w14:schemeClr w14:val="tx1"/>
                  </w14:solidFill>
                </w14:textFill>
              </w:rPr>
              <w:t>表</w:t>
            </w:r>
            <w:r>
              <w:rPr>
                <w:rStyle w:val="26"/>
                <w:rFonts w:hint="eastAsia" w:ascii="Times New Roman" w:hAnsi="Times New Roman" w:cs="Times New Roman"/>
                <w:b/>
                <w:bCs/>
                <w:vanish w:val="0"/>
                <w:color w:val="000000" w:themeColor="text1"/>
                <w:sz w:val="21"/>
                <w:szCs w:val="21"/>
                <w:lang w:val="en-US" w:eastAsia="zh-CN"/>
                <w14:textFill>
                  <w14:solidFill>
                    <w14:schemeClr w14:val="tx1"/>
                  </w14:solidFill>
                </w14:textFill>
              </w:rPr>
              <w:t>4</w:t>
            </w:r>
            <w:r>
              <w:rPr>
                <w:rStyle w:val="26"/>
                <w:rFonts w:hint="default" w:ascii="Times New Roman" w:hAnsi="Times New Roman" w:cs="Times New Roman"/>
                <w:b/>
                <w:bCs/>
                <w:vanish w:val="0"/>
                <w:color w:val="000000" w:themeColor="text1"/>
                <w:sz w:val="21"/>
                <w:szCs w:val="21"/>
                <w:lang w:val="en-US" w:eastAsia="zh-CN"/>
                <w14:textFill>
                  <w14:solidFill>
                    <w14:schemeClr w14:val="tx1"/>
                  </w14:solidFill>
                </w14:textFill>
              </w:rPr>
              <w:t>-1</w:t>
            </w:r>
            <w:r>
              <w:rPr>
                <w:rStyle w:val="26"/>
                <w:rFonts w:hint="default" w:ascii="Times New Roman" w:hAnsi="Times New Roman" w:cs="Times New Roman"/>
                <w:b/>
                <w:bCs/>
                <w:vanish w:val="0"/>
                <w:color w:val="000000" w:themeColor="text1"/>
                <w:sz w:val="21"/>
                <w:szCs w:val="21"/>
                <w14:textFill>
                  <w14:solidFill>
                    <w14:schemeClr w14:val="tx1"/>
                  </w14:solidFill>
                </w14:textFill>
              </w:rPr>
              <w:t xml:space="preserve">  施工场地洒水抑尘试验结果</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94"/>
              <w:gridCol w:w="914"/>
              <w:gridCol w:w="1246"/>
              <w:gridCol w:w="1243"/>
              <w:gridCol w:w="1243"/>
              <w:gridCol w:w="1527"/>
            </w:tblGrid>
            <w:tr w14:paraId="06DBE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8" w:hRule="atLeast"/>
                <w:hidden/>
              </w:trPr>
              <w:tc>
                <w:tcPr>
                  <w:tcW w:w="1739" w:type="pct"/>
                  <w:gridSpan w:val="2"/>
                  <w:tcBorders>
                    <w:tl2br w:val="nil"/>
                    <w:tr2bl w:val="nil"/>
                  </w:tcBorders>
                  <w:noWrap w:val="0"/>
                  <w:tcMar>
                    <w:left w:w="108" w:type="dxa"/>
                    <w:right w:w="108" w:type="dxa"/>
                  </w:tcMar>
                  <w:vAlign w:val="center"/>
                </w:tcPr>
                <w:p w14:paraId="79A0A0F8">
                  <w:pPr>
                    <w:pStyle w:val="20"/>
                    <w:spacing w:before="0" w:beforeAutospacing="0" w:after="0" w:afterAutospacing="0"/>
                    <w:jc w:val="center"/>
                    <w:rPr>
                      <w:rFonts w:hint="eastAsia" w:ascii="Times New Roman" w:hAnsi="Times New Roman" w:eastAsia="宋体" w:cs="Times New Roman"/>
                      <w:b w:val="0"/>
                      <w:bCs w:val="0"/>
                      <w:vanish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距离（m</w:t>
                  </w:r>
                  <w:r>
                    <w:rPr>
                      <w:rFonts w:hint="eastAsia" w:ascii="Times New Roman" w:hAnsi="Times New Roman" w:cs="Times New Roman"/>
                      <w:b w:val="0"/>
                      <w:bCs w:val="0"/>
                      <w:vanish w:val="0"/>
                      <w:color w:val="000000" w:themeColor="text1"/>
                      <w:sz w:val="21"/>
                      <w:szCs w:val="21"/>
                      <w:lang w:eastAsia="zh-CN"/>
                      <w14:textFill>
                        <w14:solidFill>
                          <w14:schemeClr w14:val="tx1"/>
                        </w14:solidFill>
                      </w14:textFill>
                    </w:rPr>
                    <w:t>）</w:t>
                  </w:r>
                </w:p>
              </w:tc>
              <w:tc>
                <w:tcPr>
                  <w:tcW w:w="772" w:type="pct"/>
                  <w:tcBorders>
                    <w:tl2br w:val="nil"/>
                    <w:tr2bl w:val="nil"/>
                  </w:tcBorders>
                  <w:noWrap w:val="0"/>
                  <w:tcMar>
                    <w:left w:w="108" w:type="dxa"/>
                    <w:right w:w="108" w:type="dxa"/>
                  </w:tcMar>
                  <w:vAlign w:val="center"/>
                </w:tcPr>
                <w:p w14:paraId="39C7AD9A">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5</w:t>
                  </w:r>
                </w:p>
              </w:tc>
              <w:tc>
                <w:tcPr>
                  <w:tcW w:w="770" w:type="pct"/>
                  <w:tcBorders>
                    <w:tl2br w:val="nil"/>
                    <w:tr2bl w:val="nil"/>
                  </w:tcBorders>
                  <w:noWrap w:val="0"/>
                  <w:tcMar>
                    <w:left w:w="108" w:type="dxa"/>
                    <w:right w:w="108" w:type="dxa"/>
                  </w:tcMar>
                  <w:vAlign w:val="center"/>
                </w:tcPr>
                <w:p w14:paraId="5DAC9DE0">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20</w:t>
                  </w:r>
                </w:p>
              </w:tc>
              <w:tc>
                <w:tcPr>
                  <w:tcW w:w="770" w:type="pct"/>
                  <w:tcBorders>
                    <w:tl2br w:val="nil"/>
                    <w:tr2bl w:val="nil"/>
                  </w:tcBorders>
                  <w:noWrap w:val="0"/>
                  <w:tcMar>
                    <w:left w:w="108" w:type="dxa"/>
                    <w:right w:w="108" w:type="dxa"/>
                  </w:tcMar>
                  <w:vAlign w:val="center"/>
                </w:tcPr>
                <w:p w14:paraId="0D85D57B">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50</w:t>
                  </w:r>
                </w:p>
              </w:tc>
              <w:tc>
                <w:tcPr>
                  <w:tcW w:w="946" w:type="pct"/>
                  <w:tcBorders>
                    <w:tl2br w:val="nil"/>
                    <w:tr2bl w:val="nil"/>
                  </w:tcBorders>
                  <w:noWrap w:val="0"/>
                  <w:tcMar>
                    <w:left w:w="108" w:type="dxa"/>
                    <w:right w:w="108" w:type="dxa"/>
                  </w:tcMar>
                  <w:vAlign w:val="center"/>
                </w:tcPr>
                <w:p w14:paraId="66EDF25B">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100</w:t>
                  </w:r>
                </w:p>
              </w:tc>
            </w:tr>
            <w:tr w14:paraId="652A8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78" w:hRule="atLeast"/>
                <w:hidden/>
              </w:trPr>
              <w:tc>
                <w:tcPr>
                  <w:tcW w:w="1173" w:type="pct"/>
                  <w:vMerge w:val="restart"/>
                  <w:tcBorders>
                    <w:tl2br w:val="nil"/>
                    <w:tr2bl w:val="nil"/>
                  </w:tcBorders>
                  <w:noWrap w:val="0"/>
                  <w:tcMar>
                    <w:left w:w="108" w:type="dxa"/>
                    <w:right w:w="108" w:type="dxa"/>
                  </w:tcMar>
                  <w:vAlign w:val="center"/>
                </w:tcPr>
                <w:p w14:paraId="1FB85B2F">
                  <w:pPr>
                    <w:pStyle w:val="20"/>
                    <w:spacing w:before="0" w:beforeAutospacing="0" w:after="0" w:afterAutospacing="0"/>
                    <w:jc w:val="center"/>
                    <w:rPr>
                      <w:rFonts w:hint="eastAsia" w:ascii="Times New Roman" w:hAnsi="Times New Roman" w:eastAsia="宋体" w:cs="Times New Roman"/>
                      <w:b w:val="0"/>
                      <w:bCs w:val="0"/>
                      <w:vanish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颗粒物小时平均浓度（mg/m</w:t>
                  </w:r>
                  <w:r>
                    <w:rPr>
                      <w:rFonts w:hint="default" w:ascii="Times New Roman" w:hAnsi="Times New Roman" w:cs="Times New Roman"/>
                      <w:b w:val="0"/>
                      <w:bCs w:val="0"/>
                      <w:vanish w:val="0"/>
                      <w:color w:val="000000" w:themeColor="text1"/>
                      <w:sz w:val="21"/>
                      <w:szCs w:val="21"/>
                      <w:vertAlign w:val="superscript"/>
                      <w14:textFill>
                        <w14:solidFill>
                          <w14:schemeClr w14:val="tx1"/>
                        </w14:solidFill>
                      </w14:textFill>
                    </w:rPr>
                    <w:t>3</w:t>
                  </w:r>
                  <w:r>
                    <w:rPr>
                      <w:rFonts w:hint="eastAsia" w:ascii="Times New Roman" w:hAnsi="Times New Roman" w:cs="Times New Roman"/>
                      <w:b w:val="0"/>
                      <w:bCs w:val="0"/>
                      <w:vanish w:val="0"/>
                      <w:color w:val="000000" w:themeColor="text1"/>
                      <w:sz w:val="21"/>
                      <w:szCs w:val="21"/>
                      <w:lang w:eastAsia="zh-CN"/>
                      <w14:textFill>
                        <w14:solidFill>
                          <w14:schemeClr w14:val="tx1"/>
                        </w14:solidFill>
                      </w14:textFill>
                    </w:rPr>
                    <w:t>）</w:t>
                  </w:r>
                </w:p>
              </w:tc>
              <w:tc>
                <w:tcPr>
                  <w:tcW w:w="566" w:type="pct"/>
                  <w:tcBorders>
                    <w:tl2br w:val="nil"/>
                    <w:tr2bl w:val="nil"/>
                  </w:tcBorders>
                  <w:noWrap w:val="0"/>
                  <w:tcMar>
                    <w:left w:w="108" w:type="dxa"/>
                    <w:right w:w="108" w:type="dxa"/>
                  </w:tcMar>
                  <w:vAlign w:val="center"/>
                </w:tcPr>
                <w:p w14:paraId="7B80CB47">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不洒水</w:t>
                  </w:r>
                </w:p>
              </w:tc>
              <w:tc>
                <w:tcPr>
                  <w:tcW w:w="772" w:type="pct"/>
                  <w:tcBorders>
                    <w:tl2br w:val="nil"/>
                    <w:tr2bl w:val="nil"/>
                  </w:tcBorders>
                  <w:noWrap w:val="0"/>
                  <w:tcMar>
                    <w:left w:w="108" w:type="dxa"/>
                    <w:right w:w="108" w:type="dxa"/>
                  </w:tcMar>
                  <w:vAlign w:val="center"/>
                </w:tcPr>
                <w:p w14:paraId="033B03DE">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10.14</w:t>
                  </w:r>
                </w:p>
              </w:tc>
              <w:tc>
                <w:tcPr>
                  <w:tcW w:w="770" w:type="pct"/>
                  <w:tcBorders>
                    <w:tl2br w:val="nil"/>
                    <w:tr2bl w:val="nil"/>
                  </w:tcBorders>
                  <w:noWrap w:val="0"/>
                  <w:tcMar>
                    <w:left w:w="108" w:type="dxa"/>
                    <w:right w:w="108" w:type="dxa"/>
                  </w:tcMar>
                  <w:vAlign w:val="center"/>
                </w:tcPr>
                <w:p w14:paraId="12428F83">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2.89</w:t>
                  </w:r>
                </w:p>
              </w:tc>
              <w:tc>
                <w:tcPr>
                  <w:tcW w:w="770" w:type="pct"/>
                  <w:tcBorders>
                    <w:tl2br w:val="nil"/>
                    <w:tr2bl w:val="nil"/>
                  </w:tcBorders>
                  <w:noWrap w:val="0"/>
                  <w:tcMar>
                    <w:left w:w="108" w:type="dxa"/>
                    <w:right w:w="108" w:type="dxa"/>
                  </w:tcMar>
                  <w:vAlign w:val="center"/>
                </w:tcPr>
                <w:p w14:paraId="2DCF5827">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1.15</w:t>
                  </w:r>
                </w:p>
              </w:tc>
              <w:tc>
                <w:tcPr>
                  <w:tcW w:w="946" w:type="pct"/>
                  <w:tcBorders>
                    <w:tl2br w:val="nil"/>
                    <w:tr2bl w:val="nil"/>
                  </w:tcBorders>
                  <w:noWrap w:val="0"/>
                  <w:tcMar>
                    <w:left w:w="108" w:type="dxa"/>
                    <w:right w:w="108" w:type="dxa"/>
                  </w:tcMar>
                  <w:vAlign w:val="center"/>
                </w:tcPr>
                <w:p w14:paraId="76E486D6">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0.86</w:t>
                  </w:r>
                </w:p>
              </w:tc>
            </w:tr>
            <w:tr w14:paraId="36587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11" w:hRule="atLeast"/>
                <w:hidden/>
              </w:trPr>
              <w:tc>
                <w:tcPr>
                  <w:tcW w:w="1173" w:type="pct"/>
                  <w:vMerge w:val="continue"/>
                  <w:tcBorders>
                    <w:tl2br w:val="nil"/>
                    <w:tr2bl w:val="nil"/>
                  </w:tcBorders>
                  <w:noWrap w:val="0"/>
                  <w:tcMar>
                    <w:left w:w="108" w:type="dxa"/>
                    <w:right w:w="108" w:type="dxa"/>
                  </w:tcMar>
                  <w:vAlign w:val="center"/>
                </w:tcPr>
                <w:p w14:paraId="02254BA4">
                  <w:pPr>
                    <w:keepNext w:val="0"/>
                    <w:keepLines w:val="0"/>
                    <w:suppressLineNumbers w:val="0"/>
                    <w:spacing w:before="0" w:beforeAutospacing="0" w:after="0" w:afterAutospacing="0"/>
                    <w:ind w:left="0" w:right="0" w:firstLine="420" w:firstLineChars="20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p>
              </w:tc>
              <w:tc>
                <w:tcPr>
                  <w:tcW w:w="566" w:type="pct"/>
                  <w:tcBorders>
                    <w:tl2br w:val="nil"/>
                    <w:tr2bl w:val="nil"/>
                  </w:tcBorders>
                  <w:noWrap w:val="0"/>
                  <w:tcMar>
                    <w:left w:w="108" w:type="dxa"/>
                    <w:right w:w="108" w:type="dxa"/>
                  </w:tcMar>
                  <w:vAlign w:val="center"/>
                </w:tcPr>
                <w:p w14:paraId="6244CE07">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洒水</w:t>
                  </w:r>
                </w:p>
              </w:tc>
              <w:tc>
                <w:tcPr>
                  <w:tcW w:w="772" w:type="pct"/>
                  <w:tcBorders>
                    <w:tl2br w:val="nil"/>
                    <w:tr2bl w:val="nil"/>
                  </w:tcBorders>
                  <w:noWrap w:val="0"/>
                  <w:tcMar>
                    <w:left w:w="108" w:type="dxa"/>
                    <w:right w:w="108" w:type="dxa"/>
                  </w:tcMar>
                  <w:vAlign w:val="center"/>
                </w:tcPr>
                <w:p w14:paraId="28ABDBBE">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2.01</w:t>
                  </w:r>
                </w:p>
              </w:tc>
              <w:tc>
                <w:tcPr>
                  <w:tcW w:w="770" w:type="pct"/>
                  <w:tcBorders>
                    <w:tl2br w:val="nil"/>
                    <w:tr2bl w:val="nil"/>
                  </w:tcBorders>
                  <w:noWrap w:val="0"/>
                  <w:tcMar>
                    <w:left w:w="108" w:type="dxa"/>
                    <w:right w:w="108" w:type="dxa"/>
                  </w:tcMar>
                  <w:vAlign w:val="center"/>
                </w:tcPr>
                <w:p w14:paraId="37CF8CCE">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1.40</w:t>
                  </w:r>
                </w:p>
              </w:tc>
              <w:tc>
                <w:tcPr>
                  <w:tcW w:w="770" w:type="pct"/>
                  <w:tcBorders>
                    <w:tl2br w:val="nil"/>
                    <w:tr2bl w:val="nil"/>
                  </w:tcBorders>
                  <w:noWrap w:val="0"/>
                  <w:tcMar>
                    <w:left w:w="108" w:type="dxa"/>
                    <w:right w:w="108" w:type="dxa"/>
                  </w:tcMar>
                  <w:vAlign w:val="center"/>
                </w:tcPr>
                <w:p w14:paraId="285BB3D9">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0.67</w:t>
                  </w:r>
                </w:p>
              </w:tc>
              <w:tc>
                <w:tcPr>
                  <w:tcW w:w="946" w:type="pct"/>
                  <w:tcBorders>
                    <w:tl2br w:val="nil"/>
                    <w:tr2bl w:val="nil"/>
                  </w:tcBorders>
                  <w:noWrap w:val="0"/>
                  <w:tcMar>
                    <w:left w:w="108" w:type="dxa"/>
                    <w:right w:w="108" w:type="dxa"/>
                  </w:tcMar>
                  <w:vAlign w:val="center"/>
                </w:tcPr>
                <w:p w14:paraId="35E76B10">
                  <w:pPr>
                    <w:pStyle w:val="20"/>
                    <w:spacing w:before="0" w:beforeAutospacing="0" w:after="0" w:afterAutospacing="0"/>
                    <w:jc w:val="center"/>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default" w:ascii="Times New Roman" w:hAnsi="Times New Roman" w:cs="Times New Roman"/>
                      <w:b w:val="0"/>
                      <w:bCs w:val="0"/>
                      <w:vanish w:val="0"/>
                      <w:color w:val="000000" w:themeColor="text1"/>
                      <w:sz w:val="21"/>
                      <w:szCs w:val="21"/>
                      <w14:textFill>
                        <w14:solidFill>
                          <w14:schemeClr w14:val="tx1"/>
                        </w14:solidFill>
                      </w14:textFill>
                    </w:rPr>
                    <w:t>0.60</w:t>
                  </w:r>
                </w:p>
              </w:tc>
            </w:tr>
          </w:tbl>
          <w:p w14:paraId="005A1AE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（2</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运输车辆必须密闭化，严禁跑冒滴漏，装卸时严禁凌空抛撒。</w:t>
            </w:r>
          </w:p>
          <w:p w14:paraId="4CA29108">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（3</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禁止在道路</w:t>
            </w:r>
            <w:r>
              <w:rPr>
                <w:rFonts w:hint="eastAsia" w:ascii="Times New Roman" w:hAnsi="Times New Roman" w:cs="Times New Roman"/>
                <w:vanish w:val="0"/>
                <w:color w:val="000000" w:themeColor="text1"/>
                <w:sz w:val="21"/>
                <w:szCs w:val="21"/>
                <w:lang w:eastAsia="zh-CN"/>
                <w14:textFill>
                  <w14:solidFill>
                    <w14:schemeClr w14:val="tx1"/>
                  </w14:solidFill>
                </w14:textFill>
              </w:rPr>
              <w:t>和人</w:t>
            </w:r>
            <w:r>
              <w:rPr>
                <w:rFonts w:hint="default" w:ascii="Times New Roman" w:hAnsi="Times New Roman" w:cs="Times New Roman"/>
                <w:vanish w:val="0"/>
                <w:color w:val="000000" w:themeColor="text1"/>
                <w:sz w:val="21"/>
                <w:szCs w:val="21"/>
                <w14:textFill>
                  <w14:solidFill>
                    <w14:schemeClr w14:val="tx1"/>
                  </w14:solidFill>
                </w14:textFill>
              </w:rPr>
              <w:t>行道上堆放、转运产生扬尘污染的建筑材料。</w:t>
            </w:r>
          </w:p>
          <w:p w14:paraId="09C61C4B">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（4</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在施工区与道路结合段设置洒水抑尘设施，对施工扬尘产生的作业点定时洒水，</w:t>
            </w:r>
            <w:r>
              <w:rPr>
                <w:rFonts w:hint="eastAsia" w:ascii="Times New Roman" w:hAnsi="Times New Roman" w:cs="Times New Roman"/>
                <w:vanish w:val="0"/>
                <w:color w:val="000000" w:themeColor="text1"/>
                <w:sz w:val="21"/>
                <w:szCs w:val="21"/>
                <w:lang w:eastAsia="zh-CN"/>
                <w14:textFill>
                  <w14:solidFill>
                    <w14:schemeClr w14:val="tx1"/>
                  </w14:solidFill>
                </w14:textFill>
              </w:rPr>
              <w:t>减少</w:t>
            </w:r>
            <w:r>
              <w:rPr>
                <w:rFonts w:hint="default" w:ascii="Times New Roman" w:hAnsi="Times New Roman" w:cs="Times New Roman"/>
                <w:vanish w:val="0"/>
                <w:color w:val="000000" w:themeColor="text1"/>
                <w:sz w:val="21"/>
                <w:szCs w:val="21"/>
                <w14:textFill>
                  <w14:solidFill>
                    <w14:schemeClr w14:val="tx1"/>
                  </w14:solidFill>
                </w14:textFill>
              </w:rPr>
              <w:t>起尘。</w:t>
            </w:r>
          </w:p>
          <w:p w14:paraId="39F31222">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（5</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落实</w:t>
            </w:r>
            <w:r>
              <w:rPr>
                <w:rFonts w:hint="eastAsia" w:ascii="Times New Roman" w:hAnsi="Times New Roman" w:cs="Times New Roman"/>
                <w:vanish w:val="0"/>
                <w:color w:val="000000" w:themeColor="text1"/>
                <w:sz w:val="21"/>
                <w:szCs w:val="21"/>
                <w:lang w:val="en-US" w:eastAsia="zh-CN" w:bidi="ar"/>
                <w14:textFill>
                  <w14:solidFill>
                    <w14:schemeClr w14:val="tx1"/>
                  </w14:solidFill>
                </w14:textFill>
              </w:rPr>
              <w:t>《宝鸡市大气污染防治条例》以及宝鸡市及太白县的</w:t>
            </w:r>
            <w:r>
              <w:rPr>
                <w:rFonts w:hint="default" w:ascii="Times New Roman" w:hAnsi="Times New Roman" w:cs="Times New Roman"/>
                <w:vanish w:val="0"/>
                <w:color w:val="000000" w:themeColor="text1"/>
                <w:sz w:val="21"/>
                <w:szCs w:val="21"/>
                <w:lang w:bidi="ar"/>
                <w14:textFill>
                  <w14:solidFill>
                    <w14:schemeClr w14:val="tx1"/>
                  </w14:solidFill>
                </w14:textFill>
              </w:rPr>
              <w:t>相关要求</w:t>
            </w:r>
            <w:r>
              <w:rPr>
                <w:rFonts w:hint="default" w:ascii="Times New Roman" w:hAnsi="Times New Roman" w:cs="Times New Roman"/>
                <w:vanish w:val="0"/>
                <w:color w:val="000000" w:themeColor="text1"/>
                <w:sz w:val="21"/>
                <w:szCs w:val="21"/>
                <w14:textFill>
                  <w14:solidFill>
                    <w14:schemeClr w14:val="tx1"/>
                  </w14:solidFill>
                </w14:textFill>
              </w:rPr>
              <w:t>：各类建筑施工、道路施工、市政工程等工地和构筑物拆除场地周边必须设置围挡，并采取湿法作业方式进行。使用商品混凝土，厂区内严禁混凝土、砂浆现场搅拌，施工现场主要道路必须进行硬化处理，易产生扬尘的物料堆置必须采取密闭、遮盖、洒水等抑尘措施，减少露天装卸作业，严禁渣土车遗撒。</w:t>
            </w:r>
          </w:p>
          <w:p w14:paraId="39E4223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6</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严格落实</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六个百分百</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的要求，具体详细要求如下：</w:t>
            </w:r>
          </w:p>
          <w:p w14:paraId="638B288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①建筑施工现场100%围挡</w:t>
            </w:r>
          </w:p>
          <w:p w14:paraId="19F0A76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施工现场及周围均设100%全封闭围挡。所有围挡必须封堵严密，搭设牢固，无缝对接。围挡外侧喷绘工程设计效果图、企业简介、安全教育及公益广告等宣传图片资料。</w:t>
            </w:r>
          </w:p>
          <w:p w14:paraId="6EF2DBA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②工地裸土100%覆盖</w:t>
            </w:r>
          </w:p>
          <w:p w14:paraId="5217595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施工中采取边开挖边遮盖，对开挖面、土方、砂石料等裸露部分采用遮阳网100%覆盖，并采用抑尘车、喷淋系统随时洒水抑尘，保持湿润无扬尘。</w:t>
            </w:r>
          </w:p>
          <w:p w14:paraId="308DDF5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③工地主要路面100%硬化</w:t>
            </w:r>
          </w:p>
          <w:p w14:paraId="46588DD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施工路段路面为</w: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vanish w:val="0"/>
                <w:color w:val="000000" w:themeColor="text1"/>
                <w:sz w:val="21"/>
                <w:szCs w:val="21"/>
                <w:lang w:val="en-US" w:eastAsia="zh-CN"/>
                <w14:textFill>
                  <w14:solidFill>
                    <w14:schemeClr w14:val="tx1"/>
                  </w14:solidFill>
                </w14:textFill>
              </w:rPr>
              <w:instrText xml:space="preserve"> HYPERLINK "https://www.cbi360.net/hyjd/1zt147824.html" \t "https://www.cbi360.net/hyjd/20180330/_blank" </w:instrTex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vanish w:val="0"/>
                <w:color w:val="000000" w:themeColor="text1"/>
                <w:sz w:val="21"/>
                <w:szCs w:val="21"/>
                <w:lang w:val="en-US" w:eastAsia="zh-CN"/>
                <w14:textFill>
                  <w14:solidFill>
                    <w14:schemeClr w14:val="tx1"/>
                  </w14:solidFill>
                </w14:textFill>
              </w:rPr>
              <w:t>混凝土</w: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end"/>
            </w:r>
            <w:r>
              <w:rPr>
                <w:rFonts w:hint="default" w:ascii="Times New Roman" w:hAnsi="Times New Roman" w:cs="Times New Roman"/>
                <w:vanish w:val="0"/>
                <w:color w:val="000000" w:themeColor="text1"/>
                <w:sz w:val="21"/>
                <w:szCs w:val="21"/>
                <w:lang w:val="en-US" w:eastAsia="zh-CN"/>
                <w14:textFill>
                  <w14:solidFill>
                    <w14:schemeClr w14:val="tx1"/>
                  </w14:solidFill>
                </w14:textFill>
              </w:rPr>
              <w:t>路面，符合100%硬化的要求，施工过程中指派专人对路面清扫保洁，定期开启喷淋系统随时洒水保湿，防止产生扬尘。</w:t>
            </w:r>
          </w:p>
          <w:p w14:paraId="47A56AB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④拆除工程100%洒水抑尘</w:t>
            </w:r>
          </w:p>
          <w:p w14:paraId="3D794AC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配备雾炮机，在土方挖运、回填全过程100%洒水抑尘，进行湿法作业。</w:t>
            </w:r>
          </w:p>
          <w:p w14:paraId="2BF265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⑤出工地运输车辆100%冲净无撒漏</w:t>
            </w:r>
          </w:p>
          <w:p w14:paraId="0451614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大门入口处各设一处洗车台。由工地驶出车辆必须用苫布对厢体所运渣土遮盖严实，并在洗车台对前后左右轮胎冲洗干净后，方能驶入市政道路。车辆冲洗后的污水经沉淀池处理后回收利用于现场洒水抑尘，并定期对沉淀池进行清掏。</w:t>
            </w:r>
          </w:p>
          <w:p w14:paraId="33DA7D0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⑥裸露场地100%覆盖</w:t>
            </w:r>
          </w:p>
          <w:p w14:paraId="741205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施工现场裸露场地采用遮阳网进行100%覆盖，并随时洒水抑尘。工程</w: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vanish w:val="0"/>
                <w:color w:val="000000" w:themeColor="text1"/>
                <w:sz w:val="21"/>
                <w:szCs w:val="21"/>
                <w:lang w:val="en-US" w:eastAsia="zh-CN"/>
                <w14:textFill>
                  <w14:solidFill>
                    <w14:schemeClr w14:val="tx1"/>
                  </w14:solidFill>
                </w14:textFill>
              </w:rPr>
              <w:instrText xml:space="preserve"> HYPERLINK "https://www.cbi360.net/" \t "https://www.cbi360.net/hyjd/20180330/_blank" </w:instrTex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vanish w:val="0"/>
                <w:color w:val="000000" w:themeColor="text1"/>
                <w:sz w:val="21"/>
                <w:szCs w:val="21"/>
                <w:lang w:val="en-US" w:eastAsia="zh-CN"/>
                <w14:textFill>
                  <w14:solidFill>
                    <w14:schemeClr w14:val="tx1"/>
                  </w14:solidFill>
                </w14:textFill>
              </w:rPr>
              <w:t>建设</w: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end"/>
            </w:r>
            <w:r>
              <w:rPr>
                <w:rFonts w:hint="default" w:ascii="Times New Roman" w:hAnsi="Times New Roman" w:cs="Times New Roman"/>
                <w:vanish w:val="0"/>
                <w:color w:val="000000" w:themeColor="text1"/>
                <w:sz w:val="21"/>
                <w:szCs w:val="21"/>
                <w:lang w:val="en-US" w:eastAsia="zh-CN"/>
                <w14:textFill>
                  <w14:solidFill>
                    <w14:schemeClr w14:val="tx1"/>
                  </w14:solidFill>
                </w14:textFill>
              </w:rPr>
              <w:t>过程中产生的</w: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vanish w:val="0"/>
                <w:color w:val="000000" w:themeColor="text1"/>
                <w:sz w:val="21"/>
                <w:szCs w:val="21"/>
                <w:lang w:val="en-US" w:eastAsia="zh-CN"/>
                <w14:textFill>
                  <w14:solidFill>
                    <w14:schemeClr w14:val="tx1"/>
                  </w14:solidFill>
                </w14:textFill>
              </w:rPr>
              <w:instrText xml:space="preserve"> HYPERLINK "https://www.cbi360.net/hyjd/1zt2835.html" \t "https://www.cbi360.net/hyjd/20180330/_blank" </w:instrTex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vanish w:val="0"/>
                <w:color w:val="000000" w:themeColor="text1"/>
                <w:sz w:val="21"/>
                <w:szCs w:val="21"/>
                <w:lang w:val="en-US" w:eastAsia="zh-CN"/>
                <w14:textFill>
                  <w14:solidFill>
                    <w14:schemeClr w14:val="tx1"/>
                  </w14:solidFill>
                </w14:textFill>
              </w:rPr>
              <w:t>建筑垃圾</w:t>
            </w:r>
            <w:r>
              <w:rPr>
                <w:rFonts w:hint="default" w:ascii="Times New Roman" w:hAnsi="Times New Roman" w:cs="Times New Roman"/>
                <w:vanish w:val="0"/>
                <w:color w:val="000000" w:themeColor="text1"/>
                <w:sz w:val="21"/>
                <w:szCs w:val="21"/>
                <w:lang w:val="en-US" w:eastAsia="zh-CN"/>
                <w14:textFill>
                  <w14:solidFill>
                    <w14:schemeClr w14:val="tx1"/>
                  </w14:solidFill>
                </w14:textFill>
              </w:rPr>
              <w:fldChar w:fldCharType="end"/>
            </w:r>
            <w:r>
              <w:rPr>
                <w:rFonts w:hint="default" w:ascii="Times New Roman" w:hAnsi="Times New Roman" w:cs="Times New Roman"/>
                <w:vanish w:val="0"/>
                <w:color w:val="000000" w:themeColor="text1"/>
                <w:sz w:val="21"/>
                <w:szCs w:val="21"/>
                <w:lang w:val="en-US" w:eastAsia="zh-CN"/>
                <w14:textFill>
                  <w14:solidFill>
                    <w14:schemeClr w14:val="tx1"/>
                  </w14:solidFill>
                </w14:textFill>
              </w:rPr>
              <w:t>和生活垃圾，堆放时间不得超过三天，堆放期间应全遮盖，无污染。清运时按批准路线和时限，并采取相应抑尘和密闭措施。</w:t>
            </w:r>
          </w:p>
          <w:p w14:paraId="30AD9F36">
            <w:pPr>
              <w:pStyle w:val="2"/>
              <w:keepNext w:val="0"/>
              <w:keepLines w:val="0"/>
              <w:pageBreakBefore w:val="0"/>
              <w:widowControl/>
              <w:suppressLineNumbers w:val="0"/>
              <w:tabs>
                <w:tab w:val="left" w:pos="1117"/>
              </w:tabs>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（7</w:t>
            </w:r>
            <w:r>
              <w:rPr>
                <w:rFonts w:hint="eastAsia"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满足陕西省地方环境保护标准《施工场界扬尘排放限值》（DB61/1078-2017</w:t>
            </w:r>
            <w:r>
              <w:rPr>
                <w:rFonts w:hint="eastAsia"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vanish w:val="0"/>
                <w:color w:val="000000" w:themeColor="text1"/>
                <w:kern w:val="0"/>
                <w:sz w:val="21"/>
                <w:szCs w:val="21"/>
                <w:lang w:val="en-US" w:eastAsia="zh-CN" w:bidi="ar-SA"/>
                <w14:textFill>
                  <w14:solidFill>
                    <w14:schemeClr w14:val="tx1"/>
                  </w14:solidFill>
                </w14:textFill>
              </w:rPr>
              <w:t>相关标准要求。</w:t>
            </w:r>
          </w:p>
          <w:p w14:paraId="32D4CE4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通过采取以上措施后，本项目施工期对周边环境影响小，同时项目工程量小，施工周期短，施工期影响随着施工期的结束而结束。</w:t>
            </w:r>
          </w:p>
          <w:p w14:paraId="5B87F349">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2、施工机械和汽车燃油废气</w:t>
            </w:r>
          </w:p>
          <w:p w14:paraId="582AC994">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本项目施工区的燃油设备主要是施工机械和运输车辆，其排放的尾气在施工期间对施工作业点和运输道路附近的大气环境会造成一定程度的污染，产生NO</w:t>
            </w:r>
            <w:r>
              <w:rPr>
                <w:rFonts w:hint="default" w:ascii="Times New Roman" w:hAnsi="Times New Roman" w:cs="Times New Roman"/>
                <w:vanish w:val="0"/>
                <w:color w:val="000000" w:themeColor="text1"/>
                <w:sz w:val="21"/>
                <w:szCs w:val="21"/>
                <w:vertAlign w:val="subscript"/>
                <w14:textFill>
                  <w14:solidFill>
                    <w14:schemeClr w14:val="tx1"/>
                  </w14:solidFill>
                </w14:textFill>
              </w:rPr>
              <w:t>X</w:t>
            </w:r>
            <w:r>
              <w:rPr>
                <w:rFonts w:hint="default" w:ascii="Times New Roman" w:hAnsi="Times New Roman" w:cs="Times New Roman"/>
                <w:vanish w:val="0"/>
                <w:color w:val="000000" w:themeColor="text1"/>
                <w:sz w:val="21"/>
                <w:szCs w:val="21"/>
                <w14:textFill>
                  <w14:solidFill>
                    <w14:schemeClr w14:val="tx1"/>
                  </w14:solidFill>
                </w14:textFill>
              </w:rPr>
              <w:t>、CO、THC等污染物。运输车辆的废气是沿交通路线排放，施工机械的废气基本以点源形式排放。</w:t>
            </w:r>
          </w:p>
          <w:p w14:paraId="3C71B4A4">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本项目施工场区空气流通性好，排放废气中的各项污染物能够很快扩散，不会引起局部大气环境质量的恶化。另外合理规划运输路线，加强设备维护，使设备处于良好的运行状态，限制车速都能减少废气的产生。加之废气排放的不连续性和工程施工期有限，排放的废气对区域的环境空气质量影响不大。</w:t>
            </w:r>
          </w:p>
          <w:p w14:paraId="5285FF6C">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管网施工废气</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保护措施</w:t>
            </w:r>
          </w:p>
          <w:p w14:paraId="353A26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Cs/>
                <w:vanish w:val="0"/>
                <w:color w:val="000000" w:themeColor="text1"/>
                <w:sz w:val="21"/>
                <w:szCs w:val="21"/>
                <w:lang w:eastAsia="zh-CN"/>
                <w14:textFill>
                  <w14:solidFill>
                    <w14:schemeClr w14:val="tx1"/>
                  </w14:solidFill>
                </w14:textFill>
              </w:rPr>
              <w:t>本次项目管道敷设主要采用</w:t>
            </w:r>
            <w:r>
              <w:rPr>
                <w:rFonts w:hint="default" w:ascii="Times New Roman" w:hAnsi="Times New Roman" w:eastAsia="宋体" w:cs="Times New Roman"/>
                <w:bCs/>
                <w:vanish w:val="0"/>
                <w:color w:val="000000" w:themeColor="text1"/>
                <w:sz w:val="21"/>
                <w:szCs w:val="21"/>
                <w:lang w:val="en-US" w:eastAsia="zh-CN"/>
                <w14:textFill>
                  <w14:solidFill>
                    <w14:schemeClr w14:val="tx1"/>
                  </w14:solidFill>
                </w14:textFill>
              </w:rPr>
              <w:t>直埋</w:t>
            </w:r>
            <w:r>
              <w:rPr>
                <w:rFonts w:hint="default" w:ascii="Times New Roman" w:hAnsi="Times New Roman" w:eastAsia="宋体" w:cs="Times New Roman"/>
                <w:bCs/>
                <w:vanish w:val="0"/>
                <w:color w:val="000000" w:themeColor="text1"/>
                <w:sz w:val="21"/>
                <w:szCs w:val="21"/>
                <w:lang w:eastAsia="zh-CN"/>
                <w14:textFill>
                  <w14:solidFill>
                    <w14:schemeClr w14:val="tx1"/>
                  </w14:solidFill>
                </w14:textFill>
              </w:rPr>
              <w:t>的施工方式，</w:t>
            </w:r>
            <w:r>
              <w:rPr>
                <w:rFonts w:hint="default" w:ascii="Times New Roman" w:hAnsi="Times New Roman" w:eastAsia="宋体" w:cs="Times New Roman"/>
                <w:bCs/>
                <w:vanish w:val="0"/>
                <w:color w:val="000000" w:themeColor="text1"/>
                <w:sz w:val="21"/>
                <w:szCs w:val="21"/>
                <w14:textFill>
                  <w14:solidFill>
                    <w14:schemeClr w14:val="tx1"/>
                  </w14:solidFill>
                </w14:textFill>
              </w:rPr>
              <w:t>针对距离</w:t>
            </w:r>
            <w:r>
              <w:rPr>
                <w:rFonts w:hint="default" w:ascii="Times New Roman" w:hAnsi="Times New Roman" w:eastAsia="宋体" w:cs="Times New Roman"/>
                <w:bCs/>
                <w:vanish w:val="0"/>
                <w:color w:val="000000" w:themeColor="text1"/>
                <w:sz w:val="21"/>
                <w:szCs w:val="21"/>
                <w:lang w:val="en-US" w:eastAsia="zh-CN"/>
                <w14:textFill>
                  <w14:solidFill>
                    <w14:schemeClr w14:val="tx1"/>
                  </w14:solidFill>
                </w14:textFill>
              </w:rPr>
              <w:t>居民</w:t>
            </w:r>
            <w:r>
              <w:rPr>
                <w:rFonts w:hint="default" w:ascii="Times New Roman" w:hAnsi="Times New Roman" w:eastAsia="宋体" w:cs="Times New Roman"/>
                <w:bCs/>
                <w:vanish w:val="0"/>
                <w:color w:val="000000" w:themeColor="text1"/>
                <w:sz w:val="21"/>
                <w:szCs w:val="21"/>
                <w14:textFill>
                  <w14:solidFill>
                    <w14:schemeClr w14:val="tx1"/>
                  </w14:solidFill>
                </w14:textFill>
              </w:rPr>
              <w:t>近的施工现场采取围栏屏蔽措施；</w:t>
            </w:r>
            <w:r>
              <w:rPr>
                <w:rFonts w:hint="default" w:ascii="Times New Roman" w:hAnsi="Times New Roman" w:eastAsia="宋体" w:cs="Times New Roman"/>
                <w:vanish w:val="0"/>
                <w:color w:val="000000" w:themeColor="text1"/>
                <w:sz w:val="21"/>
                <w:szCs w:val="21"/>
                <w14:textFill>
                  <w14:solidFill>
                    <w14:schemeClr w14:val="tx1"/>
                  </w14:solidFill>
                </w14:textFill>
              </w:rPr>
              <w:t>施工材料按施工安排合理购置，避免较大规模砂砾等比重小的颗粒性物料在施工作业带内堆存。</w:t>
            </w:r>
          </w:p>
          <w:p w14:paraId="2059A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bCs/>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bidi="ar"/>
                <w14:textFill>
                  <w14:solidFill>
                    <w14:schemeClr w14:val="tx1"/>
                  </w14:solidFill>
                </w14:textFill>
              </w:rPr>
              <w:t>针对项目施工扬尘可能造成的影响，根据</w:t>
            </w:r>
            <w:r>
              <w:rPr>
                <w:rFonts w:hint="default" w:ascii="Times New Roman" w:hAnsi="Times New Roman" w:cs="Times New Roman"/>
                <w:vanish w:val="0"/>
                <w:color w:val="000000" w:themeColor="text1"/>
                <w:sz w:val="21"/>
                <w:szCs w:val="21"/>
                <w:lang w:bidi="ar"/>
                <w14:textFill>
                  <w14:solidFill>
                    <w14:schemeClr w14:val="tx1"/>
                  </w14:solidFill>
                </w14:textFill>
              </w:rPr>
              <w:t>《</w:t>
            </w:r>
            <w:r>
              <w:rPr>
                <w:rFonts w:hint="default" w:ascii="Times New Roman" w:hAnsi="Times New Roman" w:cs="Times New Roman"/>
                <w:vanish w:val="0"/>
                <w:color w:val="000000" w:themeColor="text1"/>
                <w:sz w:val="21"/>
                <w:szCs w:val="21"/>
                <w:lang w:val="en-US" w:eastAsia="zh-CN" w:bidi="ar"/>
                <w14:textFill>
                  <w14:solidFill>
                    <w14:schemeClr w14:val="tx1"/>
                  </w14:solidFill>
                </w14:textFill>
              </w:rPr>
              <w:t>宝鸡市</w:t>
            </w:r>
            <w:r>
              <w:rPr>
                <w:rFonts w:hint="default" w:ascii="Times New Roman" w:hAnsi="Times New Roman" w:cs="Times New Roman"/>
                <w:vanish w:val="0"/>
                <w:color w:val="000000" w:themeColor="text1"/>
                <w:sz w:val="21"/>
                <w:szCs w:val="21"/>
                <w:lang w:bidi="ar"/>
                <w14:textFill>
                  <w14:solidFill>
                    <w14:schemeClr w14:val="tx1"/>
                  </w14:solidFill>
                </w14:textFill>
              </w:rPr>
              <w:t>蓝天保卫</w:t>
            </w:r>
            <w:r>
              <w:rPr>
                <w:rFonts w:hint="eastAsia" w:ascii="Times New Roman" w:hAnsi="Times New Roman" w:cs="Times New Roman"/>
                <w:vanish w:val="0"/>
                <w:color w:val="000000" w:themeColor="text1"/>
                <w:sz w:val="21"/>
                <w:szCs w:val="21"/>
                <w:lang w:val="en-US" w:eastAsia="zh-CN" w:bidi="ar"/>
                <w14:textFill>
                  <w14:solidFill>
                    <w14:schemeClr w14:val="tx1"/>
                  </w14:solidFill>
                </w14:textFill>
              </w:rPr>
              <w:t>战</w:t>
            </w:r>
            <w:r>
              <w:rPr>
                <w:rFonts w:hint="default" w:ascii="Times New Roman" w:hAnsi="Times New Roman" w:cs="Times New Roman"/>
                <w:vanish w:val="0"/>
                <w:color w:val="000000" w:themeColor="text1"/>
                <w:sz w:val="21"/>
                <w:szCs w:val="21"/>
                <w:lang w:bidi="ar"/>
                <w14:textFill>
                  <w14:solidFill>
                    <w14:schemeClr w14:val="tx1"/>
                  </w14:solidFill>
                </w14:textFill>
              </w:rPr>
              <w:t>202</w:t>
            </w:r>
            <w:r>
              <w:rPr>
                <w:rFonts w:hint="eastAsia" w:ascii="Times New Roman" w:hAnsi="Times New Roman" w:cs="Times New Roman"/>
                <w:vanish w:val="0"/>
                <w:color w:val="000000" w:themeColor="text1"/>
                <w:sz w:val="21"/>
                <w:szCs w:val="21"/>
                <w:lang w:val="en-US" w:eastAsia="zh-CN" w:bidi="ar"/>
                <w14:textFill>
                  <w14:solidFill>
                    <w14:schemeClr w14:val="tx1"/>
                  </w14:solidFill>
                </w14:textFill>
              </w:rPr>
              <w:t>2工作</w:t>
            </w:r>
            <w:r>
              <w:rPr>
                <w:rFonts w:hint="default" w:ascii="Times New Roman" w:hAnsi="Times New Roman" w:cs="Times New Roman"/>
                <w:vanish w:val="0"/>
                <w:color w:val="000000" w:themeColor="text1"/>
                <w:sz w:val="21"/>
                <w:szCs w:val="21"/>
                <w:lang w:bidi="ar"/>
                <w14:textFill>
                  <w14:solidFill>
                    <w14:schemeClr w14:val="tx1"/>
                  </w14:solidFill>
                </w14:textFill>
              </w:rPr>
              <w:t>方案》</w:t>
            </w:r>
            <w:r>
              <w:rPr>
                <w:rFonts w:hint="eastAsia" w:ascii="Times New Roman" w:hAnsi="Times New Roman" w:cs="Times New Roman"/>
                <w:vanish w:val="0"/>
                <w:color w:val="000000" w:themeColor="text1"/>
                <w:sz w:val="21"/>
                <w:szCs w:val="21"/>
                <w:lang w:val="en-US" w:eastAsia="zh-CN" w:bidi="ar"/>
                <w14:textFill>
                  <w14:solidFill>
                    <w14:schemeClr w14:val="tx1"/>
                  </w14:solidFill>
                </w14:textFill>
              </w:rPr>
              <w:t>以及《宝鸡市大气污染防治条例》</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中的相关规定。为了最大限度地减小施工扬尘对环境的影响，本次评价提出以下防尘措施和要求</w:t>
            </w:r>
            <w:r>
              <w:rPr>
                <w:rFonts w:hint="default" w:ascii="Times New Roman" w:hAnsi="Times New Roman" w:eastAsia="宋体" w:cs="Times New Roman"/>
                <w:bCs/>
                <w:vanish w:val="0"/>
                <w:color w:val="000000" w:themeColor="text1"/>
                <w:sz w:val="21"/>
                <w:szCs w:val="21"/>
                <w14:textFill>
                  <w14:solidFill>
                    <w14:schemeClr w14:val="tx1"/>
                  </w14:solidFill>
                </w14:textFill>
              </w:rPr>
              <w:t>：</w:t>
            </w:r>
          </w:p>
          <w:p w14:paraId="48891C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bCs/>
                <w:vanish w:val="0"/>
                <w:color w:val="000000" w:themeColor="text1"/>
                <w:sz w:val="21"/>
                <w:szCs w:val="21"/>
                <w14:textFill>
                  <w14:solidFill>
                    <w14:schemeClr w14:val="tx1"/>
                  </w14:solidFill>
                </w14:textFill>
              </w:rPr>
            </w:pP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①加强施工期的环境管理，实行清洁生产，杜绝粗放式施工；</w:t>
            </w:r>
          </w:p>
          <w:p w14:paraId="466754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bCs/>
                <w:vanish w:val="0"/>
                <w:color w:val="000000" w:themeColor="text1"/>
                <w:sz w:val="21"/>
                <w:szCs w:val="21"/>
                <w14:textFill>
                  <w14:solidFill>
                    <w14:schemeClr w14:val="tx1"/>
                  </w14:solidFill>
                </w14:textFill>
              </w:rPr>
            </w:pP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②</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对管道施工作业带及场站施工场地进行施工围挡，施工道路上运输施工材料的车辆加篷布遮盖，对砂石等易产生扬尘的物料堆场进行遮盖</w:t>
            </w: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w:t>
            </w:r>
          </w:p>
          <w:p w14:paraId="44A6C0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bCs/>
                <w:vanish w:val="0"/>
                <w:color w:val="000000" w:themeColor="text1"/>
                <w:sz w:val="21"/>
                <w:szCs w:val="21"/>
                <w14:textFill>
                  <w14:solidFill>
                    <w14:schemeClr w14:val="tx1"/>
                  </w14:solidFill>
                </w14:textFill>
              </w:rPr>
            </w:pP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③</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加强扬尘控制，收集利用沉淀处理的施工废水，对施工场地和物料堆场周边进行洒水抑尘作业，缩短起尘操作时间；气象预报风速达到四级以上或者出现重污染天气状况时，应当停止土石方作业以及其他可能产生扬尘污染的施工，同时采取覆盖、洒水等措施</w:t>
            </w: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w:t>
            </w:r>
          </w:p>
          <w:p w14:paraId="6D024EB6">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firstLine="420" w:firstLineChars="200"/>
              <w:textAlignment w:val="auto"/>
              <w:rPr>
                <w:rFonts w:hint="default" w:ascii="Times New Roman" w:hAnsi="Times New Roman" w:eastAsia="宋体" w:cs="Times New Roman"/>
                <w:bCs/>
                <w:vanish w:val="0"/>
                <w:color w:val="000000" w:themeColor="text1"/>
                <w:sz w:val="21"/>
                <w:szCs w:val="21"/>
                <w:lang w:bidi="ar"/>
                <w14:textFill>
                  <w14:solidFill>
                    <w14:schemeClr w14:val="tx1"/>
                  </w14:solidFill>
                </w14:textFill>
              </w:rPr>
            </w:pP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④</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对离开施工现场的运输和施工机械及时清理冲洗，以免将现场泥土带出影响市政道路清洁</w:t>
            </w: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w:t>
            </w:r>
          </w:p>
          <w:p w14:paraId="2A74D94B">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firstLine="420" w:firstLineChars="200"/>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Cs/>
                <w:vanish w:val="0"/>
                <w:color w:val="000000" w:themeColor="text1"/>
                <w:sz w:val="21"/>
                <w:szCs w:val="21"/>
                <w:lang w:val="en-US" w:eastAsia="zh-CN" w:bidi="ar"/>
                <w14:textFill>
                  <w14:solidFill>
                    <w14:schemeClr w14:val="tx1"/>
                  </w14:solidFill>
                </w14:textFill>
              </w:rPr>
              <w:t>⑤</w:t>
            </w:r>
            <w:r>
              <w:rPr>
                <w:rFonts w:hint="default" w:ascii="Times New Roman" w:hAnsi="Times New Roman" w:eastAsia="宋体" w:cs="Times New Roman"/>
                <w:vanish w:val="0"/>
                <w:color w:val="000000" w:themeColor="text1"/>
                <w:sz w:val="21"/>
                <w:szCs w:val="21"/>
                <w14:textFill>
                  <w14:solidFill>
                    <w14:schemeClr w14:val="tx1"/>
                  </w14:solidFill>
                </w14:textFill>
              </w:rPr>
              <w:t>运输管材和设备的车辆不得超载，不得超速行驶，避免产生扬尘；</w:t>
            </w:r>
          </w:p>
          <w:p w14:paraId="771210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bCs/>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⑥所有露天堆放易产生扬尘物料必须进行覆盖，采取喷洒水等抑尘措施。</w:t>
            </w:r>
          </w:p>
          <w:p w14:paraId="079DA4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vanish w:val="0"/>
                <w:color w:val="000000" w:themeColor="text1"/>
                <w:sz w:val="21"/>
                <w:szCs w:val="21"/>
                <w:lang w:bidi="ar"/>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bidi="ar"/>
                <w14:textFill>
                  <w14:solidFill>
                    <w14:schemeClr w14:val="tx1"/>
                  </w14:solidFill>
                </w14:textFill>
              </w:rPr>
              <w:t>⑦</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提升工地扬尘管控水平，严格执行《建筑施工扬尘治理措施16条》，严格落实扬尘</w:t>
            </w:r>
            <w:r>
              <w:rPr>
                <w:rFonts w:hint="eastAsia" w:cs="Times New Roman"/>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6个100%</w:t>
            </w:r>
            <w:r>
              <w:rPr>
                <w:rFonts w:hint="eastAsia" w:cs="Times New Roman"/>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（围挡、冲洗、洒水、覆盖、硬化、绿化</w:t>
            </w:r>
            <w:r>
              <w:rPr>
                <w:rFonts w:hint="eastAsia" w:ascii="Times New Roman" w:hAnsi="Times New Roman" w:eastAsia="宋体" w:cs="Times New Roman"/>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。严格控制市区外各类道路施工场地扬尘，注意施工道路洒水保湿。做到工程车辆封闭工作和限速、限时间管理，坚决打击和制止沿路抛洒和乱堆乱倒等行为。</w:t>
            </w:r>
          </w:p>
          <w:p w14:paraId="775823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eastAsia="宋体"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本项目在施工过程中合理规划、科学管理，严格按环评提出的污染防治措施和当地环保局的有关规定执行，可以避免或减缓施工扬尘对周围空气环境及管线两侧敏感点的影响，满足《施工场界扬尘排放限值》（DB61/1078-2017</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。随着施工活动的结束，施工期的污染也将随之消失。</w:t>
            </w:r>
          </w:p>
          <w:p w14:paraId="4F704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14:textFill>
                  <w14:solidFill>
                    <w14:schemeClr w14:val="tx1"/>
                  </w14:solidFill>
                </w14:textFill>
              </w:rPr>
              <w:t>（2</w:t>
            </w:r>
            <w:r>
              <w:rPr>
                <w:rFonts w:hint="eastAsia" w:ascii="Times New Roman" w:hAnsi="Times New Roman" w:eastAsia="宋体" w:cs="Times New Roman"/>
                <w:vanish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14:textFill>
                  <w14:solidFill>
                    <w14:schemeClr w14:val="tx1"/>
                  </w14:solidFill>
                </w14:textFill>
              </w:rPr>
              <w:t>施工机械和运输车辆废气</w:t>
            </w:r>
          </w:p>
          <w:p w14:paraId="58D822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bidi="ar"/>
                <w14:textFill>
                  <w14:solidFill>
                    <w14:schemeClr w14:val="tx1"/>
                  </w14:solidFill>
                </w14:textFill>
              </w:rPr>
              <w:t>施工期废气主要为施工机械及运输车辆排放尾气，主要污染物为CO、THC、NOx。项目管道工程施工机械及材料运输车辆较少，废气源为移动、间接排放，排放量小。通过选用先进、清洁型施工机械并加强管理和检修保养，可有效减少施工废气对环境空气的污染。同时要求采用柴油的机械设备，其污染物排放量不应超过《非道路移动机械用柴油机排气污染物排放限值及测量方法》（GB20891-2014</w:t>
            </w:r>
            <w:r>
              <w:rPr>
                <w:rFonts w:hint="eastAsia" w:ascii="Times New Roman" w:hAnsi="Times New Roman" w:eastAsia="宋体" w:cs="Times New Roman"/>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Ⅲ</w:t>
            </w:r>
            <w:r>
              <w:rPr>
                <w:rFonts w:hint="eastAsia" w:ascii="Times New Roman" w:hAnsi="Times New Roman" w:eastAsia="宋体" w:cs="Times New Roman"/>
                <w:vanish w:val="0"/>
                <w:color w:val="000000" w:themeColor="text1"/>
                <w:sz w:val="21"/>
                <w:szCs w:val="21"/>
                <w:lang w:val="en-US" w:eastAsia="zh-CN" w:bidi="ar"/>
                <w14:textFill>
                  <w14:solidFill>
                    <w14:schemeClr w14:val="tx1"/>
                  </w14:solidFill>
                </w14:textFill>
              </w:rPr>
              <w:t>类</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排放限值。另外，项目采用分段式施工方式，管段施工时间短，施工废气不会对周围大气环境产生明显不利影响</w:t>
            </w:r>
            <w:r>
              <w:rPr>
                <w:rFonts w:hint="default" w:ascii="Times New Roman" w:hAnsi="Times New Roman" w:eastAsia="宋体" w:cs="Times New Roman"/>
                <w:vanish w:val="0"/>
                <w:color w:val="000000" w:themeColor="text1"/>
                <w:kern w:val="0"/>
                <w:sz w:val="21"/>
                <w:szCs w:val="21"/>
                <w14:textFill>
                  <w14:solidFill>
                    <w14:schemeClr w14:val="tx1"/>
                  </w14:solidFill>
                </w14:textFill>
              </w:rPr>
              <w:t>。</w:t>
            </w:r>
          </w:p>
          <w:p w14:paraId="360C3972">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14:textFill>
                  <w14:solidFill>
                    <w14:schemeClr w14:val="tx1"/>
                  </w14:solidFill>
                </w14:textFill>
              </w:rPr>
              <w:t>（3</w:t>
            </w:r>
            <w:r>
              <w:rPr>
                <w:rFonts w:hint="eastAsia" w:ascii="Times New Roman" w:hAnsi="Times New Roman" w:eastAsia="宋体" w:cs="Times New Roman"/>
                <w:vanish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14:textFill>
                  <w14:solidFill>
                    <w14:schemeClr w14:val="tx1"/>
                  </w14:solidFill>
                </w14:textFill>
              </w:rPr>
              <w:t>焊接废气</w:t>
            </w:r>
          </w:p>
          <w:p w14:paraId="56735E83">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vanish w:val="0"/>
                <w:color w:val="000000" w:themeColor="text1"/>
                <w:kern w:val="0"/>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14:textFill>
                  <w14:solidFill>
                    <w14:schemeClr w14:val="tx1"/>
                  </w14:solidFill>
                </w14:textFill>
              </w:rPr>
              <w:t>管道焊接过程中会产生焊接废气，由于焊接工序时间较短，焊接地点分散，单个焊接点的废气产生量较小</w:t>
            </w:r>
            <w:r>
              <w:rPr>
                <w:rFonts w:hint="default" w:ascii="Times New Roman" w:hAnsi="Times New Roman" w:eastAsia="宋体" w:cs="Times New Roman"/>
                <w:vanish w:val="0"/>
                <w:color w:val="000000" w:themeColor="text1"/>
                <w:kern w:val="0"/>
                <w:sz w:val="21"/>
                <w:szCs w:val="21"/>
                <w:lang w:eastAsia="zh-CN"/>
                <w14:textFill>
                  <w14:solidFill>
                    <w14:schemeClr w14:val="tx1"/>
                  </w14:solidFill>
                </w14:textFill>
              </w:rPr>
              <w:t>，环评要求管道焊接工序配备移动式焊接烟尘净化器，焊接烟尘经处理后无组织排放</w:t>
            </w:r>
            <w:r>
              <w:rPr>
                <w:rFonts w:hint="default" w:ascii="Times New Roman" w:hAnsi="Times New Roman" w:eastAsia="宋体" w:cs="Times New Roman"/>
                <w:vanish w:val="0"/>
                <w:color w:val="000000" w:themeColor="text1"/>
                <w:kern w:val="0"/>
                <w:sz w:val="21"/>
                <w:szCs w:val="21"/>
                <w14:textFill>
                  <w14:solidFill>
                    <w14:schemeClr w14:val="tx1"/>
                  </w14:solidFill>
                </w14:textFill>
              </w:rPr>
              <w:t>，其影响范围有限，对周围环境空气的影响较小。</w:t>
            </w:r>
          </w:p>
          <w:p w14:paraId="77B9D1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kern w:val="0"/>
                <w:sz w:val="21"/>
                <w:szCs w:val="21"/>
                <w14:textFill>
                  <w14:solidFill>
                    <w14:schemeClr w14:val="tx1"/>
                  </w14:solidFill>
                </w14:textFill>
              </w:rPr>
              <w:t>综上所述，本工程</w:t>
            </w:r>
            <w:r>
              <w:rPr>
                <w:rFonts w:hint="default" w:ascii="Times New Roman" w:hAnsi="Times New Roman" w:eastAsia="宋体" w:cs="Times New Roman"/>
                <w:vanish w:val="0"/>
                <w:color w:val="000000" w:themeColor="text1"/>
                <w:kern w:val="0"/>
                <w:sz w:val="21"/>
                <w:szCs w:val="21"/>
                <w:lang w:eastAsia="zh-CN"/>
                <w14:textFill>
                  <w14:solidFill>
                    <w14:schemeClr w14:val="tx1"/>
                  </w14:solidFill>
                </w14:textFill>
              </w:rPr>
              <w:t>管道敷设</w:t>
            </w:r>
            <w:r>
              <w:rPr>
                <w:rFonts w:hint="default" w:ascii="Times New Roman" w:hAnsi="Times New Roman" w:eastAsia="宋体" w:cs="Times New Roman"/>
                <w:vanish w:val="0"/>
                <w:color w:val="000000" w:themeColor="text1"/>
                <w:sz w:val="21"/>
                <w:szCs w:val="21"/>
                <w14:textFill>
                  <w14:solidFill>
                    <w14:schemeClr w14:val="tx1"/>
                  </w14:solidFill>
                </w14:textFill>
              </w:rPr>
              <w:t>会对周围环境空气质量产生一定的影响，但污染物排放量较小且随施工结束影响即消失，对大气环境影响较小，地区环境空气质量基本可以恢复至现状水平。</w:t>
            </w:r>
          </w:p>
          <w:p w14:paraId="62A4B3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vanish w:val="0"/>
                <w:color w:val="000000" w:themeColor="text1"/>
                <w:sz w:val="21"/>
                <w:szCs w:val="21"/>
                <w14:textFill>
                  <w14:solidFill>
                    <w14:schemeClr w14:val="tx1"/>
                  </w14:solidFill>
                </w14:textFill>
              </w:rPr>
              <w:t>二、施工期水污染</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治理措施</w:t>
            </w:r>
          </w:p>
          <w:p w14:paraId="4492313E">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A、</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厂内建筑</w:t>
            </w: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施工期</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废水</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治理措施</w:t>
            </w:r>
          </w:p>
          <w:p w14:paraId="388EBCB9">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施工期污水包括施工作业产生的废水和施工人员生活污水。</w:t>
            </w:r>
          </w:p>
          <w:p w14:paraId="2A46C4A2">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1、施工废水</w:t>
            </w:r>
          </w:p>
          <w:p w14:paraId="7F1B6205">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施工废水包括施工机械运作和养护中产生的少量废水，废水中的污染物主要为SS。施工期间产生的施工废水排入临时沉淀池，经沉淀处理后施工回用和用于场区洒水抑尘，对环境影响不大。</w:t>
            </w:r>
          </w:p>
          <w:p w14:paraId="25EE6CEF">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2、生活污水</w:t>
            </w:r>
          </w:p>
          <w:p w14:paraId="1A7E5801">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本项目施工期施工人员不在施工场区食宿。生活污水采用化粪池处理</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后排入市政污水管网</w:t>
            </w:r>
            <w:r>
              <w:rPr>
                <w:rFonts w:hint="default" w:ascii="Times New Roman" w:hAnsi="Times New Roman" w:cs="Times New Roman"/>
                <w:vanish w:val="0"/>
                <w:color w:val="000000" w:themeColor="text1"/>
                <w:sz w:val="21"/>
                <w:szCs w:val="21"/>
                <w14:textFill>
                  <w14:solidFill>
                    <w14:schemeClr w14:val="tx1"/>
                  </w14:solidFill>
                </w14:textFill>
              </w:rPr>
              <w:t>。因此，施工人员的生活污水对周边环境影响不大。</w:t>
            </w:r>
          </w:p>
          <w:p w14:paraId="23BBD313">
            <w:pPr>
              <w:pStyle w:val="20"/>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60" w:lineRule="auto"/>
              <w:ind w:leftChars="200" w:right="0" w:rightChars="0"/>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B、管道敷设</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废水</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治理措施</w:t>
            </w:r>
          </w:p>
          <w:p w14:paraId="286B1B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textAlignment w:val="auto"/>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本项目管线施工分段进行，施工人员较为分散，不设置施工营地，施工过</w:t>
            </w:r>
            <w:r>
              <w:rPr>
                <w:rFonts w:hint="eastAsia" w:cs="Times New Roman"/>
                <w:vanish w:val="0"/>
                <w:color w:val="000000" w:themeColor="text1"/>
                <w:kern w:val="0"/>
                <w:sz w:val="21"/>
                <w:szCs w:val="21"/>
                <w:lang w:val="en-US" w:eastAsia="zh-CN" w:bidi="ar"/>
                <w14:textFill>
                  <w14:solidFill>
                    <w14:schemeClr w14:val="tx1"/>
                  </w14:solidFill>
                </w14:textFill>
              </w:rPr>
              <w:t>程中</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不产生生活污水。</w:t>
            </w:r>
          </w:p>
          <w:p w14:paraId="1446F7CA">
            <w:pPr>
              <w:pStyle w:val="2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施工期废水</w:t>
            </w:r>
          </w:p>
          <w:p w14:paraId="15D01D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①施工建筑材料临时加以覆盖，防止雨水冲刷造成污染。建筑材料应远离饮水井和水体，各类建筑材料应有防雨遮雨措施，工程废料要及时运走。</w:t>
            </w:r>
          </w:p>
          <w:p w14:paraId="760181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②在施工场地内设置集水沟及沉淀池，施工作业废水、初期雨水沉淀后用于场地洒水抑尘，不外排。</w:t>
            </w:r>
          </w:p>
          <w:p w14:paraId="7D6C70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5"/>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（3</w:t>
            </w:r>
            <w:r>
              <w:rPr>
                <w:rFonts w:hint="eastAsia"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地面径流</w:t>
            </w:r>
          </w:p>
          <w:p w14:paraId="3C2FBD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施工场地路面径流主要为含悬浮物，随意排放会对附近水渠及土壤造成不利影响，环评要求完善露天机械及物料堆场防护措施，减少施工场地路面径流的悬浮物，最后场地路面径流经截水沟收集、并沉淀处理后用于洒水抑尘。</w:t>
            </w:r>
          </w:p>
          <w:p w14:paraId="75CD07F7">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
                <w14:textFill>
                  <w14:solidFill>
                    <w14:schemeClr w14:val="tx1"/>
                  </w14:solidFill>
                </w14:textFill>
              </w:rPr>
              <w:t>综上所述，</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采取防范措施后，本工程施工废水对水环境的影响较小。</w:t>
            </w:r>
          </w:p>
          <w:p w14:paraId="380D042B">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三、施工期噪声</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治理措施</w:t>
            </w:r>
          </w:p>
          <w:p w14:paraId="04148B6F">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A、</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厂内建筑</w:t>
            </w: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施工期噪声</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治理措施</w:t>
            </w:r>
          </w:p>
          <w:p w14:paraId="20FB4667">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1、施工期间噪声</w:t>
            </w:r>
          </w:p>
          <w:p w14:paraId="6C02D9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eastAsia="F4" w:cs="Times New Roman"/>
                <w:vanish w:val="0"/>
                <w:color w:val="000000" w:themeColor="text1"/>
                <w:kern w:val="0"/>
                <w:sz w:val="21"/>
                <w:szCs w:val="21"/>
                <w:lang w:val="en-US" w:eastAsia="zh-CN" w:bidi="ar"/>
                <w14:textFill>
                  <w14:solidFill>
                    <w14:schemeClr w14:val="tx1"/>
                  </w14:solidFill>
                </w14:textFill>
              </w:rPr>
              <w:t>项目施工期噪声主要来源于施工机械，如推土机、挖掘机等。虽然施工噪声仅在施工期的土建施工阶段产生，随着施工的结束而消失，但由于噪声较强，将会对周围声环境产生严重影响，极易引起人们的反感与不适，所以必须重视对施工期噪声的控制。</w:t>
            </w:r>
          </w:p>
          <w:p w14:paraId="2AF26902">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为减少项目施工环境噪声的影响，施工单位应采取以下措施减少噪声对周围环境的影响：</w:t>
            </w:r>
          </w:p>
          <w:p w14:paraId="0905CE4F">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合理布置施工场地，安排施工方式，控制环境噪声污染。</w:t>
            </w:r>
          </w:p>
          <w:p w14:paraId="7DF3E951">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选用低噪声施工机械，严格限制或禁止使用高噪声设备，推行混凝土灌注桩</w:t>
            </w:r>
          </w:p>
          <w:p w14:paraId="34766D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和静压桩等低噪音新工艺；</w:t>
            </w:r>
          </w:p>
          <w:p w14:paraId="450D75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（3</w:t>
            </w:r>
            <w:r>
              <w:rPr>
                <w:rFonts w:hint="eastAsia" w:ascii="Times New Roman" w:hAnsi="Times New Roman" w:cs="Times New Roman"/>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要求使用商品混凝土。与施工场地设置混凝土搅拌机相比，商品混凝土具有</w:t>
            </w:r>
          </w:p>
          <w:p w14:paraId="0DF8ED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占地少、施工量小、施工方便、噪声污染小等特点，同时可大大减少建筑材料水泥、</w:t>
            </w:r>
          </w:p>
          <w:p w14:paraId="4FEB27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沙石的汽车运量，减轻车辆交通噪声影响。</w:t>
            </w:r>
          </w:p>
          <w:p w14:paraId="17A608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（4</w:t>
            </w:r>
            <w:r>
              <w:rPr>
                <w:rFonts w:hint="eastAsia" w:ascii="Times New Roman" w:hAnsi="Times New Roman" w:cs="Times New Roman"/>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严格操作规程，加强施工机械管理，降低人为噪声影响。不合理施工作业是产生人为噪声的主要原因，如脚手架的安装、拆除，钢筋材料的装卸，以及钢结构厂房安装过</w:t>
            </w:r>
            <w:r>
              <w:rPr>
                <w:rFonts w:hint="eastAsia" w:cs="Times New Roman"/>
                <w:vanish w:val="0"/>
                <w:color w:val="000000" w:themeColor="text1"/>
                <w:kern w:val="0"/>
                <w:sz w:val="21"/>
                <w:szCs w:val="21"/>
                <w:lang w:val="en-US" w:eastAsia="zh-CN" w:bidi="ar-SA"/>
                <w14:textFill>
                  <w14:solidFill>
                    <w14:schemeClr w14:val="tx1"/>
                  </w14:solidFill>
                </w14:textFill>
              </w:rPr>
              <w:t>程中</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 xml:space="preserve">产生的金属撞击声和落料声等均会产生较大距离的声环境影响，因此要杜绝人为敲打、野蛮装卸现象，规范建筑物料、土石方清运车辆进出工地高速行驶、鸣笛等。 </w:t>
            </w:r>
          </w:p>
          <w:p w14:paraId="752B04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（5</w:t>
            </w:r>
            <w:r>
              <w:rPr>
                <w:rFonts w:hint="eastAsia" w:ascii="Times New Roman" w:hAnsi="Times New Roman" w:cs="Times New Roman"/>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采取有效的隔声、减振措施，降低噪声级，选用低噪声设备，并采取一定的吸音、隔声、降噪措施，控制施工机械噪声符合《建筑施工场界环境噪声排放标准》（GB12523-2011</w:t>
            </w:r>
            <w:r>
              <w:rPr>
                <w:rFonts w:hint="eastAsia" w:ascii="Times New Roman" w:hAnsi="Times New Roman" w:cs="Times New Roman"/>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，做到施工场界噪声达标排放。</w:t>
            </w:r>
          </w:p>
          <w:p w14:paraId="66495A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（6</w:t>
            </w:r>
            <w:r>
              <w:rPr>
                <w:rFonts w:hint="eastAsia" w:ascii="Times New Roman" w:hAnsi="Times New Roman" w:cs="Times New Roman"/>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严格控制施工车辆运输路线，减少对周围敏感点的影响，施工车辆运输物料进入施工场地时应禁止鸣笛，尽量放慢车速。</w:t>
            </w:r>
          </w:p>
          <w:p w14:paraId="2E7D27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（7</w:t>
            </w:r>
            <w:r>
              <w:rPr>
                <w:rFonts w:hint="eastAsia" w:ascii="Times New Roman" w:hAnsi="Times New Roman" w:cs="Times New Roman"/>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严格控制施工时间。</w:t>
            </w:r>
          </w:p>
          <w:p w14:paraId="592808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根据不同季节合理安排施工计划，尽可能避开午休时间动用高噪声设备，禁止夜间（22：00～06：00</w:t>
            </w:r>
            <w:r>
              <w:rPr>
                <w:rFonts w:hint="eastAsia" w:ascii="Times New Roman" w:hAnsi="Times New Roman" w:cs="Times New Roman"/>
                <w:vanish w:val="0"/>
                <w:color w:val="000000" w:themeColor="text1"/>
                <w:kern w:val="0"/>
                <w:sz w:val="21"/>
                <w:szCs w:val="21"/>
                <w:lang w:val="en-US" w:eastAsia="zh-CN" w:bidi="ar-SA"/>
                <w14:textFill>
                  <w14:solidFill>
                    <w14:schemeClr w14:val="tx1"/>
                  </w14:solidFill>
                </w14:textFill>
              </w:rPr>
              <w:t>）</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进行产生环境噪声污染的建筑施工作业，避免扰民。</w:t>
            </w:r>
            <w:r>
              <w:rPr>
                <w:rFonts w:hint="eastAsia" w:cs="Times New Roman"/>
                <w:vanish w:val="0"/>
                <w:color w:val="000000" w:themeColor="text1"/>
                <w:kern w:val="0"/>
                <w:sz w:val="21"/>
                <w:szCs w:val="21"/>
                <w:lang w:val="en-US" w:eastAsia="zh-CN" w:bidi="ar-SA"/>
                <w14:textFill>
                  <w14:solidFill>
                    <w14:schemeClr w14:val="tx1"/>
                  </w14:solidFill>
                </w14:textFill>
              </w:rPr>
              <w:t>确因</w:t>
            </w: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特殊需要必须连续作业的，必须由有关主管部门的证明，且必须提前公告附近居民。对未按要求进行公告的，一旦发生群众投诉，均按未审批论处。</w:t>
            </w:r>
          </w:p>
          <w:p w14:paraId="511F09E2">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kern w:val="0"/>
                <w:sz w:val="21"/>
                <w:szCs w:val="21"/>
                <w:lang w:val="en-US" w:eastAsia="zh-CN" w:bidi="ar-SA"/>
                <w14:textFill>
                  <w14:solidFill>
                    <w14:schemeClr w14:val="tx1"/>
                  </w14:solidFill>
                </w14:textFill>
              </w:rPr>
              <w:t>采取以上措施后，可大大减轻项目施工噪声对周边敏感点</w:t>
            </w:r>
            <w:r>
              <w:rPr>
                <w:rFonts w:hint="default" w:ascii="Times New Roman" w:hAnsi="Times New Roman" w:cs="Times New Roman"/>
                <w:vanish w:val="0"/>
                <w:color w:val="000000" w:themeColor="text1"/>
                <w:sz w:val="21"/>
                <w:szCs w:val="21"/>
                <w14:textFill>
                  <w14:solidFill>
                    <w14:schemeClr w14:val="tx1"/>
                  </w14:solidFill>
                </w14:textFill>
              </w:rPr>
              <w:t>的影响。</w:t>
            </w:r>
          </w:p>
          <w:p w14:paraId="6D87D416">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2、施工车辆运输噪声</w:t>
            </w:r>
          </w:p>
          <w:p w14:paraId="0D3FF79F">
            <w:pPr>
              <w:keepNext/>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baseline"/>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本项目施工过程所需的大量建筑材料均由运输车辆沿附近公路线运入和运出，应保持低速匀速行驶，在途经居民区等环境噪声敏感目标时应禁止鸣喇叭，同时应合理安排施工物料的运输时间，避开交通高峰期，并尽量避开在休息时间经过环境敏感目标，以减小车辆噪声对沿途敏感目标的影响。采取以上措施后，项目运输车辆对周围环境影响小。</w:t>
            </w:r>
          </w:p>
          <w:p w14:paraId="31D2A62C">
            <w:pPr>
              <w:keepNext/>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baseline"/>
              <w:rPr>
                <w:rFonts w:hint="default" w:ascii="Times New Roman" w:hAnsi="Times New Roman" w:eastAsia="宋体" w:cs="Times New Roman"/>
                <w:b/>
                <w:bCs w:val="0"/>
                <w:vanish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val="0"/>
                <w:vanish w:val="0"/>
                <w:color w:val="000000" w:themeColor="text1"/>
                <w:kern w:val="0"/>
                <w:sz w:val="21"/>
                <w:szCs w:val="21"/>
                <w:lang w:val="en-US" w:eastAsia="zh-CN"/>
                <w14:textFill>
                  <w14:solidFill>
                    <w14:schemeClr w14:val="tx1"/>
                  </w14:solidFill>
                </w14:textFill>
              </w:rPr>
              <w:t>B、管线敷设噪声</w:t>
            </w:r>
            <w:r>
              <w:rPr>
                <w:rFonts w:hint="eastAsia" w:ascii="Times New Roman" w:hAnsi="Times New Roman" w:eastAsia="宋体" w:cs="Times New Roman"/>
                <w:b/>
                <w:bCs w:val="0"/>
                <w:vanish w:val="0"/>
                <w:color w:val="000000" w:themeColor="text1"/>
                <w:kern w:val="0"/>
                <w:sz w:val="21"/>
                <w:szCs w:val="21"/>
                <w:lang w:val="en-US" w:eastAsia="zh-CN"/>
                <w14:textFill>
                  <w14:solidFill>
                    <w14:schemeClr w14:val="tx1"/>
                  </w14:solidFill>
                </w14:textFill>
              </w:rPr>
              <w:t>保护措施</w:t>
            </w:r>
          </w:p>
          <w:p w14:paraId="2C861A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本项目</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管道敷设</w:t>
            </w:r>
            <w:r>
              <w:rPr>
                <w:rFonts w:hint="default" w:ascii="Times New Roman" w:hAnsi="Times New Roman" w:eastAsia="宋体" w:cs="Times New Roman"/>
                <w:vanish w:val="0"/>
                <w:color w:val="000000" w:themeColor="text1"/>
                <w:sz w:val="21"/>
                <w:szCs w:val="21"/>
                <w14:textFill>
                  <w14:solidFill>
                    <w14:schemeClr w14:val="tx1"/>
                  </w14:solidFill>
                </w14:textFill>
              </w:rPr>
              <w:t>施工噪声主要来自施工时各种机械设备运作产生的噪声</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施工机械噪声由于噪声级较高</w:t>
            </w:r>
            <w:r>
              <w:rPr>
                <w:rFonts w:hint="eastAsia" w:cs="Times New Roman"/>
                <w:vanish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管线建设施工阶段影响最大的噪声源主要是推土机以及平地机，噪声源约为9</w:t>
            </w:r>
            <w:r>
              <w:rPr>
                <w:rFonts w:hint="default" w:ascii="Times New Roman" w:hAnsi="Times New Roman" w:eastAsia="宋体" w:cs="Times New Roman"/>
                <w:b w:val="0"/>
                <w:bCs w:val="0"/>
                <w:vanish w:val="0"/>
                <w:color w:val="000000" w:themeColor="text1"/>
                <w:kern w:val="0"/>
                <w:sz w:val="21"/>
                <w:szCs w:val="21"/>
                <w:lang w:val="en-US" w:eastAsia="zh-CN" w:bidi="ar"/>
                <w14:textFill>
                  <w14:solidFill>
                    <w14:schemeClr w14:val="tx1"/>
                  </w14:solidFill>
                </w14:textFill>
              </w:rPr>
              <w:t>0</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dB</w:t>
            </w:r>
            <w:r>
              <w:rPr>
                <w:rFonts w:hint="default" w:ascii="Times New Roman" w:hAnsi="Times New Roman" w:eastAsia="宋体" w:cs="Times New Roman"/>
                <w:b w:val="0"/>
                <w:bCs w:val="0"/>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A</w:t>
            </w:r>
            <w:r>
              <w:rPr>
                <w:rFonts w:hint="eastAsia" w:ascii="Times New Roman" w:hAnsi="Times New Roman" w:eastAsia="宋体" w:cs="Times New Roman"/>
                <w:b w:val="0"/>
                <w:bCs w:val="0"/>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lang w:val="en-US" w:eastAsia="zh-CN" w:bidi="ar"/>
                <w14:textFill>
                  <w14:solidFill>
                    <w14:schemeClr w14:val="tx1"/>
                  </w14:solidFill>
                </w14:textFill>
              </w:rPr>
              <w:t>，最大噪声源昼间最大达标距离为30m。</w:t>
            </w:r>
          </w:p>
          <w:p w14:paraId="11D38B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为了最大限度减小施工噪声对</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管道沿线</w:t>
            </w:r>
            <w:r>
              <w:rPr>
                <w:rFonts w:hint="default" w:ascii="Times New Roman" w:hAnsi="Times New Roman" w:eastAsia="宋体" w:cs="Times New Roman"/>
                <w:vanish w:val="0"/>
                <w:color w:val="000000" w:themeColor="text1"/>
                <w:sz w:val="21"/>
                <w:szCs w:val="21"/>
                <w14:textFill>
                  <w14:solidFill>
                    <w14:schemeClr w14:val="tx1"/>
                  </w14:solidFill>
                </w14:textFill>
              </w:rPr>
              <w:t>敏感点的噪声影响，评价提出以下要求：</w:t>
            </w:r>
          </w:p>
          <w:p w14:paraId="5FF93AE6">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1</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尽量选用低噪声机械设备或自带隔声、消声的设备，降低设备声级；同时做好施工机械的维护和保养，有效降低机械设备运转的噪声源强。</w:t>
            </w:r>
          </w:p>
          <w:p w14:paraId="11688611">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2</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各种管材轻拿轻放，减少撞击性噪声</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在靠近敏感点附近施工作业带两侧布置1.8高的围挡</w:t>
            </w:r>
            <w:r>
              <w:rPr>
                <w:rFonts w:hint="default" w:ascii="Times New Roman" w:hAnsi="Times New Roman" w:eastAsia="宋体" w:cs="Times New Roman"/>
                <w:vanish w:val="0"/>
                <w:color w:val="000000" w:themeColor="text1"/>
                <w:sz w:val="21"/>
                <w:szCs w:val="21"/>
                <w14:textFill>
                  <w14:solidFill>
                    <w14:schemeClr w14:val="tx1"/>
                  </w14:solidFill>
                </w14:textFill>
              </w:rPr>
              <w:t>。</w:t>
            </w:r>
          </w:p>
          <w:p w14:paraId="04E2C5CA">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3</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合理安排强噪声施工机械的工作频次，合理调配车辆来往行车密度，尽量避开附近村民休息时间。</w:t>
            </w:r>
          </w:p>
          <w:p w14:paraId="534DA0C4">
            <w:pPr>
              <w:keepNext/>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baseline"/>
              <w:rPr>
                <w:rFonts w:hint="default" w:ascii="Times New Roman" w:hAnsi="Times New Roman" w:eastAsia="宋体" w:cs="Times New Roman"/>
                <w:vanish w:val="0"/>
                <w:color w:val="000000" w:themeColor="text1"/>
                <w:kern w:val="24"/>
                <w:sz w:val="21"/>
                <w:szCs w:val="21"/>
                <w:u w:val="single"/>
                <w14:textFill>
                  <w14:solidFill>
                    <w14:schemeClr w14:val="tx1"/>
                  </w14:solidFill>
                </w14:textFill>
              </w:rPr>
            </w:pPr>
            <w:r>
              <w:rPr>
                <w:rFonts w:hint="eastAsia" w:ascii="Times New Roman" w:hAnsi="Times New Roman" w:eastAsia="宋体" w:cs="Times New Roman"/>
                <w:bCs/>
                <w:vanish w:val="0"/>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bCs/>
                <w:vanish w:val="0"/>
                <w:color w:val="000000" w:themeColor="text1"/>
                <w:sz w:val="21"/>
                <w:szCs w:val="21"/>
                <w:lang w:val="en-US" w:eastAsia="zh-CN" w:bidi="ar"/>
                <w14:textFill>
                  <w14:solidFill>
                    <w14:schemeClr w14:val="tx1"/>
                  </w14:solidFill>
                </w14:textFill>
              </w:rPr>
              <w:t>4</w:t>
            </w:r>
            <w:r>
              <w:rPr>
                <w:rFonts w:hint="eastAsia" w:ascii="Times New Roman" w:hAnsi="Times New Roman" w:eastAsia="宋体" w:cs="Times New Roman"/>
                <w:bCs/>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在噪声敏感建筑物集中区域内</w:t>
            </w:r>
            <w:r>
              <w:rPr>
                <w:rFonts w:hint="default" w:ascii="Times New Roman" w:hAnsi="Times New Roman" w:eastAsia="宋体" w:cs="Times New Roman"/>
                <w:bCs/>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禁止夜间（</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22:00~次日06:00</w:t>
            </w:r>
            <w:r>
              <w:rPr>
                <w:rFonts w:hint="eastAsia" w:ascii="Times New Roman" w:hAnsi="Times New Roman" w:eastAsia="宋体" w:cs="Times New Roman"/>
                <w:bCs/>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施工作业，因生产工艺要求或因特殊需要必须连续作业的，必须有本级政府或其有关主管部门的证明并公告周边居民。经批准的夜间施工必须采取隔音降噪措施，积极选用低噪声施工机具、设备和工艺，施工工地内合理布置施工机具，对强噪声设备应采取封闭降噪措施，并尽可能设置在远离居民区一侧。加强高、中考期间建筑噪声监管工作</w:t>
            </w:r>
            <w:r>
              <w:rPr>
                <w:rFonts w:hint="default" w:ascii="Times New Roman" w:hAnsi="Times New Roman" w:eastAsia="宋体" w:cs="Times New Roman"/>
                <w:vanish w:val="0"/>
                <w:color w:val="000000" w:themeColor="text1"/>
                <w:kern w:val="24"/>
                <w:sz w:val="21"/>
                <w:szCs w:val="21"/>
                <w:lang w:bidi="ar"/>
                <w14:textFill>
                  <w14:solidFill>
                    <w14:schemeClr w14:val="tx1"/>
                  </w14:solidFill>
                </w14:textFill>
              </w:rPr>
              <w:t>。</w:t>
            </w:r>
          </w:p>
          <w:p w14:paraId="55FE44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vanish w:val="0"/>
                <w:color w:val="000000" w:themeColor="text1"/>
                <w:kern w:val="24"/>
                <w:sz w:val="21"/>
                <w:szCs w:val="21"/>
                <w14:textFill>
                  <w14:solidFill>
                    <w14:schemeClr w14:val="tx1"/>
                  </w14:solidFill>
                </w14:textFill>
              </w:rPr>
            </w:pP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结合上述施工噪声防治要求，并对施工边界进行围挡，严格</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控制施工时间，合理布置施工方案后，可有效缓解施工噪声对评价范围内居民影响。施工结束后，施工噪声影响消失</w:t>
            </w:r>
            <w:r>
              <w:rPr>
                <w:rFonts w:hint="default" w:ascii="Times New Roman" w:hAnsi="Times New Roman" w:eastAsia="宋体" w:cs="Times New Roman"/>
                <w:vanish w:val="0"/>
                <w:color w:val="000000" w:themeColor="text1"/>
                <w:kern w:val="24"/>
                <w:sz w:val="21"/>
                <w:szCs w:val="21"/>
                <w14:textFill>
                  <w14:solidFill>
                    <w14:schemeClr w14:val="tx1"/>
                  </w14:solidFill>
                </w14:textFill>
              </w:rPr>
              <w:t>。</w:t>
            </w:r>
          </w:p>
          <w:p w14:paraId="307AA441">
            <w:pPr>
              <w:pStyle w:val="20"/>
              <w:keepNext w:val="0"/>
              <w:keepLines w:val="0"/>
              <w:pageBreakBefore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eastAsia" w:ascii="Times New Roman" w:hAnsi="Times New Roman" w:cs="Times New Roman"/>
                <w:b/>
                <w:vanish w:val="0"/>
                <w:color w:val="000000" w:themeColor="text1"/>
                <w:sz w:val="21"/>
                <w:szCs w:val="21"/>
                <w:lang w:val="en-US" w:eastAsia="zh-CN"/>
                <w14:textFill>
                  <w14:solidFill>
                    <w14:schemeClr w14:val="tx1"/>
                  </w14:solidFill>
                </w14:textFill>
              </w:rPr>
            </w:pPr>
            <w:r>
              <w:rPr>
                <w:rStyle w:val="26"/>
                <w:rFonts w:hint="default" w:ascii="Times New Roman" w:hAnsi="Times New Roman" w:cs="Times New Roman"/>
                <w:vanish w:val="0"/>
                <w:color w:val="000000" w:themeColor="text1"/>
                <w:sz w:val="21"/>
                <w:szCs w:val="21"/>
                <w14:textFill>
                  <w14:solidFill>
                    <w14:schemeClr w14:val="tx1"/>
                  </w14:solidFill>
                </w14:textFill>
              </w:rPr>
              <w:t>施工期固体废弃物</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治理措施</w:t>
            </w:r>
          </w:p>
          <w:p w14:paraId="2F8660BF">
            <w:pPr>
              <w:pStyle w:val="20"/>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200" w:right="0" w:rightChars="0"/>
              <w:textAlignment w:val="auto"/>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t>A、</w:t>
            </w:r>
            <w:r>
              <w:rPr>
                <w:rFonts w:hint="eastAsia" w:ascii="Times New Roman" w:hAnsi="Times New Roman" w:eastAsia="宋体" w:cs="Times New Roman"/>
                <w:b/>
                <w:bCs/>
                <w:vanish w:val="0"/>
                <w:color w:val="000000" w:themeColor="text1"/>
                <w:sz w:val="21"/>
                <w:szCs w:val="21"/>
                <w:lang w:val="en-US" w:eastAsia="zh-CN"/>
                <w14:textFill>
                  <w14:solidFill>
                    <w14:schemeClr w14:val="tx1"/>
                  </w14:solidFill>
                </w14:textFill>
              </w:rPr>
              <w:t>厂内建筑</w:t>
            </w:r>
            <w:r>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t>建设固体废物</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治理措施</w:t>
            </w:r>
          </w:p>
          <w:p w14:paraId="49795A48">
            <w:pPr>
              <w:pStyle w:val="20"/>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vanish w:val="0"/>
                <w:color w:val="000000" w:themeColor="text1"/>
                <w:sz w:val="21"/>
                <w:szCs w:val="21"/>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建筑垃圾</w:t>
            </w:r>
          </w:p>
          <w:p w14:paraId="79BE0671">
            <w:pPr>
              <w:pStyle w:val="20"/>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本项目</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厂内建筑</w:t>
            </w:r>
            <w:r>
              <w:rPr>
                <w:rFonts w:hint="default" w:ascii="Times New Roman" w:hAnsi="Times New Roman" w:eastAsia="宋体" w:cs="Times New Roman"/>
                <w:vanish w:val="0"/>
                <w:color w:val="000000" w:themeColor="text1"/>
                <w:sz w:val="21"/>
                <w:szCs w:val="21"/>
                <w14:textFill>
                  <w14:solidFill>
                    <w14:schemeClr w14:val="tx1"/>
                  </w14:solidFill>
                </w14:textFill>
              </w:rPr>
              <w:t>为混凝土结构，</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根据现场踏勘，建设为工程量少，</w:t>
            </w:r>
            <w:r>
              <w:rPr>
                <w:rFonts w:hint="default" w:ascii="Times New Roman" w:hAnsi="Times New Roman" w:eastAsia="宋体" w:cs="Times New Roman"/>
                <w:vanish w:val="0"/>
                <w:color w:val="000000" w:themeColor="text1"/>
                <w:sz w:val="21"/>
                <w:szCs w:val="21"/>
                <w14:textFill>
                  <w14:solidFill>
                    <w14:schemeClr w14:val="tx1"/>
                  </w14:solidFill>
                </w14:textFill>
              </w:rPr>
              <w:t>建设构筑物等过程中会产生少量建筑垃圾，</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运往建筑垃圾填埋场</w:t>
            </w:r>
            <w:r>
              <w:rPr>
                <w:rFonts w:hint="default" w:ascii="Times New Roman" w:hAnsi="Times New Roman" w:eastAsia="宋体" w:cs="Times New Roman"/>
                <w:vanish w:val="0"/>
                <w:color w:val="000000" w:themeColor="text1"/>
                <w:sz w:val="21"/>
                <w:szCs w:val="21"/>
                <w14:textFill>
                  <w14:solidFill>
                    <w14:schemeClr w14:val="tx1"/>
                  </w14:solidFill>
                </w14:textFill>
              </w:rPr>
              <w:t>。</w:t>
            </w:r>
          </w:p>
          <w:p w14:paraId="781AE0D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vanish w:val="0"/>
                <w:color w:val="000000" w:themeColor="text1"/>
                <w:sz w:val="21"/>
                <w:szCs w:val="21"/>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生活垃圾</w:t>
            </w:r>
          </w:p>
          <w:p w14:paraId="7E5D28B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eastAsia="宋体" w:cs="Times New Roman"/>
                <w:vanish w:val="0"/>
                <w:color w:val="000000" w:themeColor="text1"/>
                <w:sz w:val="21"/>
                <w:szCs w:val="21"/>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员工生活垃圾按0.5kg/人·d，施工人员按30人计，则产生的生活垃圾产生量为15kg/d，生活垃圾统一收集后，定期由环卫部门统一清运。</w:t>
            </w:r>
          </w:p>
          <w:p w14:paraId="26EB5E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bCs w:val="0"/>
                <w:vanish w:val="0"/>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b/>
                <w:bCs w:val="0"/>
                <w:vanish w:val="0"/>
                <w:color w:val="000000" w:themeColor="text1"/>
                <w:sz w:val="21"/>
                <w:szCs w:val="21"/>
                <w:lang w:val="en-US" w:eastAsia="zh-CN" w:bidi="ar"/>
                <w14:textFill>
                  <w14:solidFill>
                    <w14:schemeClr w14:val="tx1"/>
                  </w14:solidFill>
                </w14:textFill>
              </w:rPr>
              <w:t>B、管线敷设固体废物</w:t>
            </w:r>
            <w:r>
              <w:rPr>
                <w:rFonts w:hint="eastAsia" w:ascii="Times New Roman" w:hAnsi="Times New Roman" w:cs="Times New Roman"/>
                <w:b/>
                <w:vanish w:val="0"/>
                <w:color w:val="000000" w:themeColor="text1"/>
                <w:sz w:val="21"/>
                <w:szCs w:val="21"/>
                <w:lang w:val="en-US" w:eastAsia="zh-CN"/>
                <w14:textFill>
                  <w14:solidFill>
                    <w14:schemeClr w14:val="tx1"/>
                  </w14:solidFill>
                </w14:textFill>
              </w:rPr>
              <w:t>治理措施</w:t>
            </w:r>
          </w:p>
          <w:p w14:paraId="4D0191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Cs/>
                <w:vanish w:val="0"/>
                <w:color w:val="000000" w:themeColor="text1"/>
                <w:sz w:val="21"/>
                <w:szCs w:val="21"/>
                <w14:textFill>
                  <w14:solidFill>
                    <w14:schemeClr w14:val="tx1"/>
                  </w14:solidFill>
                </w14:textFill>
              </w:rPr>
            </w:pP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（1</w:t>
            </w:r>
            <w:r>
              <w:rPr>
                <w:rFonts w:hint="eastAsia" w:ascii="Times New Roman" w:hAnsi="Times New Roman" w:eastAsia="宋体" w:cs="Times New Roman"/>
                <w:bCs/>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施工人员生活垃圾</w:t>
            </w:r>
          </w:p>
          <w:p w14:paraId="4E87E2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Cs/>
                <w:vanish w:val="0"/>
                <w:color w:val="000000" w:themeColor="text1"/>
                <w:sz w:val="21"/>
                <w:szCs w:val="21"/>
                <w:lang w:bidi="ar"/>
                <w14:textFill>
                  <w14:solidFill>
                    <w14:schemeClr w14:val="tx1"/>
                  </w14:solidFill>
                </w14:textFill>
              </w:rPr>
              <w:t>施工人员生活垃圾利用施工</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区域内已有的公用垃圾桶或垃圾箱，集中收集后交由当地环卫部门进行统一清运。</w:t>
            </w:r>
          </w:p>
          <w:p w14:paraId="00DD92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bidi="ar"/>
                <w14:textFill>
                  <w14:solidFill>
                    <w14:schemeClr w14:val="tx1"/>
                  </w14:solidFill>
                </w14:textFill>
              </w:rPr>
              <w:t>（2</w:t>
            </w:r>
            <w:r>
              <w:rPr>
                <w:rFonts w:hint="eastAsia" w:ascii="Times New Roman" w:hAnsi="Times New Roman" w:eastAsia="宋体" w:cs="Times New Roman"/>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施工固废</w:t>
            </w:r>
          </w:p>
          <w:p w14:paraId="59EA1D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bidi="ar"/>
                <w14:textFill>
                  <w14:solidFill>
                    <w14:schemeClr w14:val="tx1"/>
                  </w14:solidFill>
                </w14:textFill>
              </w:rPr>
              <w:t>项目管道施工作业内占地范围内场地清理产生的</w:t>
            </w:r>
            <w:r>
              <w:rPr>
                <w:rFonts w:hint="default" w:ascii="Times New Roman" w:hAnsi="Times New Roman" w:eastAsia="宋体" w:cs="Times New Roman"/>
                <w:vanish w:val="0"/>
                <w:color w:val="000000" w:themeColor="text1"/>
                <w:sz w:val="21"/>
                <w:szCs w:val="21"/>
                <w:lang w:val="en-US" w:eastAsia="zh-CN" w:bidi="ar"/>
                <w14:textFill>
                  <w14:solidFill>
                    <w14:schemeClr w14:val="tx1"/>
                  </w14:solidFill>
                </w14:textFill>
              </w:rPr>
              <w:t>建筑垃圾以及管道开挖产生的土石</w:t>
            </w:r>
            <w:r>
              <w:rPr>
                <w:rFonts w:hint="default" w:ascii="Times New Roman" w:hAnsi="Times New Roman" w:eastAsia="宋体" w:cs="Times New Roman"/>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本次评价要求随着分段施工对其进行分段收集并及时清运利用，未及时清运的废弃土石暂存在施工围挡的沟槽两侧的施工作业带内，遇不利气象条件（大风大雨</w:t>
            </w:r>
            <w:r>
              <w:rPr>
                <w:rFonts w:hint="eastAsia" w:ascii="Times New Roman" w:hAnsi="Times New Roman" w:eastAsia="宋体" w:cs="Times New Roman"/>
                <w:vanish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时，设置简单的临时防尘覆盖和围挡。管道敷设结束后，需要对破损路面进行硬化恢复。</w:t>
            </w:r>
          </w:p>
          <w:p w14:paraId="3ABE1AAC">
            <w:pPr>
              <w:pStyle w:val="2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bidi="ar"/>
                <w14:textFill>
                  <w14:solidFill>
                    <w14:schemeClr w14:val="tx1"/>
                  </w14:solidFill>
                </w14:textFill>
              </w:rPr>
              <w:t>综上所述，</w:t>
            </w:r>
            <w:r>
              <w:rPr>
                <w:rFonts w:hint="default" w:ascii="Times New Roman" w:hAnsi="Times New Roman" w:eastAsia="宋体" w:cs="Times New Roman"/>
                <w:vanish w:val="0"/>
                <w:color w:val="000000" w:themeColor="text1"/>
                <w:sz w:val="21"/>
                <w:szCs w:val="21"/>
                <w:lang w:eastAsia="zh-CN" w:bidi="ar"/>
                <w14:textFill>
                  <w14:solidFill>
                    <w14:schemeClr w14:val="tx1"/>
                  </w14:solidFill>
                </w14:textFill>
              </w:rPr>
              <w:t>管线敷设</w:t>
            </w:r>
            <w:r>
              <w:rPr>
                <w:rFonts w:hint="default" w:ascii="Times New Roman" w:hAnsi="Times New Roman" w:eastAsia="宋体" w:cs="Times New Roman"/>
                <w:vanish w:val="0"/>
                <w:color w:val="000000" w:themeColor="text1"/>
                <w:sz w:val="21"/>
                <w:szCs w:val="21"/>
                <w:lang w:bidi="ar"/>
                <w14:textFill>
                  <w14:solidFill>
                    <w14:schemeClr w14:val="tx1"/>
                  </w14:solidFill>
                </w14:textFill>
              </w:rPr>
              <w:t>施工期固废均能够得到妥善处理，不会对环境产生明显不利影响。</w:t>
            </w:r>
            <w:r>
              <w:rPr>
                <w:rFonts w:hint="default" w:ascii="Times New Roman" w:hAnsi="Times New Roman" w:eastAsia="宋体" w:cs="Times New Roman"/>
                <w:vanish w:val="0"/>
                <w:color w:val="000000" w:themeColor="text1"/>
                <w:sz w:val="21"/>
                <w:szCs w:val="21"/>
                <w14:textFill>
                  <w14:solidFill>
                    <w14:schemeClr w14:val="tx1"/>
                  </w14:solidFill>
                </w14:textFill>
              </w:rPr>
              <w:t>项目施工期固体废物主要是建筑垃圾和施工人员生活垃圾。</w:t>
            </w:r>
          </w:p>
          <w:p w14:paraId="5F14F0B0">
            <w:pPr>
              <w:pStyle w:val="4"/>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20" w:firstLineChars="200"/>
              <w:textAlignment w:val="auto"/>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vanish w:val="0"/>
                <w:color w:val="000000" w:themeColor="text1"/>
                <w:kern w:val="2"/>
                <w:sz w:val="21"/>
                <w:szCs w:val="21"/>
                <w:lang w:val="en-US" w:eastAsia="zh-CN" w:bidi="ar-SA"/>
                <w14:textFill>
                  <w14:solidFill>
                    <w14:schemeClr w14:val="tx1"/>
                  </w14:solidFill>
                </w14:textFill>
              </w:rPr>
              <w:t>五、施工期生态环境影响分析</w:t>
            </w:r>
          </w:p>
          <w:p w14:paraId="6545E98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200" w:right="0" w:rightChars="0"/>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1、工程减缓措施</w:t>
            </w:r>
          </w:p>
          <w:p w14:paraId="73C8BF02">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合理安排施工时间及工序，挖填作业应避开大风天气及雨季，将土壤受风蚀、水蚀的影响降至最小程度。</w:t>
            </w:r>
          </w:p>
          <w:p w14:paraId="5FD34A93">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强化施工管理，努力增强施工人员的环境保护意识，规范施工人员的行为，严禁砍伐、破坏施工区以外的作物和植被，杜绝破坏动物巢穴，捕杀野生动物。</w:t>
            </w:r>
          </w:p>
          <w:p w14:paraId="23CB0EF9">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施工过程应采取平行作业，边开挖、边回填平整，边采取临时性排水、护坡措施，及时绿化种植进行生态恢复。</w:t>
            </w:r>
          </w:p>
          <w:p w14:paraId="530CBFB3">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严禁对项目场地进行大面积平整，仅对高地势场地进行局部修整，以最大限度的减小施工对生态环境的影响。</w:t>
            </w:r>
          </w:p>
          <w:p w14:paraId="153E7918">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开挖过程注意分层开挖、分层堆放，及时进行地表农作物及生态恢复，表土单独堆存、妥善保存后用于苫盖或者洒水防尘，由于表土土壤肥力较好，因此，用于后期施工段植被恢复。</w:t>
            </w:r>
          </w:p>
          <w:p w14:paraId="36F59571">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应划定施工区域界限，在保证施工顺利进行的前提下，严格控制施工人员和施工机械的活动范围，严禁超越施工带作业。</w:t>
            </w:r>
          </w:p>
          <w:p w14:paraId="78DFE199">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对施工期易产生扬尘的环节要采用洒水、遮挡和覆盖等方法，降低扬尘对项目区域植被的影响。</w:t>
            </w:r>
          </w:p>
          <w:p w14:paraId="03E90D39">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（8</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对施工期产生的各类污染物要妥善处理，施工产生的固体废物和生活垃圾要集中处理，应设置专门的废物堆放场地堆存，施工结束后分别送往建筑垃圾填埋场及生活垃圾填埋场卫生填埋。</w:t>
            </w:r>
          </w:p>
          <w:p w14:paraId="7BB085C4">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为了避免产生水土流失，设置简易导排水装置对雨水进行收集，对挖填的土方进行覆盖，弃土方量极少，就近在附近铺平处理。施工结束后，对临时占地进行生态恢复（种植当地常见的浅根系植被</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或路面硬化。根据常年气候特征进行施工安排，尽量避免大雨天气施工，同时做好雨天相应防护工作，减少局部水力侵蚀，严格控制临时占地。同时做好施工围挡，对地面径流进行收集、沉淀，禁止施工废水排入蒲峪河。</w:t>
            </w:r>
          </w:p>
          <w:p w14:paraId="0178DC41">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（11</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项目施工结束后，对施工范围内扰动地面进行压实、硬化处理为主，绿化恢复为辅处理措施，对恢复后的地面进行洒水，以固结地表，防止产生扬尘和对土壤产生侵蚀；</w:t>
            </w:r>
          </w:p>
          <w:p w14:paraId="5C70FD81">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（12</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施工物料有计划的进行运输和暂存，并做好临时围挡、覆盖等防护工作，该段施工结束后及时清运剩余物料。泥浆池容积考虑30%的余量，加强泥浆池防渗措施，遇雨天对防渗池进行顶部覆盖遮雨防护，避免雨水冲刷外溢；加强施工机械的维修保养，在易发生泄漏的设备底部铺防漏油布或接油盘等，同时及时清理漏油。</w:t>
            </w:r>
          </w:p>
          <w:p w14:paraId="59EE38E0">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（13</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项目施工期应加强对施工人员的宣传教育，发现野生动植物，应加强保护，严禁猎杀和捕捞。</w:t>
            </w:r>
          </w:p>
          <w:p w14:paraId="3862754A">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（14</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开工前对施工临时设施的规划要进行严格的审查，以达到既少占农田、林地，又方便施工的目的。</w:t>
            </w:r>
          </w:p>
          <w:p w14:paraId="50C306C0">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②严格按照设计文件确定征占土地范围，对征占农田的应按相关手续办理征地手续并获得相应批复文件后开展地表植被的清理工作。路基清表作业过程，对发现的珍稀野生植物应立即报地方林业主管部门，采取移植等保护措施。</w:t>
            </w:r>
          </w:p>
          <w:p w14:paraId="752EA2FD">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③严格控制路基开挖施工作业面，避免超挖破坏周围植被。</w:t>
            </w:r>
          </w:p>
          <w:p w14:paraId="3D7DD9E5">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④施工工区等临时建筑尽可能采用成品或简易拼装方式，尽量减轻对土壤及植被的破坏。</w:t>
            </w:r>
          </w:p>
          <w:p w14:paraId="6B1AF3EB">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⑤施工单位应加强防火知识教育，防止人为原因导致火灾的发生。</w:t>
            </w:r>
          </w:p>
          <w:p w14:paraId="21A50377">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⑥项目表土剥离厚度根据土地利用现状确定，基本按照耕地30cm、林地10cm、果园10cm、荒地10cm剥离，平均剥离厚度为20cm或25cm。表土临时集中堆放在项目沿线范围内，每个堆放点根据工程空闲面积大小及后期覆土需要决定堆土数量。堆放的表土应采取临时拦挡和覆盖措施，防止雨淋造成养分流失，以便用于后期的绿化和土地复垦。</w:t>
            </w:r>
          </w:p>
          <w:p w14:paraId="7C6D29BB">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⑦施工期临时设施用地尽量选择在征地范围内，因道路施工破坏植被而裸露的土地（包括路界内外</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均应采取临时防护措施在施工结束后立即整治利用，恢复植被。</w:t>
            </w:r>
          </w:p>
          <w:p w14:paraId="35B6071F">
            <w:pPr>
              <w:bidi w:val="0"/>
              <w:spacing w:line="360" w:lineRule="auto"/>
              <w:ind w:firstLine="420" w:firstLineChars="200"/>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⑧对施工扰动的坡面应及时采取工程或植物措施加以防护以减少水土流失。</w:t>
            </w:r>
          </w:p>
          <w:p w14:paraId="2EAA47E3">
            <w:pPr>
              <w:bidi w:val="0"/>
              <w:spacing w:line="360" w:lineRule="auto"/>
              <w:ind w:firstLine="420" w:firstLineChars="200"/>
              <w:rPr>
                <w:rFonts w:hint="default"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bCs/>
                <w:vanish w:val="0"/>
                <w:color w:val="000000" w:themeColor="text1"/>
                <w:lang w:val="en-US" w:eastAsia="zh-CN"/>
                <w14:textFill>
                  <w14:solidFill>
                    <w14:schemeClr w14:val="tx1"/>
                  </w14:solidFill>
                </w14:textFill>
              </w:rPr>
              <w:t>植被恢复措施</w:t>
            </w:r>
          </w:p>
          <w:p w14:paraId="00B6DE51">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为弥补工程引起的土地占用和植被破坏导致的生态损失，项目区需同时进行植被恢复。</w:t>
            </w:r>
          </w:p>
          <w:p w14:paraId="21C5CB7F">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（1</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以生态恢复为建设基本目标</w:t>
            </w:r>
          </w:p>
          <w:p w14:paraId="3CD3EAB5">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项目建设活动中占用土地、改变土地使用功能，破坏了生态系统的原有结构。因而生态环境的恢复主要是指恢复其生态环境功能，包括破坏土地的复垦、恢复植被等。建设项目虽然对生态环境造成一定影响，但对于可通过事后努力而使生态系统的结构或环境功能得到修复的区域应全面实施生态恢复措施。</w:t>
            </w:r>
          </w:p>
          <w:p w14:paraId="70A86115">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（2</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选择适宜的植物种类</w:t>
            </w:r>
          </w:p>
          <w:p w14:paraId="0643F3E5">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植物种类选择时应遵循如下原则：选择生长快、适应性强、抗逆性好、成活率高的植物；选择具有优良的水土保持作用的植物种属，能减少地表径流、涵养水源、阻挡泥沙流失和固持土壤；优先选择具有改良土壤能力的固氮植物，尽量选择当地优良的乡土植物和先锋植物。选择植物种类时不仅要考虑经济价值高，更主要是植物的多种效益，主要包括抗旱、抗污染、抗风沙、耐瘠薄、抗病虫害以及具有较高的经济价值。</w:t>
            </w:r>
          </w:p>
          <w:p w14:paraId="4667ED3E">
            <w:pPr>
              <w:bidi w:val="0"/>
              <w:spacing w:line="360" w:lineRule="auto"/>
              <w:ind w:firstLine="420" w:firstLineChars="200"/>
              <w:rPr>
                <w:rFonts w:hint="default" w:ascii="Times New Roman" w:hAnsi="Times New Roman" w:eastAsia="宋体" w:cs="Times New Roman"/>
                <w:b/>
                <w:bCs/>
                <w:vanish w:val="0"/>
                <w:color w:val="000000" w:themeColor="text1"/>
                <w:lang w:val="en-US" w:eastAsia="zh-CN"/>
                <w14:textFill>
                  <w14:solidFill>
                    <w14:schemeClr w14:val="tx1"/>
                  </w14:solidFill>
                </w14:textFill>
              </w:rPr>
            </w:pPr>
            <w:r>
              <w:rPr>
                <w:rFonts w:hint="eastAsia" w:ascii="Times New Roman" w:hAnsi="Times New Roman" w:eastAsia="宋体" w:cs="Times New Roman"/>
                <w:b/>
                <w:bCs/>
                <w:vanish w:val="0"/>
                <w:color w:val="000000" w:themeColor="text1"/>
                <w:lang w:val="en-US" w:eastAsia="zh-CN"/>
                <w14:textFill>
                  <w14:solidFill>
                    <w14:schemeClr w14:val="tx1"/>
                  </w14:solidFill>
                </w14:textFill>
              </w:rPr>
              <w:t>3、水土流失保护措施</w:t>
            </w:r>
          </w:p>
          <w:p w14:paraId="5E764EEF">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施工结束后，永久占地基本被建筑（接待大楼、康养楼以及硬化</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及植被覆盖，不会再发生土壤的侵蚀。施工临时占地可进行植被恢复，在采取种草绿化等措施后，土壤侵蚀模数可降至或优于施工前水平，从而大大降低土壤侵蚀量。但为了能切实有效的将工程开发带来的水土流失降到最低，需针对工程建设生产中各防治分区的水土流失情况，因地制宜地布置水土保持防治措施。</w:t>
            </w:r>
          </w:p>
          <w:p w14:paraId="3C03D602">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（1</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平衡施工：域场地平整、土方开挖的进度必须按比例进行。先期进行的场地平整和土方开挖的数量，不能预留过多。因为平整的场地植被已遭破坏，表层土壤疏松，预留时间过长，势必遭受当地大风侵蚀的频率增大，加大风蚀的危害。</w:t>
            </w:r>
          </w:p>
          <w:p w14:paraId="5C30A85F">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（2</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作业场地面积应控制在一定的范围内：因为作业场地扩大会造成更大面积的植被破坏和土壤表层的破坏，造成风沙侵蚀的增强。</w:t>
            </w:r>
          </w:p>
          <w:p w14:paraId="1100CFF2">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（3</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施工现场设置排水沟，缓冲接纳雨水，以防暴雨冲刷地面造成水土流失。</w:t>
            </w:r>
          </w:p>
          <w:p w14:paraId="39D19FD2">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（4</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开挖地表应采取无纺布进行苫盖，设置草袋装土进行拦挡压盖，保护已扰动的裸露地表，减少施工期的水土流失。</w:t>
            </w:r>
          </w:p>
          <w:p w14:paraId="253B9467">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（5</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区域植被覆盖度低的地表设置稻草沙障，稻草沙障采用1m×1m网格形式搭设，稻草埋入沙土深度10cm，地面留高20cm。</w:t>
            </w:r>
          </w:p>
          <w:p w14:paraId="61FE3293">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（6</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r>
              <w:rPr>
                <w:rFonts w:hint="default" w:ascii="Times New Roman" w:hAnsi="Times New Roman" w:eastAsia="宋体" w:cs="Times New Roman"/>
                <w:vanish w:val="0"/>
                <w:color w:val="000000" w:themeColor="text1"/>
                <w:lang w:val="en-US" w:eastAsia="zh-CN"/>
                <w14:textFill>
                  <w14:solidFill>
                    <w14:schemeClr w14:val="tx1"/>
                  </w14:solidFill>
                </w14:textFill>
              </w:rPr>
              <w:t>施工营地水土保措施</w:t>
            </w:r>
          </w:p>
          <w:p w14:paraId="734E1722">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工程措施：在施工营地基础开挖前对进行表土清理并集中堆放，待施工结束后清除施工场地内碎石、砖块等施工残留物，覆土并按恢复植被要求平整翻松。</w:t>
            </w:r>
          </w:p>
          <w:p w14:paraId="7019F5C8">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植物措施：施工生产生活区土地整治后进行植被恢复。本着适地种植的原则，选择灌木草种。</w:t>
            </w:r>
          </w:p>
          <w:p w14:paraId="19703768">
            <w:pPr>
              <w:bidi w:val="0"/>
              <w:spacing w:line="360" w:lineRule="auto"/>
              <w:ind w:firstLine="420" w:firstLineChars="200"/>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临时措施：在施工临时堆料场周边修建临时拦挡措施；需要排水的地方，采取临时排水措施，排水措施采用人工开挖土质排水沟。</w:t>
            </w:r>
          </w:p>
          <w:p w14:paraId="6EECBA38">
            <w:pPr>
              <w:bidi w:val="0"/>
              <w:spacing w:line="360" w:lineRule="auto"/>
              <w:ind w:firstLine="420" w:firstLineChars="200"/>
              <w:rPr>
                <w:rFonts w:hint="default"/>
                <w:vanish w:val="0"/>
                <w:color w:val="000000" w:themeColor="text1"/>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管理措施：定期对施工区空地洒水降尘。</w:t>
            </w:r>
          </w:p>
          <w:p w14:paraId="6EDF5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b/>
                <w:bCs/>
                <w:vanish w:val="0"/>
                <w:color w:val="000000" w:themeColor="text1"/>
                <w:sz w:val="21"/>
                <w:szCs w:val="21"/>
                <w:lang w:eastAsia="zh-CN"/>
                <w14:textFill>
                  <w14:solidFill>
                    <w14:schemeClr w14:val="tx1"/>
                  </w14:solidFill>
                </w14:textFill>
              </w:rPr>
              <w:t>六</w:t>
            </w:r>
            <w:r>
              <w:rPr>
                <w:rFonts w:hint="default" w:ascii="Times New Roman" w:hAnsi="Times New Roman" w:eastAsia="宋体" w:cs="Times New Roman"/>
                <w:b/>
                <w:bCs/>
                <w:vanish w:val="0"/>
                <w:color w:val="000000" w:themeColor="text1"/>
                <w:sz w:val="21"/>
                <w:szCs w:val="21"/>
                <w14:textFill>
                  <w14:solidFill>
                    <w14:schemeClr w14:val="tx1"/>
                  </w14:solidFill>
                </w14:textFill>
              </w:rPr>
              <w:t>、</w:t>
            </w:r>
            <w:r>
              <w:rPr>
                <w:rFonts w:hint="default" w:ascii="Times New Roman" w:hAnsi="Times New Roman" w:eastAsia="宋体" w:cs="Times New Roman"/>
                <w:b/>
                <w:bCs/>
                <w:vanish w:val="0"/>
                <w:color w:val="000000" w:themeColor="text1"/>
                <w:sz w:val="21"/>
                <w:szCs w:val="21"/>
                <w:lang w:bidi="ar"/>
                <w14:textFill>
                  <w14:solidFill>
                    <w14:schemeClr w14:val="tx1"/>
                  </w14:solidFill>
                </w14:textFill>
              </w:rPr>
              <w:t>施工期社会环境影响分析</w:t>
            </w:r>
          </w:p>
          <w:p w14:paraId="1FABC40F">
            <w:pPr>
              <w:pStyle w:val="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1"/>
              <w:rPr>
                <w:rFonts w:hint="default" w:ascii="Times New Roman" w:hAnsi="Times New Roman" w:eastAsia="宋体"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vanish w:val="0"/>
                <w:color w:val="000000" w:themeColor="text1"/>
                <w:sz w:val="21"/>
                <w:szCs w:val="21"/>
                <w14:textFill>
                  <w14:solidFill>
                    <w14:schemeClr w14:val="tx1"/>
                  </w14:solidFill>
                </w14:textFill>
              </w:rPr>
              <w:t>对沿线交通和居民出行的影响</w:t>
            </w:r>
          </w:p>
          <w:p w14:paraId="217612E1">
            <w:pPr>
              <w:pStyle w:val="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1"/>
              <w:rPr>
                <w:rFonts w:hint="default" w:ascii="Times New Roman" w:hAnsi="Times New Roman" w:eastAsia="宋体"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项目管线施工过程后可能对周围居民出行产生一定影响。为尽可能减少项目施工对居民出行及交通阻隔的影响，项目管线尽可能分段进行施工，确保项目施工期内沿线居民至少有一个出入口未被阻隔，可顺利通往周边区域。应在确保施工质量的前提下，尽可能缩短施工影响时间，分段施工，预留出入口等。为减轻项目施工运输带来的交通阻塞影响，项目物料应尽可能通过车流量相对较少的道路运输。采取上述措施后项目施工对沿线交通和居民出行的影响在可接受范围内。</w:t>
            </w:r>
          </w:p>
          <w:p w14:paraId="24177377">
            <w:pPr>
              <w:pStyle w:val="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1"/>
              <w:rPr>
                <w:rFonts w:hint="default" w:ascii="Times New Roman" w:hAnsi="Times New Roman" w:eastAsia="宋体"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vanish w:val="0"/>
                <w:color w:val="000000" w:themeColor="text1"/>
                <w:sz w:val="21"/>
                <w:szCs w:val="21"/>
                <w14:textFill>
                  <w14:solidFill>
                    <w14:schemeClr w14:val="tx1"/>
                  </w14:solidFill>
                </w14:textFill>
              </w:rPr>
              <w:t>对沿线基础设施的影响分析</w:t>
            </w:r>
          </w:p>
          <w:p w14:paraId="6CAA455E">
            <w:pPr>
              <w:pStyle w:val="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1"/>
              <w:rPr>
                <w:rFonts w:hint="default" w:ascii="Times New Roman" w:hAnsi="Times New Roman" w:eastAsia="宋体"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1</w:t>
            </w:r>
            <w:r>
              <w:rPr>
                <w:rFonts w:hint="eastAsia" w:ascii="Times New Roman" w:hAnsi="Times New Roman" w:eastAsia="宋体" w:cs="Times New Roman"/>
                <w:b w:val="0"/>
                <w:bCs w:val="0"/>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对公路等交通设施影响分析</w:t>
            </w:r>
          </w:p>
          <w:p w14:paraId="7A1967EA">
            <w:pPr>
              <w:pStyle w:val="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1"/>
              <w:rPr>
                <w:rFonts w:hint="default" w:ascii="Times New Roman" w:hAnsi="Times New Roman" w:eastAsia="宋体"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本项目管线</w:t>
            </w:r>
            <w:r>
              <w:rPr>
                <w:rFonts w:hint="default" w:ascii="Times New Roman" w:hAnsi="Times New Roman" w:eastAsia="宋体" w:cs="Times New Roman"/>
                <w:b w:val="0"/>
                <w:bCs w:val="0"/>
                <w:vanish w:val="0"/>
                <w:color w:val="000000" w:themeColor="text1"/>
                <w:sz w:val="21"/>
                <w:szCs w:val="21"/>
                <w:lang w:eastAsia="zh-CN"/>
                <w14:textFill>
                  <w14:solidFill>
                    <w14:schemeClr w14:val="tx1"/>
                  </w14:solidFill>
                </w14:textFill>
              </w:rPr>
              <w:t>需</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开挖直埋，</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上部土层扰动</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较大</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会对已建成的道路进行开挖，影响附近村民的出行，建设单位应及时与上述基础设施的管理部门进行沟通、衔接，并严格按照相应的法律法</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规、技术规范施工，确保不影响其安全运行。</w:t>
            </w:r>
          </w:p>
          <w:p w14:paraId="0ECA785C">
            <w:pPr>
              <w:pStyle w:val="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1"/>
              <w:rPr>
                <w:rFonts w:hint="default" w:ascii="Times New Roman" w:hAnsi="Times New Roman" w:eastAsia="宋体"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val="0"/>
                <w:bCs w:val="0"/>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对沿线电力线、管线的影响分析</w:t>
            </w:r>
          </w:p>
          <w:p w14:paraId="567650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本项目应严格按照有关规范进行设计，与周围建筑物基础、外墙面、市政管网、电杆（塔</w:t>
            </w:r>
            <w:r>
              <w:rPr>
                <w:rFonts w:hint="eastAsia" w:ascii="Times New Roman" w:hAnsi="Times New Roman" w:eastAsia="宋体" w:cs="Times New Roman"/>
                <w:b w:val="0"/>
                <w:bCs w:val="0"/>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的基础、铁路、公路、街树等之间的距离应满足要求。在施工前，充分做好各种准备工作，对施工范围内所涉及的道路和各种地下管线，如供电、通信、给排水管线等进行详细调查，施工过程中应尽可能避开电力线，尤其是高压电线和电缆，避免对其产生破坏影响。</w:t>
            </w:r>
          </w:p>
          <w:p w14:paraId="062606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应做好施工期管理，遵守施工规章制度，施工前期与各方做好协调沟通，提前协同有关部门确定拆迁、改移方案，做好各项应急准备工作。</w:t>
            </w:r>
          </w:p>
          <w:p w14:paraId="66CDAF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项目设计和与管线并行距其较近时，应对其采取合理的保护措施，尽可能避免对其造成破坏影响，如有破坏应及时修复，确保不影响沿线地区水、电、气、通讯等设施的正常供应和运行，保证社会生活的正常状态。</w:t>
            </w:r>
          </w:p>
          <w:p w14:paraId="3712C758">
            <w:pPr>
              <w:pStyle w:val="3"/>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outlineLvl w:val="1"/>
              <w:rPr>
                <w:rFonts w:hint="default" w:ascii="Times New Roman" w:hAnsi="Times New Roman" w:eastAsia="宋体" w:cs="Times New Roman"/>
                <w:b/>
                <w:bCs/>
                <w:vanish w:val="0"/>
                <w:color w:val="000000" w:themeColor="text1"/>
                <w:sz w:val="21"/>
                <w:szCs w:val="21"/>
                <w14:textFill>
                  <w14:solidFill>
                    <w14:schemeClr w14:val="tx1"/>
                  </w14:solidFill>
                </w14:textFill>
              </w:rPr>
            </w:pPr>
            <w:r>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vanish w:val="0"/>
                <w:color w:val="000000" w:themeColor="text1"/>
                <w:sz w:val="21"/>
                <w:szCs w:val="21"/>
                <w14:textFill>
                  <w14:solidFill>
                    <w14:schemeClr w14:val="tx1"/>
                  </w14:solidFill>
                </w14:textFill>
              </w:rPr>
              <w:t>对所在地居民生活影响分析</w:t>
            </w:r>
          </w:p>
          <w:p w14:paraId="302D3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vanish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项目建设过程中可雇佣本地劳动力，增加当地居民收入，对其产生有利影响。但施工过程中产生的噪声、扬尘、阻隔会对其正常生活产生不利影响。项目应切实加强施工扬尘和噪声污染防治措施，尽可能减轻扬尘和噪声对周围居民的影响。施工现场应悬挂施工标牌，标明投诉电话等内容，接受社会各界和居民监督。主体工程施工完成后应及时复绿，美化环境。</w:t>
            </w:r>
          </w:p>
          <w:p w14:paraId="01CF64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bidi="ar"/>
                <w14:textFill>
                  <w14:solidFill>
                    <w14:schemeClr w14:val="tx1"/>
                  </w14:solidFill>
                </w14:textFill>
              </w:rPr>
              <w:t>采取上述措施后，可有效减轻项目施工期对社会环境的影响，措施合理可行。</w:t>
            </w:r>
          </w:p>
        </w:tc>
      </w:tr>
      <w:tr w14:paraId="77816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2" w:hRule="atLeast"/>
          <w:jc w:val="center"/>
          <w:hidden/>
        </w:trPr>
        <w:tc>
          <w:tcPr>
            <w:tcW w:w="746" w:type="dxa"/>
            <w:noWrap w:val="0"/>
            <w:tcMar>
              <w:left w:w="28" w:type="dxa"/>
              <w:right w:w="28" w:type="dxa"/>
            </w:tcMar>
            <w:vAlign w:val="center"/>
          </w:tcPr>
          <w:p w14:paraId="61DE3F42">
            <w:pPr>
              <w:adjustRightInd w:val="0"/>
              <w:snapToGrid w:val="0"/>
              <w:jc w:val="center"/>
              <w:rPr>
                <w:rFonts w:hint="default" w:ascii="Times New Roman" w:hAnsi="Times New Roman" w:cs="Times New Roman"/>
                <w:bCs/>
                <w:vanish w:val="0"/>
                <w:color w:val="000000" w:themeColor="text1"/>
                <w:szCs w:val="21"/>
                <w14:textFill>
                  <w14:solidFill>
                    <w14:schemeClr w14:val="tx1"/>
                  </w14:solidFill>
                </w14:textFill>
              </w:rPr>
            </w:pPr>
            <w:r>
              <w:rPr>
                <w:rFonts w:hint="default" w:ascii="Times New Roman" w:hAnsi="Times New Roman" w:cs="Times New Roman"/>
                <w:bCs/>
                <w:vanish w:val="0"/>
                <w:color w:val="000000" w:themeColor="text1"/>
                <w:szCs w:val="21"/>
                <w14:textFill>
                  <w14:solidFill>
                    <w14:schemeClr w14:val="tx1"/>
                  </w14:solidFill>
                </w14:textFill>
              </w:rPr>
              <w:t>运营</w:t>
            </w:r>
          </w:p>
          <w:p w14:paraId="0AB72589">
            <w:pPr>
              <w:adjustRightInd w:val="0"/>
              <w:snapToGrid w:val="0"/>
              <w:jc w:val="center"/>
              <w:rPr>
                <w:rFonts w:hint="default" w:ascii="Times New Roman" w:hAnsi="Times New Roman" w:cs="Times New Roman"/>
                <w:bCs/>
                <w:vanish w:val="0"/>
                <w:color w:val="000000" w:themeColor="text1"/>
                <w:szCs w:val="21"/>
                <w14:textFill>
                  <w14:solidFill>
                    <w14:schemeClr w14:val="tx1"/>
                  </w14:solidFill>
                </w14:textFill>
              </w:rPr>
            </w:pPr>
            <w:r>
              <w:rPr>
                <w:rFonts w:hint="default" w:ascii="Times New Roman" w:hAnsi="Times New Roman" w:cs="Times New Roman"/>
                <w:bCs/>
                <w:vanish w:val="0"/>
                <w:color w:val="000000" w:themeColor="text1"/>
                <w:szCs w:val="21"/>
                <w14:textFill>
                  <w14:solidFill>
                    <w14:schemeClr w14:val="tx1"/>
                  </w14:solidFill>
                </w14:textFill>
              </w:rPr>
              <w:t>期环</w:t>
            </w:r>
          </w:p>
          <w:p w14:paraId="04860747">
            <w:pPr>
              <w:adjustRightInd w:val="0"/>
              <w:snapToGrid w:val="0"/>
              <w:jc w:val="center"/>
              <w:rPr>
                <w:rFonts w:hint="default" w:ascii="Times New Roman" w:hAnsi="Times New Roman" w:cs="Times New Roman"/>
                <w:bCs/>
                <w:vanish w:val="0"/>
                <w:color w:val="000000" w:themeColor="text1"/>
                <w:szCs w:val="21"/>
                <w14:textFill>
                  <w14:solidFill>
                    <w14:schemeClr w14:val="tx1"/>
                  </w14:solidFill>
                </w14:textFill>
              </w:rPr>
            </w:pPr>
            <w:r>
              <w:rPr>
                <w:rFonts w:hint="default" w:ascii="Times New Roman" w:hAnsi="Times New Roman" w:cs="Times New Roman"/>
                <w:bCs/>
                <w:vanish w:val="0"/>
                <w:color w:val="000000" w:themeColor="text1"/>
                <w:szCs w:val="21"/>
                <w14:textFill>
                  <w14:solidFill>
                    <w14:schemeClr w14:val="tx1"/>
                  </w14:solidFill>
                </w14:textFill>
              </w:rPr>
              <w:t>境影</w:t>
            </w:r>
          </w:p>
          <w:p w14:paraId="7E018472">
            <w:pPr>
              <w:adjustRightInd w:val="0"/>
              <w:snapToGrid w:val="0"/>
              <w:jc w:val="center"/>
              <w:rPr>
                <w:rFonts w:hint="default" w:ascii="Times New Roman" w:hAnsi="Times New Roman" w:cs="Times New Roman"/>
                <w:bCs/>
                <w:vanish w:val="0"/>
                <w:color w:val="000000" w:themeColor="text1"/>
                <w:szCs w:val="21"/>
                <w14:textFill>
                  <w14:solidFill>
                    <w14:schemeClr w14:val="tx1"/>
                  </w14:solidFill>
                </w14:textFill>
              </w:rPr>
            </w:pPr>
            <w:r>
              <w:rPr>
                <w:rFonts w:hint="default" w:ascii="Times New Roman" w:hAnsi="Times New Roman" w:cs="Times New Roman"/>
                <w:bCs/>
                <w:vanish w:val="0"/>
                <w:color w:val="000000" w:themeColor="text1"/>
                <w:szCs w:val="21"/>
                <w14:textFill>
                  <w14:solidFill>
                    <w14:schemeClr w14:val="tx1"/>
                  </w14:solidFill>
                </w14:textFill>
              </w:rPr>
              <w:t>响和</w:t>
            </w:r>
          </w:p>
          <w:p w14:paraId="7F6871B5">
            <w:pPr>
              <w:adjustRightInd w:val="0"/>
              <w:snapToGrid w:val="0"/>
              <w:jc w:val="center"/>
              <w:rPr>
                <w:rFonts w:hint="default" w:ascii="Times New Roman" w:hAnsi="Times New Roman" w:cs="Times New Roman"/>
                <w:bCs/>
                <w:vanish w:val="0"/>
                <w:color w:val="000000" w:themeColor="text1"/>
                <w:szCs w:val="21"/>
                <w14:textFill>
                  <w14:solidFill>
                    <w14:schemeClr w14:val="tx1"/>
                  </w14:solidFill>
                </w14:textFill>
              </w:rPr>
            </w:pPr>
            <w:r>
              <w:rPr>
                <w:rFonts w:hint="default" w:ascii="Times New Roman" w:hAnsi="Times New Roman" w:cs="Times New Roman"/>
                <w:bCs/>
                <w:vanish w:val="0"/>
                <w:color w:val="000000" w:themeColor="text1"/>
                <w:szCs w:val="21"/>
                <w14:textFill>
                  <w14:solidFill>
                    <w14:schemeClr w14:val="tx1"/>
                  </w14:solidFill>
                </w14:textFill>
              </w:rPr>
              <w:t>保护</w:t>
            </w:r>
          </w:p>
          <w:p w14:paraId="35D812EE">
            <w:pPr>
              <w:adjustRightInd w:val="0"/>
              <w:snapToGrid w:val="0"/>
              <w:jc w:val="center"/>
              <w:rPr>
                <w:rFonts w:hint="default" w:ascii="Times New Roman" w:hAnsi="Times New Roman" w:cs="Times New Roman"/>
                <w:bCs/>
                <w:vanish w:val="0"/>
                <w:color w:val="000000" w:themeColor="text1"/>
                <w:szCs w:val="21"/>
                <w14:textFill>
                  <w14:solidFill>
                    <w14:schemeClr w14:val="tx1"/>
                  </w14:solidFill>
                </w14:textFill>
              </w:rPr>
            </w:pPr>
            <w:r>
              <w:rPr>
                <w:rFonts w:hint="default" w:ascii="Times New Roman" w:hAnsi="Times New Roman" w:cs="Times New Roman"/>
                <w:bCs/>
                <w:vanish w:val="0"/>
                <w:color w:val="000000" w:themeColor="text1"/>
                <w:szCs w:val="21"/>
                <w14:textFill>
                  <w14:solidFill>
                    <w14:schemeClr w14:val="tx1"/>
                  </w14:solidFill>
                </w14:textFill>
              </w:rPr>
              <w:t>措施</w:t>
            </w:r>
          </w:p>
        </w:tc>
        <w:tc>
          <w:tcPr>
            <w:tcW w:w="8316" w:type="dxa"/>
            <w:noWrap w:val="0"/>
            <w:vAlign w:val="center"/>
          </w:tcPr>
          <w:p w14:paraId="4A32A394">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本项目运行期间配水管道基本不会产生环境影响，主要的运营期影响为净化水厂内产生的影响，具体如下。</w:t>
            </w:r>
          </w:p>
          <w:p w14:paraId="0F0541B1">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一、废气</w:t>
            </w:r>
            <w:r>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环境影响</w:t>
            </w: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和保护措施</w:t>
            </w:r>
          </w:p>
          <w:p w14:paraId="16EA99D7">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本项目不涉及废气的产生和排放。</w:t>
            </w:r>
          </w:p>
          <w:p w14:paraId="7EC033CF">
            <w:pPr>
              <w:pStyle w:val="1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0" w:firstLineChars="200"/>
              <w:jc w:val="both"/>
              <w:textAlignment w:val="auto"/>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二</w:t>
            </w:r>
            <w:r>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w:t>
            </w: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废</w:t>
            </w:r>
            <w:r>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水环境影响</w:t>
            </w: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和保护措施</w:t>
            </w:r>
          </w:p>
          <w:p w14:paraId="6FE4DBC2">
            <w:pPr>
              <w:keepLines w:val="0"/>
              <w:pageBreakBefore w:val="0"/>
              <w:kinsoku/>
              <w:wordWrap/>
              <w:overflowPunct/>
              <w:topLinePunct/>
              <w:autoSpaceDE/>
              <w:autoSpaceDN/>
              <w:bidi w:val="0"/>
              <w:adjustRightInd w:val="0"/>
              <w:snapToGrid w:val="0"/>
              <w:spacing w:line="360" w:lineRule="auto"/>
              <w:ind w:left="0" w:leftChars="0" w:firstLine="420" w:firstLineChars="200"/>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1、生活污水源强</w:t>
            </w:r>
          </w:p>
          <w:p w14:paraId="3B7AFF1D">
            <w:pPr>
              <w:keepLines w:val="0"/>
              <w:pageBreakBefore w:val="0"/>
              <w:kinsoku/>
              <w:wordWrap/>
              <w:overflowPunct/>
              <w:topLinePunct/>
              <w:autoSpaceDE/>
              <w:autoSpaceDN/>
              <w:bidi w:val="0"/>
              <w:adjustRightInd w:val="0"/>
              <w:snapToGrid w:val="0"/>
              <w:spacing w:line="360" w:lineRule="auto"/>
              <w:ind w:left="0" w:leftChars="0" w:firstLine="420" w:firstLineChars="200"/>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本项目运营期废气主要为</w:t>
            </w:r>
            <w:r>
              <w:rPr>
                <w:rFonts w:hint="eastAsia"/>
                <w:vanish w:val="0"/>
                <w:color w:val="000000" w:themeColor="text1"/>
                <w:lang w:val="en-US" w:eastAsia="zh-CN"/>
                <w14:textFill>
                  <w14:solidFill>
                    <w14:schemeClr w14:val="tx1"/>
                  </w14:solidFill>
                </w14:textFill>
              </w:rPr>
              <w:t>本水厂管理人员的生活污水，项目水厂设置6名管理人员，不设食宿，水厂</w:t>
            </w:r>
            <w:r>
              <w:rPr>
                <w:rFonts w:hint="default" w:ascii="Times New Roman" w:hAnsi="Times New Roman" w:eastAsia="宋体" w:cs="Times New Roman"/>
                <w:bCs/>
                <w:vanish w:val="0"/>
                <w:color w:val="000000" w:themeColor="text1"/>
                <w:sz w:val="21"/>
                <w:szCs w:val="21"/>
                <w:lang w:eastAsia="zh-CN"/>
                <w14:textFill>
                  <w14:solidFill>
                    <w14:schemeClr w14:val="tx1"/>
                  </w14:solidFill>
                </w14:textFill>
              </w:rPr>
              <w:t>年运行</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365</w:t>
            </w:r>
            <w:r>
              <w:rPr>
                <w:rFonts w:hint="default" w:ascii="Times New Roman" w:hAnsi="Times New Roman" w:eastAsia="宋体" w:cs="Times New Roman"/>
                <w:bCs/>
                <w:vanish w:val="0"/>
                <w:color w:val="000000" w:themeColor="text1"/>
                <w:sz w:val="21"/>
                <w:szCs w:val="21"/>
                <w:lang w:val="en-US" w:eastAsia="zh-CN"/>
                <w14:textFill>
                  <w14:solidFill>
                    <w14:schemeClr w14:val="tx1"/>
                  </w14:solidFill>
                </w14:textFill>
              </w:rPr>
              <w:t>天，</w:t>
            </w:r>
            <w:r>
              <w:rPr>
                <w:rFonts w:hint="default" w:ascii="Times New Roman" w:hAnsi="Times New Roman" w:eastAsia="宋体" w:cs="Times New Roman"/>
                <w:vanish w:val="0"/>
                <w:color w:val="000000" w:themeColor="text1"/>
                <w:sz w:val="21"/>
                <w:szCs w:val="21"/>
                <w14:textFill>
                  <w14:solidFill>
                    <w14:schemeClr w14:val="tx1"/>
                  </w14:solidFill>
                </w14:textFill>
              </w:rPr>
              <w:t>用水量为</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0.21</w:t>
            </w:r>
            <w:r>
              <w:rPr>
                <w:rFonts w:hint="default" w:ascii="Times New Roman" w:hAnsi="Times New Roman" w:eastAsia="宋体" w:cs="Times New Roman"/>
                <w:vanish w:val="0"/>
                <w:color w:val="000000" w:themeColor="text1"/>
                <w:sz w:val="21"/>
                <w:szCs w:val="21"/>
                <w14:textFill>
                  <w14:solidFill>
                    <w14:schemeClr w14:val="tx1"/>
                  </w14:solidFill>
                </w14:textFill>
              </w:rPr>
              <w:t>m</w:t>
            </w:r>
            <w:r>
              <w:rPr>
                <w:rFonts w:hint="default" w:ascii="Times New Roman" w:hAnsi="Times New Roman" w:eastAsia="宋体" w:cs="Times New Roman"/>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vanish w:val="0"/>
                <w:color w:val="000000" w:themeColor="text1"/>
                <w:sz w:val="21"/>
                <w:szCs w:val="21"/>
                <w14:textFill>
                  <w14:solidFill>
                    <w14:schemeClr w14:val="tx1"/>
                  </w14:solidFill>
                </w14:textFill>
              </w:rPr>
              <w:t>/d</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76.65</w:t>
            </w:r>
            <w:r>
              <w:rPr>
                <w:rFonts w:hint="default" w:ascii="Times New Roman" w:hAnsi="Times New Roman" w:eastAsia="宋体" w:cs="Times New Roman"/>
                <w:vanish w:val="0"/>
                <w:color w:val="000000" w:themeColor="text1"/>
                <w:sz w:val="21"/>
                <w:szCs w:val="21"/>
                <w14:textFill>
                  <w14:solidFill>
                    <w14:schemeClr w14:val="tx1"/>
                  </w14:solidFill>
                </w14:textFill>
              </w:rPr>
              <w:t>m</w:t>
            </w:r>
            <w:r>
              <w:rPr>
                <w:rFonts w:hint="default" w:ascii="Times New Roman" w:hAnsi="Times New Roman" w:eastAsia="宋体" w:cs="Times New Roman"/>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vanish w:val="0"/>
                <w:color w:val="000000" w:themeColor="text1"/>
                <w:sz w:val="21"/>
                <w:szCs w:val="21"/>
                <w14:textFill>
                  <w14:solidFill>
                    <w14:schemeClr w14:val="tx1"/>
                  </w14:solidFill>
                </w14:textFill>
              </w:rPr>
              <w:t>/a</w:t>
            </w:r>
            <w:r>
              <w:rPr>
                <w:rFonts w:hint="eastAsia" w:ascii="Times New Roman" w:hAnsi="Times New Roman" w:eastAsia="宋体" w:cs="Times New Roman"/>
                <w:vanish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生活污水</w:t>
            </w:r>
            <w:r>
              <w:rPr>
                <w:rFonts w:hint="default" w:ascii="Times New Roman" w:hAnsi="Times New Roman" w:eastAsia="宋体" w:cs="Times New Roman"/>
                <w:bCs/>
                <w:vanish w:val="0"/>
                <w:color w:val="000000" w:themeColor="text1"/>
                <w:sz w:val="21"/>
                <w:szCs w:val="21"/>
                <w14:textFill>
                  <w14:solidFill>
                    <w14:schemeClr w14:val="tx1"/>
                  </w14:solidFill>
                </w14:textFill>
              </w:rPr>
              <w:t>产生量为</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0.168</w:t>
            </w:r>
            <w:r>
              <w:rPr>
                <w:rFonts w:hint="default" w:ascii="Times New Roman" w:hAnsi="Times New Roman" w:eastAsia="宋体" w:cs="Times New Roman"/>
                <w:bCs/>
                <w:vanish w:val="0"/>
                <w:color w:val="000000" w:themeColor="text1"/>
                <w:sz w:val="21"/>
                <w:szCs w:val="21"/>
                <w14:textFill>
                  <w14:solidFill>
                    <w14:schemeClr w14:val="tx1"/>
                  </w14:solidFill>
                </w14:textFill>
              </w:rPr>
              <w:t>m</w:t>
            </w:r>
            <w:r>
              <w:rPr>
                <w:rFonts w:hint="default" w:ascii="Times New Roman" w:hAnsi="Times New Roman" w:eastAsia="宋体" w:cs="Times New Roman"/>
                <w:bCs/>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vanish w:val="0"/>
                <w:color w:val="000000" w:themeColor="text1"/>
                <w:sz w:val="21"/>
                <w:szCs w:val="21"/>
                <w14:textFill>
                  <w14:solidFill>
                    <w14:schemeClr w14:val="tx1"/>
                  </w14:solidFill>
                </w14:textFill>
              </w:rPr>
              <w:t>/d</w:t>
            </w:r>
            <w:r>
              <w:rPr>
                <w:rFonts w:hint="default" w:ascii="Times New Roman" w:hAnsi="Times New Roman" w:eastAsia="宋体" w:cs="Times New Roman"/>
                <w:bCs/>
                <w:vanish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vanish w:val="0"/>
                <w:color w:val="000000" w:themeColor="text1"/>
                <w:sz w:val="21"/>
                <w:szCs w:val="21"/>
                <w:lang w:val="en-US" w:eastAsia="zh-CN"/>
                <w14:textFill>
                  <w14:solidFill>
                    <w14:schemeClr w14:val="tx1"/>
                  </w14:solidFill>
                </w14:textFill>
              </w:rPr>
              <w:t>561.32</w:t>
            </w:r>
            <w:r>
              <w:rPr>
                <w:rFonts w:hint="default" w:ascii="Times New Roman" w:hAnsi="Times New Roman" w:eastAsia="宋体" w:cs="Times New Roman"/>
                <w:bCs/>
                <w:vanish w:val="0"/>
                <w:color w:val="000000" w:themeColor="text1"/>
                <w:sz w:val="21"/>
                <w:szCs w:val="21"/>
                <w14:textFill>
                  <w14:solidFill>
                    <w14:schemeClr w14:val="tx1"/>
                  </w14:solidFill>
                </w14:textFill>
              </w:rPr>
              <w:t>m</w:t>
            </w:r>
            <w:r>
              <w:rPr>
                <w:rFonts w:hint="default" w:ascii="Times New Roman" w:hAnsi="Times New Roman" w:eastAsia="宋体" w:cs="Times New Roman"/>
                <w:bCs/>
                <w:vanish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vanish w:val="0"/>
                <w:color w:val="000000" w:themeColor="text1"/>
                <w:sz w:val="21"/>
                <w:szCs w:val="21"/>
                <w14:textFill>
                  <w14:solidFill>
                    <w14:schemeClr w14:val="tx1"/>
                  </w14:solidFill>
                </w14:textFill>
              </w:rPr>
              <w:t>/a</w:t>
            </w:r>
            <w:r>
              <w:rPr>
                <w:rFonts w:hint="default" w:ascii="Times New Roman" w:hAnsi="Times New Roman" w:eastAsia="宋体" w:cs="Times New Roman"/>
                <w:bCs/>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14:textFill>
                  <w14:solidFill>
                    <w14:schemeClr w14:val="tx1"/>
                  </w14:solidFill>
                </w14:textFill>
              </w:rPr>
              <w:t>。</w:t>
            </w:r>
          </w:p>
          <w:p w14:paraId="064EFC7F">
            <w:pPr>
              <w:pStyle w:val="15"/>
              <w:adjustRightInd w:val="0"/>
              <w:snapToGrid w:val="0"/>
              <w:spacing w:after="0" w:line="360" w:lineRule="auto"/>
              <w:ind w:left="0" w:leftChars="0" w:firstLine="420" w:firstLineChars="20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2、生活污水处置措施可行性</w:t>
            </w:r>
          </w:p>
          <w:p w14:paraId="192873D7">
            <w:pPr>
              <w:keepLines w:val="0"/>
              <w:pageBreakBefore w:val="0"/>
              <w:kinsoku/>
              <w:wordWrap/>
              <w:overflowPunct/>
              <w:topLinePunct/>
              <w:autoSpaceDE/>
              <w:autoSpaceDN/>
              <w:bidi w:val="0"/>
              <w:adjustRightInd w:val="0"/>
              <w:snapToGrid w:val="0"/>
              <w:spacing w:line="360" w:lineRule="auto"/>
              <w:ind w:left="0" w:leftChars="0" w:firstLine="420" w:firstLineChars="200"/>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水厂设置化粪池1座，容积2m</w:t>
            </w:r>
            <w:r>
              <w:rPr>
                <w:rFonts w:hint="eastAsia" w:ascii="Times New Roman" w:hAnsi="Times New Roman" w:eastAsia="宋体" w:cs="Times New Roman"/>
                <w:b w:val="0"/>
                <w:bCs w:val="0"/>
                <w:vanish w:val="0"/>
                <w:color w:val="000000" w:themeColor="text1"/>
                <w:kern w:val="2"/>
                <w:sz w:val="21"/>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，生活污水量仅占化粪池容积的8.4%，</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单次蓄满周期可容纳连续12天产生的全部生活污水，池体容积富余量大，不存在短时溢流、满溢风险</w:t>
            </w: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，污水在池内理论水力停留时间可达12d，远高于常规化粪池规范要求的12～24h最低停留标准，污水在池内沉降、厌氧发酵时间充足，固液分层效果更好，大幅提升粪便、悬浮物降解效率，降低上清液污染物浓度。</w:t>
            </w:r>
            <w:r>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水厂周边分布连片农用地、绿化植被，农田面积可完全消纳化粪池产生的少量粪污，单次清掏污泥量小，施用间隔周期长，土壤可充分吸附降解粪污养分，不会造成土壤氮磷累积、地下水浅层污染，消纳路径可持续、稳定。</w:t>
            </w:r>
          </w:p>
          <w:p w14:paraId="5E86D01C">
            <w:pPr>
              <w:pStyle w:val="15"/>
              <w:adjustRightInd w:val="0"/>
              <w:snapToGrid w:val="0"/>
              <w:spacing w:after="0" w:line="360" w:lineRule="auto"/>
              <w:ind w:left="0" w:leftChars="0" w:firstLine="420" w:firstLineChars="200"/>
              <w:rPr>
                <w:rFonts w:hint="eastAsia"/>
                <w:vanish w:val="0"/>
                <w:color w:val="000000" w:themeColor="text1"/>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因此，生活污水经化粪池处理后定期清掏用于周边农田施肥，不外排完全可行</w:t>
            </w:r>
            <w:r>
              <w:rPr>
                <w:rFonts w:hint="eastAsia"/>
                <w:vanish w:val="0"/>
                <w:color w:val="000000" w:themeColor="text1"/>
                <w14:textFill>
                  <w14:solidFill>
                    <w14:schemeClr w14:val="tx1"/>
                  </w14:solidFill>
                </w14:textFill>
              </w:rPr>
              <w:t>。</w:t>
            </w:r>
          </w:p>
          <w:p w14:paraId="7443EEAB">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三、噪声环境影响</w:t>
            </w: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和保护措施</w:t>
            </w:r>
          </w:p>
          <w:p w14:paraId="7B8905D4">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1、噪声源强</w:t>
            </w:r>
          </w:p>
          <w:p w14:paraId="79182591">
            <w:pPr>
              <w:spacing w:line="360" w:lineRule="auto"/>
              <w:ind w:firstLine="420" w:firstLineChars="200"/>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本项目运营期主要噪声源为</w:t>
            </w:r>
            <w:r>
              <w:rPr>
                <w:rFonts w:hint="eastAsia" w:cs="Times New Roman"/>
                <w:vanish w:val="0"/>
                <w:color w:val="000000" w:themeColor="text1"/>
                <w:sz w:val="21"/>
                <w:szCs w:val="21"/>
                <w:highlight w:val="none"/>
                <w:lang w:val="en-US" w:eastAsia="zh-CN"/>
                <w14:textFill>
                  <w14:solidFill>
                    <w14:schemeClr w14:val="tx1"/>
                  </w14:solidFill>
                </w14:textFill>
              </w:rPr>
              <w:t>水泵</w:t>
            </w:r>
            <w:r>
              <w:rPr>
                <w:rFonts w:hint="default" w:ascii="Times New Roman" w:hAnsi="Times New Roman" w:cs="Times New Roman"/>
                <w:vanish w:val="0"/>
                <w:color w:val="000000" w:themeColor="text1"/>
                <w:sz w:val="21"/>
                <w:szCs w:val="21"/>
                <w:highlight w:val="none"/>
                <w14:textFill>
                  <w14:solidFill>
                    <w14:schemeClr w14:val="tx1"/>
                  </w14:solidFill>
                </w14:textFill>
              </w:rPr>
              <w:t>等各种机械设备运行过程中产生的</w:t>
            </w:r>
            <w:r>
              <w:rPr>
                <w:rFonts w:hint="default" w:ascii="Times New Roman" w:hAnsi="Times New Roman" w:cs="Times New Roman"/>
                <w:snapToGrid w:val="0"/>
                <w:vanish w:val="0"/>
                <w:color w:val="000000" w:themeColor="text1"/>
                <w:kern w:val="0"/>
                <w:sz w:val="21"/>
                <w:szCs w:val="21"/>
                <w:highlight w:val="none"/>
                <w14:textFill>
                  <w14:solidFill>
                    <w14:schemeClr w14:val="tx1"/>
                  </w14:solidFill>
                </w14:textFill>
              </w:rPr>
              <w:t>机械噪声。</w:t>
            </w:r>
            <w:r>
              <w:rPr>
                <w:rFonts w:hint="default" w:ascii="Times New Roman" w:hAnsi="Times New Roman" w:cs="Times New Roman"/>
                <w:vanish w:val="0"/>
                <w:color w:val="000000" w:themeColor="text1"/>
                <w:sz w:val="21"/>
                <w:szCs w:val="21"/>
                <w:highlight w:val="none"/>
                <w14:textFill>
                  <w14:solidFill>
                    <w14:schemeClr w14:val="tx1"/>
                  </w14:solidFill>
                </w14:textFill>
              </w:rPr>
              <w:t>项目单台设备噪声源声功率级为</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75</w:t>
            </w:r>
            <w:r>
              <w:rPr>
                <w:rFonts w:hint="default" w:ascii="Times New Roman" w:hAnsi="Times New Roman" w:cs="Times New Roman"/>
                <w:vanish w:val="0"/>
                <w:color w:val="000000" w:themeColor="text1"/>
                <w:sz w:val="21"/>
                <w:szCs w:val="21"/>
                <w:highlight w:val="none"/>
                <w14:textFill>
                  <w14:solidFill>
                    <w14:schemeClr w14:val="tx1"/>
                  </w14:solidFill>
                </w14:textFill>
              </w:rPr>
              <w:t>dB（A）~</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85</w:t>
            </w:r>
            <w:r>
              <w:rPr>
                <w:rFonts w:hint="default" w:ascii="Times New Roman" w:hAnsi="Times New Roman" w:cs="Times New Roman"/>
                <w:vanish w:val="0"/>
                <w:color w:val="000000" w:themeColor="text1"/>
                <w:sz w:val="21"/>
                <w:szCs w:val="21"/>
                <w:highlight w:val="none"/>
                <w14:textFill>
                  <w14:solidFill>
                    <w14:schemeClr w14:val="tx1"/>
                  </w14:solidFill>
                </w14:textFill>
              </w:rPr>
              <w:t>dB（A）。</w:t>
            </w:r>
          </w:p>
          <w:p w14:paraId="5EF578E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bCs/>
                <w:vanish w:val="0"/>
                <w:color w:val="000000" w:themeColor="text1"/>
                <w:sz w:val="21"/>
                <w:szCs w:val="21"/>
                <w:highlight w:val="none"/>
                <w:lang w:val="en-US" w:eastAsia="zh-CN"/>
                <w14:textFill>
                  <w14:solidFill>
                    <w14:schemeClr w14:val="tx1"/>
                  </w14:solidFill>
                </w14:textFill>
              </w:rPr>
              <w:t>根据</w:t>
            </w:r>
            <w:r>
              <w:rPr>
                <w:rFonts w:hint="default" w:ascii="Times New Roman" w:hAnsi="Times New Roman" w:cs="Times New Roman"/>
                <w:bCs/>
                <w:vanish w:val="0"/>
                <w:color w:val="000000" w:themeColor="text1"/>
                <w:sz w:val="21"/>
                <w:szCs w:val="21"/>
                <w:highlight w:val="none"/>
                <w14:textFill>
                  <w14:solidFill>
                    <w14:schemeClr w14:val="tx1"/>
                  </w14:solidFill>
                </w14:textFill>
              </w:rPr>
              <w:t>《环境影响评价技术导则 声环境》（HJ2.4—20</w:t>
            </w:r>
            <w:r>
              <w:rPr>
                <w:rFonts w:hint="default" w:ascii="Times New Roman" w:hAnsi="Times New Roman" w:cs="Times New Roman"/>
                <w:bCs/>
                <w:vanish w:val="0"/>
                <w:color w:val="000000" w:themeColor="text1"/>
                <w:sz w:val="21"/>
                <w:szCs w:val="21"/>
                <w:highlight w:val="none"/>
                <w:lang w:val="en-US" w:eastAsia="zh-CN"/>
                <w14:textFill>
                  <w14:solidFill>
                    <w14:schemeClr w14:val="tx1"/>
                  </w14:solidFill>
                </w14:textFill>
              </w:rPr>
              <w:t>21</w:t>
            </w:r>
            <w:r>
              <w:rPr>
                <w:rFonts w:hint="default" w:ascii="Times New Roman" w:hAnsi="Times New Roman" w:cs="Times New Roman"/>
                <w:bCs/>
                <w:vanish w:val="0"/>
                <w:color w:val="000000" w:themeColor="text1"/>
                <w:sz w:val="21"/>
                <w:szCs w:val="21"/>
                <w:highlight w:val="none"/>
                <w14:textFill>
                  <w14:solidFill>
                    <w14:schemeClr w14:val="tx1"/>
                  </w14:solidFill>
                </w14:textFill>
              </w:rPr>
              <w:t>）</w:t>
            </w:r>
            <w:r>
              <w:rPr>
                <w:rFonts w:hint="default" w:ascii="Times New Roman" w:hAnsi="Times New Roman" w:cs="Times New Roman"/>
                <w:bCs/>
                <w:vanish w:val="0"/>
                <w:color w:val="000000" w:themeColor="text1"/>
                <w:sz w:val="21"/>
                <w:szCs w:val="21"/>
                <w:highlight w:val="none"/>
                <w:lang w:val="en-US" w:eastAsia="zh-CN"/>
                <w14:textFill>
                  <w14:solidFill>
                    <w14:schemeClr w14:val="tx1"/>
                  </w14:solidFill>
                </w14:textFill>
              </w:rPr>
              <w:t>中附录D的推荐表格进行声源调查，以</w:t>
            </w:r>
            <w:r>
              <w:rPr>
                <w:rFonts w:hint="eastAsia" w:ascii="Times New Roman" w:hAnsi="Times New Roman" w:cs="Times New Roman"/>
                <w:bCs/>
                <w:vanish w:val="0"/>
                <w:color w:val="000000" w:themeColor="text1"/>
                <w:sz w:val="21"/>
                <w:szCs w:val="21"/>
                <w:highlight w:val="none"/>
                <w:lang w:val="en-US" w:eastAsia="zh-CN"/>
                <w14:textFill>
                  <w14:solidFill>
                    <w14:schemeClr w14:val="tx1"/>
                  </w14:solidFill>
                </w14:textFill>
              </w:rPr>
              <w:t>净化水厂</w:t>
            </w:r>
            <w:r>
              <w:rPr>
                <w:rFonts w:hint="default" w:ascii="Times New Roman" w:hAnsi="Times New Roman" w:cs="Times New Roman"/>
                <w:bCs/>
                <w:vanish w:val="0"/>
                <w:color w:val="000000" w:themeColor="text1"/>
                <w:sz w:val="21"/>
                <w:szCs w:val="21"/>
                <w:highlight w:val="none"/>
                <w:lang w:val="en-US" w:eastAsia="zh-CN"/>
                <w14:textFill>
                  <w14:solidFill>
                    <w14:schemeClr w14:val="tx1"/>
                  </w14:solidFill>
                </w14:textFill>
              </w:rPr>
              <w:t>西南角为坐标原点建立坐标系，</w:t>
            </w:r>
            <w:r>
              <w:rPr>
                <w:rFonts w:hint="default" w:ascii="Times New Roman" w:hAnsi="Times New Roman" w:cs="Times New Roman"/>
                <w:vanish w:val="0"/>
                <w:color w:val="000000" w:themeColor="text1"/>
                <w:sz w:val="21"/>
                <w:szCs w:val="21"/>
                <w:highlight w:val="none"/>
                <w14:textFill>
                  <w14:solidFill>
                    <w14:schemeClr w14:val="tx1"/>
                  </w14:solidFill>
                </w14:textFill>
              </w:rPr>
              <w:t>各声源声级值详见</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下</w:t>
            </w:r>
            <w:r>
              <w:rPr>
                <w:rFonts w:hint="default" w:ascii="Times New Roman" w:hAnsi="Times New Roman" w:cs="Times New Roman"/>
                <w:vanish w:val="0"/>
                <w:color w:val="000000" w:themeColor="text1"/>
                <w:sz w:val="21"/>
                <w:szCs w:val="21"/>
                <w:highlight w:val="none"/>
                <w14:textFill>
                  <w14:solidFill>
                    <w14:schemeClr w14:val="tx1"/>
                  </w14:solidFill>
                </w14:textFill>
              </w:rPr>
              <w:t>表。</w:t>
            </w:r>
          </w:p>
          <w:p w14:paraId="20870B9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nish w:val="0"/>
                <w:color w:val="000000" w:themeColor="text1"/>
                <w:sz w:val="21"/>
                <w:szCs w:val="21"/>
                <w:highlight w:val="none"/>
                <w14:textFill>
                  <w14:solidFill>
                    <w14:schemeClr w14:val="tx1"/>
                  </w14:solidFill>
                </w14:textFill>
              </w:rPr>
              <w:t>表4-</w:t>
            </w:r>
            <w:r>
              <w:rPr>
                <w:rFonts w:hint="eastAsia" w:ascii="Times New Roman" w:hAnsi="Times New Roman" w:cs="Times New Roman"/>
                <w:b/>
                <w:vanish w:val="0"/>
                <w:color w:val="000000" w:themeColor="text1"/>
                <w:sz w:val="21"/>
                <w:szCs w:val="21"/>
                <w:highlight w:val="none"/>
                <w:lang w:val="en-US" w:eastAsia="zh-CN"/>
                <w14:textFill>
                  <w14:solidFill>
                    <w14:schemeClr w14:val="tx1"/>
                  </w14:solidFill>
                </w14:textFill>
              </w:rPr>
              <w:t>12</w:t>
            </w:r>
            <w:r>
              <w:rPr>
                <w:rFonts w:hint="default" w:ascii="Times New Roman" w:hAnsi="Times New Roman" w:cs="Times New Roman"/>
                <w:b/>
                <w:vanish w:val="0"/>
                <w:color w:val="000000" w:themeColor="text1"/>
                <w:sz w:val="21"/>
                <w:szCs w:val="21"/>
                <w:highlight w:val="none"/>
                <w14:textFill>
                  <w14:solidFill>
                    <w14:schemeClr w14:val="tx1"/>
                  </w14:solidFill>
                </w14:textFill>
              </w:rPr>
              <w:t xml:space="preserve">  噪声源声级值</w:t>
            </w:r>
            <w:r>
              <w:rPr>
                <w:rFonts w:hint="default" w:ascii="Times New Roman" w:hAnsi="Times New Roman" w:cs="Times New Roman"/>
                <w:b/>
                <w:vanish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vanish w:val="0"/>
                <w:color w:val="000000" w:themeColor="text1"/>
                <w:sz w:val="21"/>
                <w:szCs w:val="21"/>
                <w:highlight w:val="none"/>
                <w:lang w:val="en-US" w:eastAsia="zh-CN"/>
                <w14:textFill>
                  <w14:solidFill>
                    <w14:schemeClr w14:val="tx1"/>
                  </w14:solidFill>
                </w14:textFill>
              </w:rPr>
              <w:t>室内声源</w:t>
            </w:r>
            <w:r>
              <w:rPr>
                <w:rFonts w:hint="default" w:ascii="Times New Roman" w:hAnsi="Times New Roman" w:cs="Times New Roman"/>
                <w:b/>
                <w:vanish w:val="0"/>
                <w:color w:val="000000" w:themeColor="text1"/>
                <w:sz w:val="21"/>
                <w:szCs w:val="21"/>
                <w:highlight w:val="none"/>
                <w:lang w:eastAsia="zh-CN"/>
                <w14:textFill>
                  <w14:solidFill>
                    <w14:schemeClr w14:val="tx1"/>
                  </w14:solidFill>
                </w14:textFill>
              </w:rPr>
              <w:t>）</w:t>
            </w:r>
          </w:p>
          <w:tbl>
            <w:tblPr>
              <w:tblStyle w:val="23"/>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25"/>
              <w:gridCol w:w="482"/>
              <w:gridCol w:w="950"/>
              <w:gridCol w:w="745"/>
              <w:gridCol w:w="848"/>
              <w:gridCol w:w="380"/>
              <w:gridCol w:w="398"/>
              <w:gridCol w:w="399"/>
              <w:gridCol w:w="490"/>
              <w:gridCol w:w="490"/>
              <w:gridCol w:w="582"/>
              <w:gridCol w:w="583"/>
              <w:gridCol w:w="683"/>
              <w:gridCol w:w="607"/>
            </w:tblGrid>
            <w:tr w14:paraId="65A8B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hidden/>
              </w:trPr>
              <w:tc>
                <w:tcPr>
                  <w:tcW w:w="264" w:type="pct"/>
                  <w:vMerge w:val="restart"/>
                  <w:tcBorders>
                    <w:tl2br w:val="nil"/>
                    <w:tr2bl w:val="nil"/>
                  </w:tcBorders>
                  <w:noWrap w:val="0"/>
                  <w:vAlign w:val="center"/>
                </w:tcPr>
                <w:p w14:paraId="4D538360">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序号</w:t>
                  </w:r>
                </w:p>
              </w:tc>
              <w:tc>
                <w:tcPr>
                  <w:tcW w:w="299" w:type="pct"/>
                  <w:vMerge w:val="restart"/>
                  <w:tcBorders>
                    <w:tl2br w:val="nil"/>
                    <w:tr2bl w:val="nil"/>
                  </w:tcBorders>
                  <w:noWrap w:val="0"/>
                  <w:vAlign w:val="center"/>
                </w:tcPr>
                <w:p w14:paraId="7A9D7730">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建筑物名称</w:t>
                  </w:r>
                </w:p>
              </w:tc>
              <w:tc>
                <w:tcPr>
                  <w:tcW w:w="589" w:type="pct"/>
                  <w:vMerge w:val="restart"/>
                  <w:tcBorders>
                    <w:tl2br w:val="nil"/>
                    <w:tr2bl w:val="nil"/>
                  </w:tcBorders>
                  <w:noWrap w:val="0"/>
                  <w:vAlign w:val="center"/>
                </w:tcPr>
                <w:p w14:paraId="28F5A73A">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声源名称</w:t>
                  </w:r>
                </w:p>
              </w:tc>
              <w:tc>
                <w:tcPr>
                  <w:tcW w:w="462" w:type="pct"/>
                  <w:vMerge w:val="restart"/>
                  <w:tcBorders>
                    <w:tl2br w:val="nil"/>
                    <w:tr2bl w:val="nil"/>
                  </w:tcBorders>
                  <w:noWrap w:val="0"/>
                  <w:vAlign w:val="center"/>
                </w:tcPr>
                <w:p w14:paraId="65839C59">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声功率级</w:t>
                  </w:r>
                </w:p>
                <w:p w14:paraId="13E8C2C4">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/dB</w:t>
                  </w:r>
                  <w:r>
                    <w:rPr>
                      <w:rFonts w:hint="eastAsia" w:ascii="Times New Roman" w:hAnsi="Times New Roman" w:cs="Times New Roman"/>
                      <w:vanish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14:textFill>
                        <w14:solidFill>
                          <w14:schemeClr w14:val="tx1"/>
                        </w14:solidFill>
                      </w14:textFill>
                    </w:rPr>
                    <w:t>A</w:t>
                  </w:r>
                  <w:r>
                    <w:rPr>
                      <w:rFonts w:hint="eastAsia" w:ascii="Times New Roman" w:hAnsi="Times New Roman" w:cs="Times New Roman"/>
                      <w:vanish w:val="0"/>
                      <w:color w:val="000000" w:themeColor="text1"/>
                      <w:sz w:val="21"/>
                      <w:szCs w:val="21"/>
                      <w:highlight w:val="none"/>
                      <w:lang w:eastAsia="zh-CN"/>
                      <w14:textFill>
                        <w14:solidFill>
                          <w14:schemeClr w14:val="tx1"/>
                        </w14:solidFill>
                      </w14:textFill>
                    </w:rPr>
                    <w:t>）</w:t>
                  </w:r>
                </w:p>
              </w:tc>
              <w:tc>
                <w:tcPr>
                  <w:tcW w:w="526" w:type="pct"/>
                  <w:vMerge w:val="restart"/>
                  <w:tcBorders>
                    <w:tl2br w:val="nil"/>
                    <w:tr2bl w:val="nil"/>
                  </w:tcBorders>
                  <w:noWrap w:val="0"/>
                  <w:vAlign w:val="center"/>
                </w:tcPr>
                <w:p w14:paraId="5E67208A">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声源控制措施</w:t>
                  </w:r>
                </w:p>
              </w:tc>
              <w:tc>
                <w:tcPr>
                  <w:tcW w:w="731" w:type="pct"/>
                  <w:gridSpan w:val="3"/>
                  <w:tcBorders>
                    <w:tl2br w:val="nil"/>
                    <w:tr2bl w:val="nil"/>
                  </w:tcBorders>
                  <w:noWrap w:val="0"/>
                  <w:vAlign w:val="center"/>
                </w:tcPr>
                <w:p w14:paraId="4D7B0AD1">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空间相对位置</w:t>
                  </w:r>
                  <w:r>
                    <w:rPr>
                      <w:rFonts w:hint="default" w:ascii="Times New Roman" w:hAnsi="Times New Roman" w:eastAsia="Times New Roman" w:cs="Times New Roman"/>
                      <w:vanish w:val="0"/>
                      <w:color w:val="000000" w:themeColor="text1"/>
                      <w:sz w:val="21"/>
                      <w:szCs w:val="21"/>
                      <w:highlight w:val="none"/>
                      <w14:textFill>
                        <w14:solidFill>
                          <w14:schemeClr w14:val="tx1"/>
                        </w14:solidFill>
                      </w14:textFill>
                    </w:rPr>
                    <w:t>/m</w:t>
                  </w:r>
                </w:p>
              </w:tc>
              <w:tc>
                <w:tcPr>
                  <w:tcW w:w="304" w:type="pct"/>
                  <w:vMerge w:val="restart"/>
                  <w:tcBorders>
                    <w:tl2br w:val="nil"/>
                    <w:tr2bl w:val="nil"/>
                  </w:tcBorders>
                  <w:noWrap w:val="0"/>
                  <w:vAlign w:val="center"/>
                </w:tcPr>
                <w:p w14:paraId="5CF1094F">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运行时段</w:t>
                  </w:r>
                </w:p>
              </w:tc>
              <w:tc>
                <w:tcPr>
                  <w:tcW w:w="304" w:type="pct"/>
                  <w:vMerge w:val="restart"/>
                  <w:tcBorders>
                    <w:tl2br w:val="nil"/>
                    <w:tr2bl w:val="nil"/>
                  </w:tcBorders>
                  <w:noWrap w:val="0"/>
                  <w:vAlign w:val="center"/>
                </w:tcPr>
                <w:p w14:paraId="2F5F3FEA">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firstLine="0" w:firstLineChars="0"/>
                    <w:jc w:val="center"/>
                    <w:textAlignment w:val="auto"/>
                    <w:rPr>
                      <w:rFonts w:hint="default" w:ascii="Times New Roman" w:hAnsi="Times New Roman" w:cs="Times New Roman"/>
                      <w:vanish w:val="0"/>
                      <w:color w:val="000000" w:themeColor="text1"/>
                      <w:highlight w:val="none"/>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距室内边</w:t>
                  </w:r>
                </w:p>
                <w:p w14:paraId="1FDC7A95">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界距离</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/m</w:t>
                  </w:r>
                </w:p>
              </w:tc>
              <w:tc>
                <w:tcPr>
                  <w:tcW w:w="358" w:type="pct"/>
                  <w:vMerge w:val="restart"/>
                  <w:tcBorders>
                    <w:tl2br w:val="nil"/>
                    <w:tr2bl w:val="nil"/>
                  </w:tcBorders>
                  <w:noWrap w:val="0"/>
                  <w:vAlign w:val="center"/>
                </w:tcPr>
                <w:p w14:paraId="285916D8">
                  <w:pPr>
                    <w:keepNext w:val="0"/>
                    <w:keepLines w:val="0"/>
                    <w:pageBreakBefore w:val="0"/>
                    <w:widowControl/>
                    <w:suppressLineNumbers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室内边界声级</w:t>
                  </w:r>
                </w:p>
                <w:p w14:paraId="0B15AB39">
                  <w:pPr>
                    <w:keepNext w:val="0"/>
                    <w:keepLines w:val="0"/>
                    <w:pageBreakBefore w:val="0"/>
                    <w:widowControl/>
                    <w:suppressLineNumbers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/dB（A）</w:t>
                  </w:r>
                </w:p>
              </w:tc>
              <w:tc>
                <w:tcPr>
                  <w:tcW w:w="358" w:type="pct"/>
                  <w:vMerge w:val="restart"/>
                  <w:tcBorders>
                    <w:tl2br w:val="nil"/>
                    <w:tr2bl w:val="nil"/>
                  </w:tcBorders>
                  <w:noWrap w:val="0"/>
                  <w:vAlign w:val="center"/>
                </w:tcPr>
                <w:p w14:paraId="57C3BCCE">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firstLine="0" w:firstLineChars="0"/>
                    <w:jc w:val="center"/>
                    <w:textAlignment w:val="auto"/>
                    <w:rPr>
                      <w:rFonts w:hint="default" w:ascii="Times New Roman" w:hAnsi="Times New Roman" w:cs="Times New Roman"/>
                      <w:vanish w:val="0"/>
                      <w:color w:val="000000" w:themeColor="text1"/>
                      <w:highlight w:val="none"/>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建筑物插</w:t>
                  </w:r>
                </w:p>
                <w:p w14:paraId="547F342F">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入损失</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p>
                <w:p w14:paraId="2D65F4BB">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dB（A）</w:t>
                  </w:r>
                </w:p>
              </w:tc>
              <w:tc>
                <w:tcPr>
                  <w:tcW w:w="799" w:type="pct"/>
                  <w:gridSpan w:val="2"/>
                  <w:tcBorders>
                    <w:tl2br w:val="nil"/>
                    <w:tr2bl w:val="nil"/>
                  </w:tcBorders>
                  <w:noWrap w:val="0"/>
                  <w:vAlign w:val="center"/>
                </w:tcPr>
                <w:p w14:paraId="766153EA">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建筑物外噪声</w:t>
                  </w:r>
                </w:p>
              </w:tc>
            </w:tr>
            <w:tr w14:paraId="4D9CF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3" w:hRule="atLeast"/>
                <w:hidden/>
              </w:trPr>
              <w:tc>
                <w:tcPr>
                  <w:tcW w:w="264" w:type="pct"/>
                  <w:vMerge w:val="continue"/>
                  <w:tcBorders>
                    <w:tl2br w:val="nil"/>
                    <w:tr2bl w:val="nil"/>
                  </w:tcBorders>
                  <w:noWrap w:val="0"/>
                  <w:vAlign w:val="center"/>
                </w:tcPr>
                <w:p w14:paraId="770ED5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299" w:type="pct"/>
                  <w:vMerge w:val="continue"/>
                  <w:tcBorders>
                    <w:tl2br w:val="nil"/>
                    <w:tr2bl w:val="nil"/>
                  </w:tcBorders>
                  <w:noWrap w:val="0"/>
                  <w:vAlign w:val="center"/>
                </w:tcPr>
                <w:p w14:paraId="3075FC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589" w:type="pct"/>
                  <w:vMerge w:val="continue"/>
                  <w:tcBorders>
                    <w:tl2br w:val="nil"/>
                    <w:tr2bl w:val="nil"/>
                  </w:tcBorders>
                  <w:noWrap w:val="0"/>
                  <w:vAlign w:val="center"/>
                </w:tcPr>
                <w:p w14:paraId="30F419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462" w:type="pct"/>
                  <w:vMerge w:val="continue"/>
                  <w:tcBorders>
                    <w:tl2br w:val="nil"/>
                    <w:tr2bl w:val="nil"/>
                  </w:tcBorders>
                  <w:noWrap w:val="0"/>
                  <w:vAlign w:val="center"/>
                </w:tcPr>
                <w:p w14:paraId="5064AE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526" w:type="pct"/>
                  <w:vMerge w:val="continue"/>
                  <w:tcBorders>
                    <w:tl2br w:val="nil"/>
                    <w:tr2bl w:val="nil"/>
                  </w:tcBorders>
                  <w:noWrap w:val="0"/>
                  <w:vAlign w:val="center"/>
                </w:tcPr>
                <w:p w14:paraId="0D3EEE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236" w:type="pct"/>
                  <w:tcBorders>
                    <w:tl2br w:val="nil"/>
                    <w:tr2bl w:val="nil"/>
                  </w:tcBorders>
                  <w:noWrap w:val="0"/>
                  <w:vAlign w:val="center"/>
                </w:tcPr>
                <w:p w14:paraId="57CBD411">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i/>
                      <w:vanish w:val="0"/>
                      <w:color w:val="000000" w:themeColor="text1"/>
                      <w:sz w:val="21"/>
                      <w:szCs w:val="21"/>
                      <w:highlight w:val="none"/>
                      <w14:textFill>
                        <w14:solidFill>
                          <w14:schemeClr w14:val="tx1"/>
                        </w14:solidFill>
                      </w14:textFill>
                    </w:rPr>
                  </w:pPr>
                  <w:r>
                    <w:rPr>
                      <w:rFonts w:hint="default" w:ascii="Times New Roman" w:hAnsi="Times New Roman" w:cs="Times New Roman"/>
                      <w:i/>
                      <w:vanish w:val="0"/>
                      <w:color w:val="000000" w:themeColor="text1"/>
                      <w:sz w:val="21"/>
                      <w:szCs w:val="21"/>
                      <w:highlight w:val="none"/>
                      <w14:textFill>
                        <w14:solidFill>
                          <w14:schemeClr w14:val="tx1"/>
                        </w14:solidFill>
                      </w14:textFill>
                    </w:rPr>
                    <w:t>X</w:t>
                  </w:r>
                </w:p>
              </w:tc>
              <w:tc>
                <w:tcPr>
                  <w:tcW w:w="247" w:type="pct"/>
                  <w:tcBorders>
                    <w:tl2br w:val="nil"/>
                    <w:tr2bl w:val="nil"/>
                  </w:tcBorders>
                  <w:noWrap w:val="0"/>
                  <w:vAlign w:val="center"/>
                </w:tcPr>
                <w:p w14:paraId="412850A8">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i/>
                      <w:vanish w:val="0"/>
                      <w:color w:val="000000" w:themeColor="text1"/>
                      <w:sz w:val="21"/>
                      <w:szCs w:val="21"/>
                      <w:highlight w:val="none"/>
                      <w14:textFill>
                        <w14:solidFill>
                          <w14:schemeClr w14:val="tx1"/>
                        </w14:solidFill>
                      </w14:textFill>
                    </w:rPr>
                  </w:pPr>
                  <w:r>
                    <w:rPr>
                      <w:rFonts w:hint="default" w:ascii="Times New Roman" w:hAnsi="Times New Roman" w:cs="Times New Roman"/>
                      <w:i/>
                      <w:vanish w:val="0"/>
                      <w:color w:val="000000" w:themeColor="text1"/>
                      <w:sz w:val="21"/>
                      <w:szCs w:val="21"/>
                      <w:highlight w:val="none"/>
                      <w14:textFill>
                        <w14:solidFill>
                          <w14:schemeClr w14:val="tx1"/>
                        </w14:solidFill>
                      </w14:textFill>
                    </w:rPr>
                    <w:t>Y</w:t>
                  </w:r>
                </w:p>
              </w:tc>
              <w:tc>
                <w:tcPr>
                  <w:tcW w:w="248" w:type="pct"/>
                  <w:tcBorders>
                    <w:tl2br w:val="nil"/>
                    <w:tr2bl w:val="nil"/>
                  </w:tcBorders>
                  <w:noWrap w:val="0"/>
                  <w:vAlign w:val="center"/>
                </w:tcPr>
                <w:p w14:paraId="6C21E433">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i/>
                      <w:vanish w:val="0"/>
                      <w:color w:val="000000" w:themeColor="text1"/>
                      <w:sz w:val="21"/>
                      <w:szCs w:val="21"/>
                      <w:highlight w:val="none"/>
                      <w14:textFill>
                        <w14:solidFill>
                          <w14:schemeClr w14:val="tx1"/>
                        </w14:solidFill>
                      </w14:textFill>
                    </w:rPr>
                  </w:pPr>
                  <w:r>
                    <w:rPr>
                      <w:rFonts w:hint="default" w:ascii="Times New Roman" w:hAnsi="Times New Roman" w:cs="Times New Roman"/>
                      <w:i/>
                      <w:vanish w:val="0"/>
                      <w:color w:val="000000" w:themeColor="text1"/>
                      <w:sz w:val="21"/>
                      <w:szCs w:val="21"/>
                      <w:highlight w:val="none"/>
                      <w14:textFill>
                        <w14:solidFill>
                          <w14:schemeClr w14:val="tx1"/>
                        </w14:solidFill>
                      </w14:textFill>
                    </w:rPr>
                    <w:t>Z</w:t>
                  </w:r>
                </w:p>
              </w:tc>
              <w:tc>
                <w:tcPr>
                  <w:tcW w:w="304" w:type="pct"/>
                  <w:vMerge w:val="continue"/>
                  <w:tcBorders>
                    <w:tl2br w:val="nil"/>
                    <w:tr2bl w:val="nil"/>
                  </w:tcBorders>
                  <w:noWrap w:val="0"/>
                  <w:vAlign w:val="center"/>
                </w:tcPr>
                <w:p w14:paraId="3030BE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304" w:type="pct"/>
                  <w:vMerge w:val="continue"/>
                  <w:tcBorders>
                    <w:tl2br w:val="nil"/>
                    <w:tr2bl w:val="nil"/>
                  </w:tcBorders>
                  <w:noWrap w:val="0"/>
                  <w:vAlign w:val="center"/>
                </w:tcPr>
                <w:p w14:paraId="3720E5D6">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358" w:type="pct"/>
                  <w:vMerge w:val="continue"/>
                  <w:tcBorders>
                    <w:tl2br w:val="nil"/>
                    <w:tr2bl w:val="nil"/>
                  </w:tcBorders>
                  <w:noWrap w:val="0"/>
                  <w:vAlign w:val="center"/>
                </w:tcPr>
                <w:p w14:paraId="666BBEA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358" w:type="pct"/>
                  <w:vMerge w:val="continue"/>
                  <w:tcBorders>
                    <w:tl2br w:val="nil"/>
                    <w:tr2bl w:val="nil"/>
                  </w:tcBorders>
                  <w:noWrap w:val="0"/>
                  <w:vAlign w:val="center"/>
                </w:tcPr>
                <w:p w14:paraId="05718C37">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423" w:type="pct"/>
                  <w:tcBorders>
                    <w:tl2br w:val="nil"/>
                    <w:tr2bl w:val="nil"/>
                  </w:tcBorders>
                  <w:noWrap w:val="0"/>
                  <w:vAlign w:val="center"/>
                </w:tcPr>
                <w:p w14:paraId="31AC7407">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firstLine="0" w:firstLineChars="0"/>
                    <w:jc w:val="center"/>
                    <w:textAlignment w:val="auto"/>
                    <w:rPr>
                      <w:rFonts w:hint="default" w:ascii="Times New Roman" w:hAnsi="Times New Roman" w:cs="Times New Roman"/>
                      <w:vanish w:val="0"/>
                      <w:color w:val="000000" w:themeColor="text1"/>
                      <w:highlight w:val="none"/>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声压级</w:t>
                  </w:r>
                </w:p>
                <w:p w14:paraId="6F320048">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dB（A）</w:t>
                  </w:r>
                </w:p>
              </w:tc>
              <w:tc>
                <w:tcPr>
                  <w:tcW w:w="375" w:type="pct"/>
                  <w:tcBorders>
                    <w:tl2br w:val="nil"/>
                    <w:tr2bl w:val="nil"/>
                  </w:tcBorders>
                  <w:noWrap w:val="0"/>
                  <w:vAlign w:val="center"/>
                </w:tcPr>
                <w:p w14:paraId="63399CB6">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firstLine="0" w:firstLineChars="0"/>
                    <w:jc w:val="center"/>
                    <w:textAlignment w:val="auto"/>
                    <w:rPr>
                      <w:rFonts w:hint="default" w:ascii="Times New Roman" w:hAnsi="Times New Roman" w:cs="Times New Roman"/>
                      <w:vanish w:val="0"/>
                      <w:color w:val="000000" w:themeColor="text1"/>
                      <w:highlight w:val="none"/>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建筑物外</w:t>
                  </w:r>
                </w:p>
                <w:p w14:paraId="7BF37D82">
                  <w:pPr>
                    <w:keepNext w:val="0"/>
                    <w:keepLines w:val="0"/>
                    <w:pageBreakBefore w:val="0"/>
                    <w:widowControl/>
                    <w:suppressLineNumbers w:val="0"/>
                    <w:kinsoku/>
                    <w:wordWrap/>
                    <w:overflowPunct/>
                    <w:topLinePunct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新宋体" w:cs="Times New Roman"/>
                      <w:vanish w:val="0"/>
                      <w:color w:val="000000" w:themeColor="text1"/>
                      <w:kern w:val="0"/>
                      <w:sz w:val="21"/>
                      <w:szCs w:val="21"/>
                      <w:highlight w:val="none"/>
                      <w:lang w:val="en-US" w:eastAsia="zh-CN" w:bidi="ar"/>
                      <w14:textFill>
                        <w14:solidFill>
                          <w14:schemeClr w14:val="tx1"/>
                        </w14:solidFill>
                      </w14:textFill>
                    </w:rPr>
                    <w:t>距离</w:t>
                  </w:r>
                </w:p>
              </w:tc>
            </w:tr>
            <w:tr w14:paraId="6F0555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hidden/>
              </w:trPr>
              <w:tc>
                <w:tcPr>
                  <w:tcW w:w="264" w:type="pct"/>
                  <w:vMerge w:val="restart"/>
                  <w:tcBorders>
                    <w:tl2br w:val="nil"/>
                    <w:tr2bl w:val="nil"/>
                  </w:tcBorders>
                  <w:noWrap w:val="0"/>
                  <w:vAlign w:val="center"/>
                </w:tcPr>
                <w:p w14:paraId="4143FBB7">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1</w:t>
                  </w:r>
                </w:p>
              </w:tc>
              <w:tc>
                <w:tcPr>
                  <w:tcW w:w="299" w:type="pct"/>
                  <w:vMerge w:val="restart"/>
                  <w:tcBorders>
                    <w:tl2br w:val="nil"/>
                    <w:tr2bl w:val="nil"/>
                  </w:tcBorders>
                  <w:noWrap w:val="0"/>
                  <w:vAlign w:val="center"/>
                </w:tcPr>
                <w:p w14:paraId="16D7AD57">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净水厂</w:t>
                  </w:r>
                </w:p>
              </w:tc>
              <w:tc>
                <w:tcPr>
                  <w:tcW w:w="589" w:type="pct"/>
                  <w:tcBorders>
                    <w:tl2br w:val="nil"/>
                    <w:tr2bl w:val="nil"/>
                  </w:tcBorders>
                  <w:noWrap w:val="0"/>
                  <w:vAlign w:val="center"/>
                </w:tcPr>
                <w:p w14:paraId="23C58362">
                  <w:pPr>
                    <w:adjustRightInd w:val="0"/>
                    <w:snapToGrid w:val="0"/>
                    <w:spacing w:line="240" w:lineRule="auto"/>
                    <w:jc w:val="cente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输水泵</w:t>
                  </w:r>
                </w:p>
              </w:tc>
              <w:tc>
                <w:tcPr>
                  <w:tcW w:w="462" w:type="pct"/>
                  <w:tcBorders>
                    <w:tl2br w:val="nil"/>
                    <w:tr2bl w:val="nil"/>
                  </w:tcBorders>
                  <w:noWrap w:val="0"/>
                  <w:vAlign w:val="center"/>
                </w:tcPr>
                <w:p w14:paraId="26281A04">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80</w:t>
                  </w:r>
                </w:p>
              </w:tc>
              <w:tc>
                <w:tcPr>
                  <w:tcW w:w="526" w:type="pct"/>
                  <w:vMerge w:val="restart"/>
                  <w:tcBorders>
                    <w:tl2br w:val="nil"/>
                    <w:tr2bl w:val="nil"/>
                  </w:tcBorders>
                  <w:noWrap w:val="0"/>
                  <w:vAlign w:val="center"/>
                </w:tcPr>
                <w:p w14:paraId="714894B5">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snapToGrid w:val="0"/>
                      <w:vanish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vanish w:val="0"/>
                      <w:color w:val="000000" w:themeColor="text1"/>
                      <w:sz w:val="21"/>
                      <w:szCs w:val="21"/>
                      <w:highlight w:val="none"/>
                      <w14:textFill>
                        <w14:solidFill>
                          <w14:schemeClr w14:val="tx1"/>
                        </w14:solidFill>
                      </w14:textFill>
                    </w:rPr>
                    <w:t>基础减振</w:t>
                  </w:r>
                </w:p>
                <w:p w14:paraId="30BF13BA">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snapToGrid w:val="0"/>
                      <w:vanish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vanish w:val="0"/>
                      <w:color w:val="000000" w:themeColor="text1"/>
                      <w:sz w:val="21"/>
                      <w:szCs w:val="21"/>
                      <w:highlight w:val="none"/>
                      <w14:textFill>
                        <w14:solidFill>
                          <w14:schemeClr w14:val="tx1"/>
                        </w14:solidFill>
                      </w14:textFill>
                    </w:rPr>
                    <w:t>厂房隔声</w:t>
                  </w:r>
                </w:p>
                <w:p w14:paraId="318EF3B6">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vanish w:val="0"/>
                      <w:color w:val="000000" w:themeColor="text1"/>
                      <w:sz w:val="21"/>
                      <w:szCs w:val="21"/>
                      <w:highlight w:val="none"/>
                      <w14:textFill>
                        <w14:solidFill>
                          <w14:schemeClr w14:val="tx1"/>
                        </w14:solidFill>
                      </w14:textFill>
                    </w:rPr>
                    <w:t>距离衰减</w:t>
                  </w:r>
                </w:p>
              </w:tc>
              <w:tc>
                <w:tcPr>
                  <w:tcW w:w="236" w:type="pct"/>
                  <w:tcBorders>
                    <w:tl2br w:val="nil"/>
                    <w:tr2bl w:val="nil"/>
                  </w:tcBorders>
                  <w:noWrap w:val="0"/>
                  <w:vAlign w:val="center"/>
                </w:tcPr>
                <w:p w14:paraId="5CD96A36">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7</w:t>
                  </w:r>
                </w:p>
              </w:tc>
              <w:tc>
                <w:tcPr>
                  <w:tcW w:w="247" w:type="pct"/>
                  <w:tcBorders>
                    <w:tl2br w:val="nil"/>
                    <w:tr2bl w:val="nil"/>
                  </w:tcBorders>
                  <w:noWrap w:val="0"/>
                  <w:vAlign w:val="center"/>
                </w:tcPr>
                <w:p w14:paraId="3587F5B8">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35</w:t>
                  </w:r>
                </w:p>
              </w:tc>
              <w:tc>
                <w:tcPr>
                  <w:tcW w:w="248" w:type="pct"/>
                  <w:tcBorders>
                    <w:tl2br w:val="nil"/>
                    <w:tr2bl w:val="nil"/>
                  </w:tcBorders>
                  <w:noWrap w:val="0"/>
                  <w:vAlign w:val="center"/>
                </w:tcPr>
                <w:p w14:paraId="0CBC7C45">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c>
                <w:tcPr>
                  <w:tcW w:w="304" w:type="pct"/>
                  <w:tcBorders>
                    <w:tl2br w:val="nil"/>
                    <w:tr2bl w:val="nil"/>
                  </w:tcBorders>
                  <w:noWrap w:val="0"/>
                  <w:vAlign w:val="center"/>
                </w:tcPr>
                <w:p w14:paraId="30BABC5E">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昼间</w:t>
                  </w:r>
                </w:p>
              </w:tc>
              <w:tc>
                <w:tcPr>
                  <w:tcW w:w="304" w:type="pct"/>
                  <w:tcBorders>
                    <w:tl2br w:val="nil"/>
                    <w:tr2bl w:val="nil"/>
                  </w:tcBorders>
                  <w:noWrap w:val="0"/>
                  <w:vAlign w:val="center"/>
                </w:tcPr>
                <w:p w14:paraId="470F7231">
                  <w:pPr>
                    <w:pStyle w:val="6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7</w:t>
                  </w:r>
                </w:p>
              </w:tc>
              <w:tc>
                <w:tcPr>
                  <w:tcW w:w="358" w:type="pct"/>
                  <w:tcBorders>
                    <w:tl2br w:val="nil"/>
                    <w:tr2bl w:val="nil"/>
                  </w:tcBorders>
                  <w:noWrap w:val="0"/>
                  <w:vAlign w:val="center"/>
                </w:tcPr>
                <w:p w14:paraId="485CCBB0">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63</w:t>
                  </w:r>
                </w:p>
              </w:tc>
              <w:tc>
                <w:tcPr>
                  <w:tcW w:w="358" w:type="pct"/>
                  <w:tcBorders>
                    <w:tl2br w:val="nil"/>
                    <w:tr2bl w:val="nil"/>
                  </w:tcBorders>
                  <w:noWrap w:val="0"/>
                  <w:vAlign w:val="center"/>
                </w:tcPr>
                <w:p w14:paraId="4B3BDE2D">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15</w:t>
                  </w:r>
                </w:p>
              </w:tc>
              <w:tc>
                <w:tcPr>
                  <w:tcW w:w="423" w:type="pct"/>
                  <w:tcBorders>
                    <w:tl2br w:val="nil"/>
                    <w:tr2bl w:val="nil"/>
                  </w:tcBorders>
                  <w:noWrap w:val="0"/>
                  <w:vAlign w:val="center"/>
                </w:tcPr>
                <w:p w14:paraId="0F6E30DE">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48</w:t>
                  </w:r>
                </w:p>
              </w:tc>
              <w:tc>
                <w:tcPr>
                  <w:tcW w:w="375" w:type="pct"/>
                  <w:tcBorders>
                    <w:tl2br w:val="nil"/>
                    <w:tr2bl w:val="nil"/>
                  </w:tcBorders>
                  <w:noWrap w:val="0"/>
                  <w:vAlign w:val="center"/>
                </w:tcPr>
                <w:p w14:paraId="0B7DC3C3">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w:t>
                  </w:r>
                </w:p>
              </w:tc>
            </w:tr>
            <w:tr w14:paraId="4C1C12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hidden/>
              </w:trPr>
              <w:tc>
                <w:tcPr>
                  <w:tcW w:w="264" w:type="pct"/>
                  <w:vMerge w:val="continue"/>
                  <w:tcBorders>
                    <w:tl2br w:val="nil"/>
                    <w:tr2bl w:val="nil"/>
                  </w:tcBorders>
                  <w:noWrap w:val="0"/>
                  <w:vAlign w:val="center"/>
                </w:tcPr>
                <w:p w14:paraId="6AACF1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299" w:type="pct"/>
                  <w:vMerge w:val="continue"/>
                  <w:tcBorders>
                    <w:tl2br w:val="nil"/>
                    <w:tr2bl w:val="nil"/>
                  </w:tcBorders>
                  <w:noWrap w:val="0"/>
                  <w:vAlign w:val="center"/>
                </w:tcPr>
                <w:p w14:paraId="7D63EA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589" w:type="pct"/>
                  <w:tcBorders>
                    <w:tl2br w:val="nil"/>
                    <w:tr2bl w:val="nil"/>
                  </w:tcBorders>
                  <w:noWrap w:val="0"/>
                  <w:vAlign w:val="center"/>
                </w:tcPr>
                <w:p w14:paraId="12138A12">
                  <w:pPr>
                    <w:bidi w:val="0"/>
                    <w:spacing w:line="240" w:lineRule="auto"/>
                    <w:jc w:val="cente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潜污泵</w:t>
                  </w:r>
                </w:p>
              </w:tc>
              <w:tc>
                <w:tcPr>
                  <w:tcW w:w="462" w:type="pct"/>
                  <w:tcBorders>
                    <w:tl2br w:val="nil"/>
                    <w:tr2bl w:val="nil"/>
                  </w:tcBorders>
                  <w:noWrap w:val="0"/>
                  <w:vAlign w:val="center"/>
                </w:tcPr>
                <w:p w14:paraId="7A42D5D7">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80</w:t>
                  </w:r>
                </w:p>
              </w:tc>
              <w:tc>
                <w:tcPr>
                  <w:tcW w:w="526" w:type="pct"/>
                  <w:vMerge w:val="continue"/>
                  <w:tcBorders>
                    <w:tl2br w:val="nil"/>
                    <w:tr2bl w:val="nil"/>
                  </w:tcBorders>
                  <w:noWrap w:val="0"/>
                  <w:vAlign w:val="center"/>
                </w:tcPr>
                <w:p w14:paraId="4C0632C6">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236" w:type="pct"/>
                  <w:tcBorders>
                    <w:tl2br w:val="nil"/>
                    <w:tr2bl w:val="nil"/>
                  </w:tcBorders>
                  <w:noWrap w:val="0"/>
                  <w:vAlign w:val="center"/>
                </w:tcPr>
                <w:p w14:paraId="524BDA00">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7</w:t>
                  </w:r>
                </w:p>
              </w:tc>
              <w:tc>
                <w:tcPr>
                  <w:tcW w:w="247" w:type="pct"/>
                  <w:tcBorders>
                    <w:tl2br w:val="nil"/>
                    <w:tr2bl w:val="nil"/>
                  </w:tcBorders>
                  <w:noWrap w:val="0"/>
                  <w:vAlign w:val="center"/>
                </w:tcPr>
                <w:p w14:paraId="389A948B">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25</w:t>
                  </w:r>
                </w:p>
              </w:tc>
              <w:tc>
                <w:tcPr>
                  <w:tcW w:w="248" w:type="pct"/>
                  <w:tcBorders>
                    <w:tl2br w:val="nil"/>
                    <w:tr2bl w:val="nil"/>
                  </w:tcBorders>
                  <w:noWrap w:val="0"/>
                  <w:vAlign w:val="center"/>
                </w:tcPr>
                <w:p w14:paraId="765279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c>
                <w:tcPr>
                  <w:tcW w:w="304" w:type="pct"/>
                  <w:tcBorders>
                    <w:tl2br w:val="nil"/>
                    <w:tr2bl w:val="nil"/>
                  </w:tcBorders>
                  <w:noWrap w:val="0"/>
                  <w:vAlign w:val="center"/>
                </w:tcPr>
                <w:p w14:paraId="71F3B7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昼间</w:t>
                  </w:r>
                </w:p>
              </w:tc>
              <w:tc>
                <w:tcPr>
                  <w:tcW w:w="304" w:type="pct"/>
                  <w:tcBorders>
                    <w:tl2br w:val="nil"/>
                    <w:tr2bl w:val="nil"/>
                  </w:tcBorders>
                  <w:noWrap w:val="0"/>
                  <w:vAlign w:val="center"/>
                </w:tcPr>
                <w:p w14:paraId="34CA3F60">
                  <w:pPr>
                    <w:pStyle w:val="6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7</w:t>
                  </w:r>
                </w:p>
              </w:tc>
              <w:tc>
                <w:tcPr>
                  <w:tcW w:w="358" w:type="pct"/>
                  <w:tcBorders>
                    <w:tl2br w:val="nil"/>
                    <w:tr2bl w:val="nil"/>
                  </w:tcBorders>
                  <w:noWrap w:val="0"/>
                  <w:vAlign w:val="center"/>
                </w:tcPr>
                <w:p w14:paraId="27DDE1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63</w:t>
                  </w:r>
                </w:p>
              </w:tc>
              <w:tc>
                <w:tcPr>
                  <w:tcW w:w="358" w:type="pct"/>
                  <w:tcBorders>
                    <w:tl2br w:val="nil"/>
                    <w:tr2bl w:val="nil"/>
                  </w:tcBorders>
                  <w:noWrap w:val="0"/>
                  <w:vAlign w:val="center"/>
                </w:tcPr>
                <w:p w14:paraId="57CA79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15</w:t>
                  </w:r>
                </w:p>
              </w:tc>
              <w:tc>
                <w:tcPr>
                  <w:tcW w:w="423" w:type="pct"/>
                  <w:tcBorders>
                    <w:tl2br w:val="nil"/>
                    <w:tr2bl w:val="nil"/>
                  </w:tcBorders>
                  <w:noWrap w:val="0"/>
                  <w:vAlign w:val="center"/>
                </w:tcPr>
                <w:p w14:paraId="701D04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48</w:t>
                  </w:r>
                </w:p>
              </w:tc>
              <w:tc>
                <w:tcPr>
                  <w:tcW w:w="375" w:type="pct"/>
                  <w:tcBorders>
                    <w:tl2br w:val="nil"/>
                    <w:tr2bl w:val="nil"/>
                  </w:tcBorders>
                  <w:noWrap w:val="0"/>
                  <w:vAlign w:val="center"/>
                </w:tcPr>
                <w:p w14:paraId="26902C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w:t>
                  </w:r>
                </w:p>
              </w:tc>
            </w:tr>
            <w:tr w14:paraId="630CD7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hidden/>
              </w:trPr>
              <w:tc>
                <w:tcPr>
                  <w:tcW w:w="264" w:type="pct"/>
                  <w:vMerge w:val="continue"/>
                  <w:tcBorders>
                    <w:tl2br w:val="nil"/>
                    <w:tr2bl w:val="nil"/>
                  </w:tcBorders>
                  <w:noWrap w:val="0"/>
                  <w:vAlign w:val="center"/>
                </w:tcPr>
                <w:p w14:paraId="484C17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299" w:type="pct"/>
                  <w:vMerge w:val="continue"/>
                  <w:tcBorders>
                    <w:tl2br w:val="nil"/>
                    <w:tr2bl w:val="nil"/>
                  </w:tcBorders>
                  <w:noWrap w:val="0"/>
                  <w:vAlign w:val="center"/>
                </w:tcPr>
                <w:p w14:paraId="43D76D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589" w:type="pct"/>
                  <w:tcBorders>
                    <w:tl2br w:val="nil"/>
                    <w:tr2bl w:val="nil"/>
                  </w:tcBorders>
                  <w:noWrap w:val="0"/>
                  <w:vAlign w:val="center"/>
                </w:tcPr>
                <w:p w14:paraId="5D24335F">
                  <w:pPr>
                    <w:bidi w:val="0"/>
                    <w:spacing w:line="240" w:lineRule="auto"/>
                    <w:jc w:val="cente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cs="Times New Roman"/>
                      <w:vanish w:val="0"/>
                      <w:color w:val="000000" w:themeColor="text1"/>
                      <w:sz w:val="21"/>
                      <w:szCs w:val="21"/>
                      <w:highlight w:val="none"/>
                      <w:lang w:val="en-US" w:eastAsia="zh-CN"/>
                      <w14:textFill>
                        <w14:solidFill>
                          <w14:schemeClr w14:val="tx1"/>
                        </w14:solidFill>
                      </w14:textFill>
                    </w:rPr>
                    <w:t>排泥泵</w:t>
                  </w:r>
                </w:p>
              </w:tc>
              <w:tc>
                <w:tcPr>
                  <w:tcW w:w="462" w:type="pct"/>
                  <w:tcBorders>
                    <w:tl2br w:val="nil"/>
                    <w:tr2bl w:val="nil"/>
                  </w:tcBorders>
                  <w:noWrap w:val="0"/>
                  <w:vAlign w:val="center"/>
                </w:tcPr>
                <w:p w14:paraId="0AAF282B">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85</w:t>
                  </w:r>
                </w:p>
              </w:tc>
              <w:tc>
                <w:tcPr>
                  <w:tcW w:w="526" w:type="pct"/>
                  <w:vMerge w:val="continue"/>
                  <w:tcBorders>
                    <w:tl2br w:val="nil"/>
                    <w:tr2bl w:val="nil"/>
                  </w:tcBorders>
                  <w:noWrap w:val="0"/>
                  <w:vAlign w:val="center"/>
                </w:tcPr>
                <w:p w14:paraId="18E6FC8D">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p>
              </w:tc>
              <w:tc>
                <w:tcPr>
                  <w:tcW w:w="236" w:type="pct"/>
                  <w:tcBorders>
                    <w:tl2br w:val="nil"/>
                    <w:tr2bl w:val="nil"/>
                  </w:tcBorders>
                  <w:noWrap w:val="0"/>
                  <w:vAlign w:val="center"/>
                </w:tcPr>
                <w:p w14:paraId="4D9A9A91">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7</w:t>
                  </w:r>
                </w:p>
              </w:tc>
              <w:tc>
                <w:tcPr>
                  <w:tcW w:w="247" w:type="pct"/>
                  <w:tcBorders>
                    <w:tl2br w:val="nil"/>
                    <w:tr2bl w:val="nil"/>
                  </w:tcBorders>
                  <w:noWrap w:val="0"/>
                  <w:vAlign w:val="center"/>
                </w:tcPr>
                <w:p w14:paraId="4592C76C">
                  <w:pPr>
                    <w:pStyle w:val="6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15</w:t>
                  </w:r>
                </w:p>
              </w:tc>
              <w:tc>
                <w:tcPr>
                  <w:tcW w:w="248" w:type="pct"/>
                  <w:tcBorders>
                    <w:tl2br w:val="nil"/>
                    <w:tr2bl w:val="nil"/>
                  </w:tcBorders>
                  <w:noWrap w:val="0"/>
                  <w:vAlign w:val="center"/>
                </w:tcPr>
                <w:p w14:paraId="1FEC52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w:t>
                  </w:r>
                </w:p>
              </w:tc>
              <w:tc>
                <w:tcPr>
                  <w:tcW w:w="304" w:type="pct"/>
                  <w:tcBorders>
                    <w:tl2br w:val="nil"/>
                    <w:tr2bl w:val="nil"/>
                  </w:tcBorders>
                  <w:noWrap w:val="0"/>
                  <w:vAlign w:val="center"/>
                </w:tcPr>
                <w:p w14:paraId="0302FA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昼间</w:t>
                  </w:r>
                </w:p>
              </w:tc>
              <w:tc>
                <w:tcPr>
                  <w:tcW w:w="304" w:type="pct"/>
                  <w:tcBorders>
                    <w:tl2br w:val="nil"/>
                    <w:tr2bl w:val="nil"/>
                  </w:tcBorders>
                  <w:noWrap w:val="0"/>
                  <w:vAlign w:val="center"/>
                </w:tcPr>
                <w:p w14:paraId="395D049E">
                  <w:pPr>
                    <w:pStyle w:val="6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7</w:t>
                  </w:r>
                </w:p>
              </w:tc>
              <w:tc>
                <w:tcPr>
                  <w:tcW w:w="358" w:type="pct"/>
                  <w:tcBorders>
                    <w:tl2br w:val="nil"/>
                    <w:tr2bl w:val="nil"/>
                  </w:tcBorders>
                  <w:noWrap w:val="0"/>
                  <w:vAlign w:val="center"/>
                </w:tcPr>
                <w:p w14:paraId="6FBFAF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6</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5</w:t>
                  </w:r>
                </w:p>
              </w:tc>
              <w:tc>
                <w:tcPr>
                  <w:tcW w:w="358" w:type="pct"/>
                  <w:tcBorders>
                    <w:tl2br w:val="nil"/>
                    <w:tr2bl w:val="nil"/>
                  </w:tcBorders>
                  <w:noWrap w:val="0"/>
                  <w:vAlign w:val="center"/>
                </w:tcPr>
                <w:p w14:paraId="609BC1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15</w:t>
                  </w:r>
                </w:p>
              </w:tc>
              <w:tc>
                <w:tcPr>
                  <w:tcW w:w="423" w:type="pct"/>
                  <w:tcBorders>
                    <w:tl2br w:val="nil"/>
                    <w:tr2bl w:val="nil"/>
                  </w:tcBorders>
                  <w:noWrap w:val="0"/>
                  <w:vAlign w:val="center"/>
                </w:tcPr>
                <w:p w14:paraId="68436C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4</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9</w:t>
                  </w:r>
                </w:p>
              </w:tc>
              <w:tc>
                <w:tcPr>
                  <w:tcW w:w="375" w:type="pct"/>
                  <w:tcBorders>
                    <w:tl2br w:val="nil"/>
                    <w:tr2bl w:val="nil"/>
                  </w:tcBorders>
                  <w:noWrap w:val="0"/>
                  <w:vAlign w:val="center"/>
                </w:tcPr>
                <w:p w14:paraId="70DDFF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w:t>
                  </w:r>
                </w:p>
              </w:tc>
            </w:tr>
          </w:tbl>
          <w:p w14:paraId="61AF326D">
            <w:pPr>
              <w:pStyle w:val="6"/>
              <w:keepNext w:val="0"/>
              <w:keepLines w:val="0"/>
              <w:pageBreakBefore w:val="0"/>
              <w:widowControl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cs="Times New Roman"/>
                <w:b/>
                <w:bCs/>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bCs/>
                <w:vanish w:val="0"/>
                <w:color w:val="000000" w:themeColor="text1"/>
                <w:sz w:val="21"/>
                <w:szCs w:val="21"/>
                <w:highlight w:val="none"/>
                <w:lang w:val="en-US" w:eastAsia="zh-CN"/>
                <w14:textFill>
                  <w14:solidFill>
                    <w14:schemeClr w14:val="tx1"/>
                  </w14:solidFill>
                </w14:textFill>
              </w:rPr>
              <w:t>、设备噪声环境影响分析</w:t>
            </w:r>
          </w:p>
          <w:p w14:paraId="07222918">
            <w:pPr>
              <w:keepNext w:val="0"/>
              <w:keepLines w:val="0"/>
              <w:pageBreakBefore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（1）预测模式</w:t>
            </w:r>
          </w:p>
          <w:p w14:paraId="64719B21">
            <w:pPr>
              <w:keepNext w:val="0"/>
              <w:keepLines w:val="0"/>
              <w:pageBreakBefore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噪声预测采用《环境影响评价技术导则 声环境》（HJ2.4-2021）附录B工业噪声预测计算模型。工业声源有室外和室内两种声源，应分别计算。</w:t>
            </w:r>
          </w:p>
          <w:p w14:paraId="2E451077">
            <w:pPr>
              <w:keepNext w:val="0"/>
              <w:keepLines w:val="0"/>
              <w:pageBreakBefore w:val="0"/>
              <w:kinsoku/>
              <w:wordWrap/>
              <w:overflowPunct/>
              <w:topLinePunct/>
              <w:autoSpaceDE/>
              <w:autoSpaceDN/>
              <w:bidi w:val="0"/>
              <w:adjustRightInd w:val="0"/>
              <w:snapToGrid w:val="0"/>
              <w:spacing w:line="360" w:lineRule="auto"/>
              <w:ind w:firstLine="420" w:firstLineChars="200"/>
              <w:textAlignment w:val="auto"/>
              <w:rPr>
                <w:rFonts w:hint="default" w:ascii="Times New Roman" w:hAnsi="Times New Roman" w:eastAsia="宋体" w:cs="Times New Roman"/>
                <w:vanish w:val="0"/>
                <w:color w:val="000000" w:themeColor="text1"/>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14:textFill>
                  <w14:solidFill>
                    <w14:schemeClr w14:val="tx1"/>
                  </w14:solidFill>
                </w14:textFill>
              </w:rPr>
              <w:t>①室外声源</w:t>
            </w:r>
          </w:p>
          <w:p w14:paraId="4B344766">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drawing>
                <wp:anchor distT="0" distB="0" distL="114300" distR="114300" simplePos="0" relativeHeight="251661312" behindDoc="1" locked="0" layoutInCell="1" allowOverlap="1">
                  <wp:simplePos x="0" y="0"/>
                  <wp:positionH relativeFrom="column">
                    <wp:posOffset>1772920</wp:posOffset>
                  </wp:positionH>
                  <wp:positionV relativeFrom="paragraph">
                    <wp:posOffset>166370</wp:posOffset>
                  </wp:positionV>
                  <wp:extent cx="1515110" cy="352425"/>
                  <wp:effectExtent l="0" t="0" r="8890" b="9525"/>
                  <wp:wrapNone/>
                  <wp:docPr id="2" name="图片 60" descr="165586234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0" descr="1655862349366"/>
                          <pic:cNvPicPr>
                            <a:picLocks noChangeAspect="1"/>
                          </pic:cNvPicPr>
                        </pic:nvPicPr>
                        <pic:blipFill>
                          <a:blip r:embed="rId19"/>
                          <a:stretch>
                            <a:fillRect/>
                          </a:stretch>
                        </pic:blipFill>
                        <pic:spPr>
                          <a:xfrm>
                            <a:off x="0" y="0"/>
                            <a:ext cx="1515110" cy="352425"/>
                          </a:xfrm>
                          <a:prstGeom prst="rect">
                            <a:avLst/>
                          </a:prstGeom>
                          <a:noFill/>
                          <a:ln>
                            <a:noFill/>
                          </a:ln>
                        </pic:spPr>
                      </pic:pic>
                    </a:graphicData>
                  </a:graphic>
                </wp:anchor>
              </w:drawing>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在只考虑几何发</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散衰减时，可按</w:t>
            </w:r>
            <w:r>
              <w:rPr>
                <w:rFonts w:hint="default" w:ascii="Times New Roman" w:hAnsi="Times New Roman" w:cs="Times New Roman"/>
                <w:vanish w:val="0"/>
                <w:color w:val="000000" w:themeColor="text1"/>
                <w:kern w:val="0"/>
                <w:sz w:val="21"/>
                <w:szCs w:val="21"/>
                <w:highlight w:val="none"/>
                <w:lang w:val="en-US" w:eastAsia="zh-CN" w:bidi="ar"/>
                <w14:textFill>
                  <w14:solidFill>
                    <w14:schemeClr w14:val="tx1"/>
                  </w14:solidFill>
                </w14:textFill>
              </w:rPr>
              <w:t>下式</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计算。</w:t>
            </w:r>
          </w:p>
          <w:p w14:paraId="5C7864F5">
            <w:pPr>
              <w:keepNext w:val="0"/>
              <w:keepLines w:val="0"/>
              <w:pageBreakBefore w:val="0"/>
              <w:tabs>
                <w:tab w:val="left" w:pos="0"/>
              </w:tabs>
              <w:kinsoku/>
              <w:wordWrap/>
              <w:overflowPunct/>
              <w:topLinePunct/>
              <w:autoSpaceDE/>
              <w:autoSpaceDN/>
              <w:bidi w:val="0"/>
              <w:adjustRightInd w:val="0"/>
              <w:snapToGrid w:val="0"/>
              <w:spacing w:line="360" w:lineRule="auto"/>
              <w:jc w:val="left"/>
              <w:textAlignment w:val="auto"/>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pPr>
          </w:p>
          <w:p w14:paraId="4DA44A07">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式中：LA</w:t>
            </w:r>
            <w:r>
              <w:rPr>
                <w:rFonts w:hint="eastAsia"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r</w:t>
            </w:r>
            <w:r>
              <w:rPr>
                <w:rFonts w:hint="eastAsia"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——距声源r处的A 声级，dB</w:t>
            </w:r>
            <w:r>
              <w:rPr>
                <w:rFonts w:hint="eastAsia"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A</w:t>
            </w:r>
            <w:r>
              <w:rPr>
                <w:rFonts w:hint="eastAsia"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p>
          <w:p w14:paraId="21D7DA2F">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1050" w:firstLineChars="500"/>
              <w:jc w:val="left"/>
              <w:textAlignment w:val="auto"/>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LA</w:t>
            </w:r>
            <w:r>
              <w:rPr>
                <w:rFonts w:hint="eastAsia"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r</w:t>
            </w:r>
            <w:r>
              <w:rPr>
                <w:rFonts w:hint="default" w:ascii="Times New Roman" w:hAnsi="Times New Roman" w:eastAsia="宋体" w:cs="Times New Roman"/>
                <w:vanish w:val="0"/>
                <w:color w:val="000000" w:themeColor="text1"/>
                <w:kern w:val="0"/>
                <w:sz w:val="21"/>
                <w:szCs w:val="21"/>
                <w:highlight w:val="none"/>
                <w:vertAlign w:val="subscript"/>
                <w:lang w:val="en-US" w:eastAsia="zh-CN" w:bidi="ar"/>
                <w14:textFill>
                  <w14:solidFill>
                    <w14:schemeClr w14:val="tx1"/>
                  </w14:solidFill>
                </w14:textFill>
              </w:rPr>
              <w:t>0</w:t>
            </w:r>
            <w:r>
              <w:rPr>
                <w:rFonts w:hint="eastAsia"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——参考位置r</w:t>
            </w:r>
            <w:r>
              <w:rPr>
                <w:rFonts w:hint="default" w:ascii="Times New Roman" w:hAnsi="Times New Roman" w:eastAsia="宋体" w:cs="Times New Roman"/>
                <w:vanish w:val="0"/>
                <w:color w:val="000000" w:themeColor="text1"/>
                <w:kern w:val="0"/>
                <w:sz w:val="21"/>
                <w:szCs w:val="21"/>
                <w:highlight w:val="none"/>
                <w:vertAlign w:val="subscript"/>
                <w:lang w:val="en-US" w:eastAsia="zh-CN" w:bidi="ar"/>
                <w14:textFill>
                  <w14:solidFill>
                    <w14:schemeClr w14:val="tx1"/>
                  </w14:solidFill>
                </w14:textFill>
              </w:rPr>
              <w:t>0</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处的A声级，dB</w:t>
            </w:r>
            <w:r>
              <w:rPr>
                <w:rFonts w:hint="eastAsia"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A</w:t>
            </w:r>
            <w:r>
              <w:rPr>
                <w:rFonts w:hint="eastAsia"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p>
          <w:p w14:paraId="774B2137">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1050" w:firstLineChars="500"/>
              <w:jc w:val="left"/>
              <w:textAlignment w:val="auto"/>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Adiv——几何发散引起的衰减，dB。</w:t>
            </w:r>
          </w:p>
          <w:p w14:paraId="1C0E16DA">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②室内声源</w:t>
            </w:r>
          </w:p>
          <w:p w14:paraId="562D2F3D">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cs="Times New Roman"/>
                <w:vanish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drawing>
                <wp:anchor distT="0" distB="0" distL="114300" distR="114300" simplePos="0" relativeHeight="251662336" behindDoc="1" locked="0" layoutInCell="1" allowOverlap="1">
                  <wp:simplePos x="0" y="0"/>
                  <wp:positionH relativeFrom="column">
                    <wp:posOffset>1887855</wp:posOffset>
                  </wp:positionH>
                  <wp:positionV relativeFrom="paragraph">
                    <wp:posOffset>699770</wp:posOffset>
                  </wp:positionV>
                  <wp:extent cx="1748790" cy="502920"/>
                  <wp:effectExtent l="0" t="0" r="3810" b="11430"/>
                  <wp:wrapNone/>
                  <wp:docPr id="3" name="图片 61" descr="165586237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1" descr="1655862372172"/>
                          <pic:cNvPicPr>
                            <a:picLocks noChangeAspect="1"/>
                          </pic:cNvPicPr>
                        </pic:nvPicPr>
                        <pic:blipFill>
                          <a:blip r:embed="rId20"/>
                          <a:stretch>
                            <a:fillRect/>
                          </a:stretch>
                        </pic:blipFill>
                        <pic:spPr>
                          <a:xfrm>
                            <a:off x="0" y="0"/>
                            <a:ext cx="1748790" cy="502920"/>
                          </a:xfrm>
                          <a:prstGeom prst="rect">
                            <a:avLst/>
                          </a:prstGeom>
                          <a:noFill/>
                          <a:ln>
                            <a:noFill/>
                          </a:ln>
                        </pic:spPr>
                      </pic:pic>
                    </a:graphicData>
                  </a:graphic>
                </wp:anchor>
              </w:drawing>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室内声源可采用等效室外声源声功率级法进行计算。设靠近开口处（或窗户）室内、室</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外某倍频带的声压级或A声级分别为</w:t>
            </w:r>
            <w:r>
              <w:rPr>
                <w:rFonts w:hint="default" w:ascii="Times New Roman" w:hAnsi="Times New Roman" w:eastAsia="宋体" w:cs="Times New Roman"/>
                <w:i/>
                <w:iCs/>
                <w:vanish w:val="0"/>
                <w:color w:val="000000" w:themeColor="text1"/>
                <w:kern w:val="0"/>
                <w:sz w:val="21"/>
                <w:szCs w:val="21"/>
                <w:highlight w:val="none"/>
                <w:lang w:val="en-US" w:eastAsia="zh-CN" w:bidi="ar"/>
                <w14:textFill>
                  <w14:solidFill>
                    <w14:schemeClr w14:val="tx1"/>
                  </w14:solidFill>
                </w14:textFill>
              </w:rPr>
              <w:t>Lp1</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和</w:t>
            </w:r>
            <w:r>
              <w:rPr>
                <w:rFonts w:hint="default" w:ascii="Times New Roman" w:hAnsi="Times New Roman" w:eastAsia="宋体" w:cs="Times New Roman"/>
                <w:i/>
                <w:iCs/>
                <w:vanish w:val="0"/>
                <w:color w:val="000000" w:themeColor="text1"/>
                <w:kern w:val="0"/>
                <w:sz w:val="21"/>
                <w:szCs w:val="21"/>
                <w:highlight w:val="none"/>
                <w:lang w:val="en-US" w:eastAsia="zh-CN" w:bidi="ar"/>
                <w14:textFill>
                  <w14:solidFill>
                    <w14:schemeClr w14:val="tx1"/>
                  </w14:solidFill>
                </w14:textFill>
              </w:rPr>
              <w:t>Lp2</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。若声源所在室内声场为近似扩散声场，则室外的倍频带声压级可按</w:t>
            </w:r>
            <w:r>
              <w:rPr>
                <w:rFonts w:hint="default" w:ascii="Times New Roman" w:hAnsi="Times New Roman" w:cs="Times New Roman"/>
                <w:vanish w:val="0"/>
                <w:color w:val="000000" w:themeColor="text1"/>
                <w:kern w:val="0"/>
                <w:sz w:val="21"/>
                <w:szCs w:val="21"/>
                <w:highlight w:val="none"/>
                <w:lang w:val="en-US" w:eastAsia="zh-CN" w:bidi="ar"/>
                <w14:textFill>
                  <w14:solidFill>
                    <w14:schemeClr w14:val="tx1"/>
                  </w14:solidFill>
                </w14:textFill>
              </w:rPr>
              <w:t>下式</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近似求出：</w:t>
            </w:r>
          </w:p>
          <w:p w14:paraId="1486253F">
            <w:pPr>
              <w:keepNext w:val="0"/>
              <w:keepLines w:val="0"/>
              <w:pageBreakBefore w:val="0"/>
              <w:tabs>
                <w:tab w:val="left" w:pos="0"/>
              </w:tabs>
              <w:kinsoku/>
              <w:wordWrap/>
              <w:overflowPunct/>
              <w:topLinePunct/>
              <w:autoSpaceDE/>
              <w:autoSpaceDN/>
              <w:bidi w:val="0"/>
              <w:adjustRightInd w:val="0"/>
              <w:snapToGrid w:val="0"/>
              <w:spacing w:line="360" w:lineRule="auto"/>
              <w:jc w:val="both"/>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p>
          <w:p w14:paraId="59164436">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pPr>
          </w:p>
          <w:p w14:paraId="79E220F3">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式中：</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Lp1</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——靠近开口处（或窗户）室内某倍频带的声压级或A声级，dB；</w:t>
            </w:r>
          </w:p>
          <w:p w14:paraId="233E2F59">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1050" w:firstLineChars="500"/>
              <w:jc w:val="left"/>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iCs/>
                <w:vanish w:val="0"/>
                <w:color w:val="000000" w:themeColor="text1"/>
                <w:kern w:val="0"/>
                <w:sz w:val="21"/>
                <w:szCs w:val="21"/>
                <w:highlight w:val="none"/>
                <w:lang w:val="en-US" w:eastAsia="zh-CN" w:bidi="ar"/>
                <w14:textFill>
                  <w14:solidFill>
                    <w14:schemeClr w14:val="tx1"/>
                  </w14:solidFill>
                </w14:textFill>
              </w:rPr>
              <w:t>Lp</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2——靠近开口处（或窗户）室外某倍频带的声压级或A声级，dB；</w:t>
            </w:r>
          </w:p>
          <w:p w14:paraId="6B22DE15">
            <w:pPr>
              <w:keepNext w:val="0"/>
              <w:keepLines w:val="0"/>
              <w:pageBreakBefore w:val="0"/>
              <w:tabs>
                <w:tab w:val="left" w:pos="0"/>
              </w:tabs>
              <w:kinsoku/>
              <w:wordWrap/>
              <w:overflowPunct/>
              <w:topLinePunct/>
              <w:autoSpaceDE/>
              <w:autoSpaceDN/>
              <w:bidi w:val="0"/>
              <w:adjustRightInd w:val="0"/>
              <w:snapToGrid w:val="0"/>
              <w:spacing w:line="360" w:lineRule="auto"/>
              <w:ind w:firstLine="1050" w:firstLineChars="500"/>
              <w:jc w:val="left"/>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iCs/>
                <w:vanish w:val="0"/>
                <w:color w:val="000000" w:themeColor="text1"/>
                <w:kern w:val="0"/>
                <w:sz w:val="21"/>
                <w:szCs w:val="21"/>
                <w:highlight w:val="none"/>
                <w:lang w:val="en-US" w:eastAsia="zh-CN" w:bidi="ar"/>
                <w14:textFill>
                  <w14:solidFill>
                    <w14:schemeClr w14:val="tx1"/>
                  </w14:solidFill>
                </w14:textFill>
              </w:rPr>
              <w:t>TL</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隔墙</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（或窗户）倍频带或A声级的隔声量，dB。</w:t>
            </w:r>
          </w:p>
          <w:p w14:paraId="23E19BA2">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t>③</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贡献值</w:t>
            </w:r>
          </w:p>
          <w:p w14:paraId="1FA53DF5">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设第i个室外声源在预测点产生的A声级为LAi，在T时间内该声源工作时间为ti；第j个等效室外声源在预测点产生的A声级为LAj，在T时间内该声源工作时间为t j，则拟建工程声源对预测点产生的贡献值（Leqg）为：</w:t>
            </w:r>
          </w:p>
          <w:p w14:paraId="605F505C">
            <w:pPr>
              <w:keepNext w:val="0"/>
              <w:keepLines w:val="0"/>
              <w:pageBreakBefore w:val="0"/>
              <w:widowControl/>
              <w:suppressLineNumbers w:val="0"/>
              <w:kinsoku/>
              <w:wordWrap/>
              <w:overflowPunct/>
              <w:topLinePunct/>
              <w:autoSpaceDE/>
              <w:autoSpaceDN/>
              <w:bidi w:val="0"/>
              <w:adjustRightInd w:val="0"/>
              <w:snapToGrid w:val="0"/>
              <w:spacing w:line="360" w:lineRule="auto"/>
              <w:jc w:val="center"/>
              <w:textAlignment w:val="auto"/>
              <w:rPr>
                <w:rFonts w:hint="default" w:ascii="Times New Roman" w:hAnsi="Times New Roman" w:cs="Times New Roman"/>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drawing>
                <wp:inline distT="0" distB="0" distL="114300" distR="114300">
                  <wp:extent cx="2832735" cy="533400"/>
                  <wp:effectExtent l="0" t="0" r="5715" b="0"/>
                  <wp:docPr id="1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6"/>
                          <pic:cNvPicPr>
                            <a:picLocks noChangeAspect="1"/>
                          </pic:cNvPicPr>
                        </pic:nvPicPr>
                        <pic:blipFill>
                          <a:blip r:embed="rId21"/>
                          <a:stretch>
                            <a:fillRect/>
                          </a:stretch>
                        </pic:blipFill>
                        <pic:spPr>
                          <a:xfrm>
                            <a:off x="0" y="0"/>
                            <a:ext cx="2832735" cy="533400"/>
                          </a:xfrm>
                          <a:prstGeom prst="rect">
                            <a:avLst/>
                          </a:prstGeom>
                          <a:noFill/>
                          <a:ln>
                            <a:noFill/>
                          </a:ln>
                        </pic:spPr>
                      </pic:pic>
                    </a:graphicData>
                  </a:graphic>
                </wp:inline>
              </w:drawing>
            </w:r>
          </w:p>
          <w:p w14:paraId="494F8E5F">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式中：</w:t>
            </w:r>
            <w:r>
              <w:rPr>
                <w:rFonts w:hint="default" w:ascii="Times New Roman" w:hAnsi="Times New Roman" w:eastAsia="宋体" w:cs="Times New Roman"/>
                <w:i/>
                <w:iCs/>
                <w:vanish w:val="0"/>
                <w:color w:val="000000" w:themeColor="text1"/>
                <w:kern w:val="0"/>
                <w:sz w:val="21"/>
                <w:szCs w:val="21"/>
                <w:highlight w:val="none"/>
                <w:lang w:val="en-US" w:eastAsia="zh-CN" w:bidi="ar"/>
                <w14:textFill>
                  <w14:solidFill>
                    <w14:schemeClr w14:val="tx1"/>
                  </w14:solidFill>
                </w14:textFill>
              </w:rPr>
              <w:t>L</w:t>
            </w:r>
            <w:r>
              <w:rPr>
                <w:rFonts w:hint="default" w:ascii="Times New Roman" w:hAnsi="Times New Roman" w:eastAsia="宋体" w:cs="Times New Roman"/>
                <w:vanish w:val="0"/>
                <w:color w:val="000000" w:themeColor="text1"/>
                <w:kern w:val="0"/>
                <w:sz w:val="21"/>
                <w:szCs w:val="21"/>
                <w:highlight w:val="none"/>
                <w:lang w:val="en-US" w:eastAsia="zh-CN" w:bidi="ar"/>
                <w14:textFill>
                  <w14:solidFill>
                    <w14:schemeClr w14:val="tx1"/>
                  </w14:solidFill>
                </w14:textFill>
              </w:rPr>
              <w:t>eqg——建设项目</w:t>
            </w: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声源在预测点产生的噪声贡献值，dB；</w:t>
            </w:r>
          </w:p>
          <w:p w14:paraId="0E0B77B9">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1260" w:firstLineChars="600"/>
              <w:jc w:val="left"/>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T——用于计算等效声级的时间，s；</w:t>
            </w:r>
          </w:p>
          <w:p w14:paraId="35F2DFBE">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1260" w:firstLineChars="600"/>
              <w:jc w:val="left"/>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N——室外声源个数；</w:t>
            </w:r>
          </w:p>
          <w:p w14:paraId="79AD095D">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1260" w:firstLineChars="600"/>
              <w:jc w:val="left"/>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ti——在T时间内i声源工作时间，s；</w:t>
            </w:r>
          </w:p>
          <w:p w14:paraId="73FCCF4B">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1260" w:firstLineChars="600"/>
              <w:jc w:val="left"/>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M——等效室外声源个数；</w:t>
            </w:r>
          </w:p>
          <w:p w14:paraId="0CF57AD8">
            <w:pPr>
              <w:keepNext w:val="0"/>
              <w:keepLines w:val="0"/>
              <w:pageBreakBefore w:val="0"/>
              <w:widowControl w:val="0"/>
              <w:tabs>
                <w:tab w:val="left" w:pos="0"/>
              </w:tabs>
              <w:kinsoku/>
              <w:wordWrap/>
              <w:overflowPunct/>
              <w:topLinePunct/>
              <w:autoSpaceDE/>
              <w:autoSpaceDN/>
              <w:bidi w:val="0"/>
              <w:adjustRightInd w:val="0"/>
              <w:snapToGrid w:val="0"/>
              <w:spacing w:line="360" w:lineRule="auto"/>
              <w:ind w:firstLine="1260" w:firstLineChars="600"/>
              <w:jc w:val="left"/>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tj——在T时间内j声源工作时间，s。</w:t>
            </w:r>
          </w:p>
          <w:p w14:paraId="2428E901">
            <w:pPr>
              <w:widowControl/>
              <w:spacing w:line="360" w:lineRule="auto"/>
              <w:ind w:firstLine="420" w:firstLineChars="200"/>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t>为确保项目运营期厂界噪声达标，项目采用的噪声治理措施如下：</w:t>
            </w:r>
          </w:p>
          <w:p w14:paraId="47648D15">
            <w:pPr>
              <w:widowControl/>
              <w:spacing w:line="360" w:lineRule="auto"/>
              <w:ind w:firstLine="420" w:firstLineChars="200"/>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t>①建设封闭式厂房，生产区和集控楼下沉5米，搅拌机等主要生产设备均设置在下沉5m的生产区和集控楼内，并设置减振垫等；</w:t>
            </w:r>
          </w:p>
          <w:p w14:paraId="250FC703">
            <w:pPr>
              <w:widowControl/>
              <w:spacing w:line="360" w:lineRule="auto"/>
              <w:ind w:firstLine="420" w:firstLineChars="200"/>
              <w:rPr>
                <w:rFonts w:hint="default" w:ascii="Times New Roman" w:hAnsi="Times New Roman" w:eastAsia="宋体" w:cs="Times New Roman"/>
                <w:vanish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t>②搅拌机设置密闭搅拌楼，设备设置基座减振、橡胶减振接头及减振垫等措 施①</w:t>
            </w:r>
            <w:r>
              <w:rPr>
                <w:rFonts w:hint="eastAsia"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对固定点源进行隔声处理时，宜尽可能靠近噪声源设置隔声措施；本项目对风机高噪声设备设隔声罩，通过与厂房双重隔声降低噪声影响</w:t>
            </w:r>
            <w:r>
              <w:rPr>
                <w:rFonts w:hint="default" w:ascii="Times New Roman" w:hAnsi="Times New Roman" w:eastAsia="宋体" w:cs="Times New Roman"/>
                <w:vanish w:val="0"/>
                <w:color w:val="000000" w:themeColor="text1"/>
                <w:kern w:val="0"/>
                <w:sz w:val="21"/>
                <w:szCs w:val="21"/>
                <w:highlight w:val="none"/>
                <w:lang w:eastAsia="zh-CN"/>
                <w14:textFill>
                  <w14:solidFill>
                    <w14:schemeClr w14:val="tx1"/>
                  </w14:solidFill>
                </w14:textFill>
              </w:rPr>
              <w:t>；</w:t>
            </w:r>
          </w:p>
          <w:p w14:paraId="09E69A93">
            <w:pPr>
              <w:widowControl/>
              <w:spacing w:line="360" w:lineRule="auto"/>
              <w:ind w:firstLine="420" w:firstLineChars="200"/>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t>③加强设备的维护和保养，确保设备处于良好的运转状态</w:t>
            </w:r>
            <w:r>
              <w:rPr>
                <w:rFonts w:hint="eastAsia"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，预防维修不良的机械设备因部件振动而增加其工作噪声；</w:t>
            </w:r>
          </w:p>
          <w:p w14:paraId="77A952E4">
            <w:pPr>
              <w:widowControl/>
              <w:spacing w:line="360" w:lineRule="auto"/>
              <w:ind w:firstLine="420" w:firstLineChars="200"/>
              <w:rPr>
                <w:rFonts w:hint="default" w:ascii="Times New Roman" w:hAnsi="Times New Roman" w:eastAsia="宋体" w:cs="Times New Roman"/>
                <w:vanish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④</w:t>
            </w:r>
            <w:r>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t>避免高噪声设备集中放置；生产作业时尽量避免开窗，以增强隔声效果</w:t>
            </w:r>
            <w:r>
              <w:rPr>
                <w:rFonts w:hint="default" w:ascii="Times New Roman" w:hAnsi="Times New Roman" w:eastAsia="宋体" w:cs="Times New Roman"/>
                <w:vanish w:val="0"/>
                <w:color w:val="000000" w:themeColor="text1"/>
                <w:kern w:val="0"/>
                <w:sz w:val="21"/>
                <w:szCs w:val="21"/>
                <w:highlight w:val="none"/>
                <w:lang w:eastAsia="zh-CN"/>
                <w14:textFill>
                  <w14:solidFill>
                    <w14:schemeClr w14:val="tx1"/>
                  </w14:solidFill>
                </w14:textFill>
              </w:rPr>
              <w:t>。</w:t>
            </w:r>
          </w:p>
          <w:p w14:paraId="0B92FFDB">
            <w:pPr>
              <w:widowControl/>
              <w:spacing w:line="360" w:lineRule="auto"/>
              <w:ind w:firstLine="420" w:firstLineChars="200"/>
              <w:rPr>
                <w:rFonts w:hint="default" w:ascii="Times New Roman" w:hAnsi="Times New Roman" w:eastAsia="宋体" w:cs="Times New Roman"/>
                <w:vanish w:val="0"/>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t>⑤</w:t>
            </w:r>
            <w:r>
              <w:rPr>
                <w:rFonts w:hint="eastAsia"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厂</w:t>
            </w:r>
            <w:r>
              <w:rPr>
                <w:rFonts w:hint="default" w:ascii="Times New Roman" w:hAnsi="Times New Roman" w:eastAsia="宋体" w:cs="Times New Roman"/>
                <w:vanish w:val="0"/>
                <w:color w:val="000000" w:themeColor="text1"/>
                <w:kern w:val="0"/>
                <w:sz w:val="21"/>
                <w:szCs w:val="21"/>
                <w:highlight w:val="none"/>
                <w14:textFill>
                  <w14:solidFill>
                    <w14:schemeClr w14:val="tx1"/>
                  </w14:solidFill>
                </w14:textFill>
              </w:rPr>
              <w:t>合理控制运输车辆的车速，减轻运输车辆在启动及行驶过程发动机的轰鸣 噪声；强化行车管理制度，规范厂内车辆行驶路线，厂内严禁鸣号，进入厂区低 速行驶，最大限度减少流动噪声源，同时加强装卸料管理</w:t>
            </w:r>
            <w:r>
              <w:rPr>
                <w:rFonts w:hint="eastAsia" w:ascii="Times New Roman" w:hAnsi="Times New Roman" w:eastAsia="宋体" w:cs="Times New Roman"/>
                <w:vanish w:val="0"/>
                <w:color w:val="000000" w:themeColor="text1"/>
                <w:kern w:val="0"/>
                <w:sz w:val="21"/>
                <w:szCs w:val="21"/>
                <w:highlight w:val="none"/>
                <w:lang w:val="en-US" w:eastAsia="zh-CN"/>
                <w14:textFill>
                  <w14:solidFill>
                    <w14:schemeClr w14:val="tx1"/>
                  </w14:solidFill>
                </w14:textFill>
              </w:rPr>
              <w:t>。</w:t>
            </w:r>
          </w:p>
          <w:p w14:paraId="0D3D70B5">
            <w:pPr>
              <w:keepNext w:val="0"/>
              <w:keepLines w:val="0"/>
              <w:pageBreakBefore w:val="0"/>
              <w:numPr>
                <w:ilvl w:val="0"/>
                <w:numId w:val="0"/>
              </w:numPr>
              <w:tabs>
                <w:tab w:val="left" w:pos="0"/>
              </w:tabs>
              <w:kinsoku/>
              <w:wordWrap/>
              <w:overflowPunct/>
              <w:topLinePunct/>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（2）预测结果</w:t>
            </w:r>
          </w:p>
          <w:p w14:paraId="71F70C0F">
            <w:pPr>
              <w:tabs>
                <w:tab w:val="left" w:pos="0"/>
              </w:tabs>
              <w:spacing w:line="360" w:lineRule="auto"/>
              <w:ind w:firstLine="420" w:firstLineChars="200"/>
              <w:jc w:val="left"/>
              <w:rPr>
                <w:rFonts w:hint="default" w:ascii="Times New Roman" w:hAnsi="Times New Roman" w:cs="Times New Roman"/>
                <w:b/>
                <w:bCs/>
                <w:vanish w:val="0"/>
                <w:color w:val="000000" w:themeColor="text1"/>
                <w:sz w:val="21"/>
                <w:szCs w:val="21"/>
                <w:highlight w:val="none"/>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根据模式计算，项目厂界噪声预测结果如</w:t>
            </w:r>
            <w:r>
              <w:rPr>
                <w:rFonts w:hint="default" w:ascii="Times New Roman" w:hAnsi="Times New Roman" w:cs="Times New Roman"/>
                <w:vanish w:val="0"/>
                <w:color w:val="000000" w:themeColor="text1"/>
                <w:sz w:val="21"/>
                <w:szCs w:val="21"/>
                <w:highlight w:val="none"/>
                <w:lang w:eastAsia="zh-CN"/>
                <w14:textFill>
                  <w14:solidFill>
                    <w14:schemeClr w14:val="tx1"/>
                  </w14:solidFill>
                </w14:textFill>
              </w:rPr>
              <w:t>下表</w:t>
            </w:r>
            <w:r>
              <w:rPr>
                <w:rFonts w:hint="default" w:ascii="Times New Roman" w:hAnsi="Times New Roman" w:cs="Times New Roman"/>
                <w:vanish w:val="0"/>
                <w:color w:val="000000" w:themeColor="text1"/>
                <w:sz w:val="21"/>
                <w:szCs w:val="21"/>
                <w:highlight w:val="none"/>
                <w14:textFill>
                  <w14:solidFill>
                    <w14:schemeClr w14:val="tx1"/>
                  </w14:solidFill>
                </w14:textFill>
              </w:rPr>
              <w:t>。</w:t>
            </w:r>
          </w:p>
          <w:p w14:paraId="5E51B705">
            <w:pPr>
              <w:shd w:val="clear" w:color="auto" w:fill="FFFFFF"/>
              <w:adjustRightInd w:val="0"/>
              <w:snapToGrid w:val="0"/>
              <w:spacing w:line="240" w:lineRule="auto"/>
              <w:jc w:val="center"/>
              <w:rPr>
                <w:rFonts w:hint="default" w:ascii="Times New Roman" w:hAnsi="Times New Roman" w:cs="Times New Roman"/>
                <w:b/>
                <w:bCs/>
                <w:vanish w:val="0"/>
                <w:color w:val="000000" w:themeColor="text1"/>
                <w:sz w:val="21"/>
                <w:szCs w:val="21"/>
                <w:highlight w:val="none"/>
                <w14:textFill>
                  <w14:solidFill>
                    <w14:schemeClr w14:val="tx1"/>
                  </w14:solidFill>
                </w14:textFill>
              </w:rPr>
            </w:pPr>
            <w:r>
              <w:rPr>
                <w:rFonts w:hint="default" w:ascii="Times New Roman" w:hAnsi="Times New Roman" w:cs="Times New Roman"/>
                <w:b/>
                <w:bCs/>
                <w:vanish w:val="0"/>
                <w:color w:val="000000" w:themeColor="text1"/>
                <w:sz w:val="21"/>
                <w:szCs w:val="21"/>
                <w:highlight w:val="none"/>
                <w14:textFill>
                  <w14:solidFill>
                    <w14:schemeClr w14:val="tx1"/>
                  </w14:solidFill>
                </w14:textFill>
              </w:rPr>
              <w:t>表4-</w:t>
            </w:r>
            <w:r>
              <w:rPr>
                <w:rFonts w:hint="eastAsia" w:ascii="Times New Roman" w:hAnsi="Times New Roman" w:cs="Times New Roman"/>
                <w:b/>
                <w:bCs/>
                <w:vanish w:val="0"/>
                <w:color w:val="000000" w:themeColor="text1"/>
                <w:sz w:val="21"/>
                <w:szCs w:val="21"/>
                <w:highlight w:val="none"/>
                <w:lang w:val="en-US" w:eastAsia="zh-CN"/>
                <w14:textFill>
                  <w14:solidFill>
                    <w14:schemeClr w14:val="tx1"/>
                  </w14:solidFill>
                </w14:textFill>
              </w:rPr>
              <w:t>13</w:t>
            </w:r>
            <w:r>
              <w:rPr>
                <w:rFonts w:hint="default" w:ascii="Times New Roman" w:hAnsi="Times New Roman" w:cs="Times New Roman"/>
                <w:b/>
                <w:bCs/>
                <w:vanish w:val="0"/>
                <w:color w:val="000000" w:themeColor="text1"/>
                <w:sz w:val="21"/>
                <w:szCs w:val="21"/>
                <w:highlight w:val="none"/>
                <w14:textFill>
                  <w14:solidFill>
                    <w14:schemeClr w14:val="tx1"/>
                  </w14:solidFill>
                </w14:textFill>
              </w:rPr>
              <w:t xml:space="preserve">  噪声预测结果   单位：dB（A）</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783"/>
              <w:gridCol w:w="783"/>
              <w:gridCol w:w="760"/>
              <w:gridCol w:w="918"/>
              <w:gridCol w:w="1362"/>
              <w:gridCol w:w="1363"/>
              <w:gridCol w:w="1089"/>
            </w:tblGrid>
            <w:tr w14:paraId="4F881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hidden/>
              </w:trPr>
              <w:tc>
                <w:tcPr>
                  <w:tcW w:w="1101" w:type="dxa"/>
                  <w:vMerge w:val="restart"/>
                  <w:tcBorders>
                    <w:tl2br w:val="nil"/>
                    <w:tr2bl w:val="nil"/>
                  </w:tcBorders>
                  <w:noWrap w:val="0"/>
                  <w:vAlign w:val="center"/>
                </w:tcPr>
                <w:p w14:paraId="4FB3CBFE">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
                      <w:vanish w:val="0"/>
                      <w:color w:val="000000" w:themeColor="text1"/>
                      <w:sz w:val="21"/>
                      <w:szCs w:val="21"/>
                      <w14:textFill>
                        <w14:solidFill>
                          <w14:schemeClr w14:val="tx1"/>
                        </w14:solidFill>
                      </w14:textFill>
                    </w:rPr>
                    <w:t>预测方位</w:t>
                  </w:r>
                </w:p>
              </w:tc>
              <w:tc>
                <w:tcPr>
                  <w:tcW w:w="2409" w:type="dxa"/>
                  <w:gridSpan w:val="3"/>
                  <w:tcBorders>
                    <w:tl2br w:val="nil"/>
                    <w:tr2bl w:val="nil"/>
                  </w:tcBorders>
                  <w:noWrap w:val="0"/>
                  <w:vAlign w:val="center"/>
                </w:tcPr>
                <w:p w14:paraId="565C3081">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
                      <w:vanish w:val="0"/>
                      <w:color w:val="000000" w:themeColor="text1"/>
                      <w:sz w:val="21"/>
                      <w:szCs w:val="21"/>
                      <w:lang w:val="en-US" w:eastAsia="zh-CN"/>
                      <w14:textFill>
                        <w14:solidFill>
                          <w14:schemeClr w14:val="tx1"/>
                        </w14:solidFill>
                      </w14:textFill>
                    </w:rPr>
                    <w:t>最大值点</w:t>
                  </w:r>
                  <w:r>
                    <w:rPr>
                      <w:rFonts w:hint="default" w:ascii="Times New Roman" w:hAnsi="Times New Roman" w:eastAsia="宋体" w:cs="Times New Roman"/>
                      <w:b/>
                      <w:vanish w:val="0"/>
                      <w:color w:val="000000" w:themeColor="text1"/>
                      <w:sz w:val="21"/>
                      <w:szCs w:val="21"/>
                      <w14:textFill>
                        <w14:solidFill>
                          <w14:schemeClr w14:val="tx1"/>
                        </w14:solidFill>
                      </w14:textFill>
                    </w:rPr>
                    <w:t>空间相对位置/m</w:t>
                  </w:r>
                </w:p>
              </w:tc>
              <w:tc>
                <w:tcPr>
                  <w:tcW w:w="993" w:type="dxa"/>
                  <w:vMerge w:val="restart"/>
                  <w:tcBorders>
                    <w:tl2br w:val="nil"/>
                    <w:tr2bl w:val="nil"/>
                  </w:tcBorders>
                  <w:noWrap w:val="0"/>
                  <w:vAlign w:val="center"/>
                </w:tcPr>
                <w:p w14:paraId="30D6E488">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
                      <w:vanish w:val="0"/>
                      <w:color w:val="000000" w:themeColor="text1"/>
                      <w:sz w:val="21"/>
                      <w:szCs w:val="21"/>
                      <w14:textFill>
                        <w14:solidFill>
                          <w14:schemeClr w14:val="tx1"/>
                        </w14:solidFill>
                      </w14:textFill>
                    </w:rPr>
                    <w:t>时段</w:t>
                  </w:r>
                </w:p>
              </w:tc>
              <w:tc>
                <w:tcPr>
                  <w:tcW w:w="1417" w:type="dxa"/>
                  <w:vMerge w:val="restart"/>
                  <w:tcBorders>
                    <w:tl2br w:val="nil"/>
                    <w:tr2bl w:val="nil"/>
                  </w:tcBorders>
                  <w:noWrap w:val="0"/>
                  <w:vAlign w:val="center"/>
                </w:tcPr>
                <w:p w14:paraId="60B92A23">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
                      <w:vanish w:val="0"/>
                      <w:color w:val="000000" w:themeColor="text1"/>
                      <w:sz w:val="21"/>
                      <w:szCs w:val="21"/>
                      <w14:textFill>
                        <w14:solidFill>
                          <w14:schemeClr w14:val="tx1"/>
                        </w14:solidFill>
                      </w14:textFill>
                    </w:rPr>
                    <w:t>贡献值（dB</w:t>
                  </w:r>
                  <w:r>
                    <w:rPr>
                      <w:rFonts w:hint="eastAsia" w:ascii="Times New Roman" w:hAnsi="Times New Roman" w:eastAsia="宋体" w:cs="Times New Roman"/>
                      <w:b/>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nish w:val="0"/>
                      <w:color w:val="000000" w:themeColor="text1"/>
                      <w:sz w:val="21"/>
                      <w:szCs w:val="21"/>
                      <w14:textFill>
                        <w14:solidFill>
                          <w14:schemeClr w14:val="tx1"/>
                        </w14:solidFill>
                      </w14:textFill>
                    </w:rPr>
                    <w:t>A</w:t>
                  </w:r>
                  <w:r>
                    <w:rPr>
                      <w:rFonts w:hint="eastAsia" w:ascii="Times New Roman" w:hAnsi="Times New Roman" w:eastAsia="宋体" w:cs="Times New Roman"/>
                      <w:b/>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nish w:val="0"/>
                      <w:color w:val="000000" w:themeColor="text1"/>
                      <w:sz w:val="21"/>
                      <w:szCs w:val="21"/>
                      <w14:textFill>
                        <w14:solidFill>
                          <w14:schemeClr w14:val="tx1"/>
                        </w14:solidFill>
                      </w14:textFill>
                    </w:rPr>
                    <w:t>）</w:t>
                  </w:r>
                </w:p>
              </w:tc>
              <w:tc>
                <w:tcPr>
                  <w:tcW w:w="1418" w:type="dxa"/>
                  <w:vMerge w:val="restart"/>
                  <w:tcBorders>
                    <w:tl2br w:val="nil"/>
                    <w:tr2bl w:val="nil"/>
                  </w:tcBorders>
                  <w:noWrap w:val="0"/>
                  <w:vAlign w:val="center"/>
                </w:tcPr>
                <w:p w14:paraId="71588191">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
                      <w:vanish w:val="0"/>
                      <w:color w:val="000000" w:themeColor="text1"/>
                      <w:sz w:val="21"/>
                      <w:szCs w:val="21"/>
                      <w14:textFill>
                        <w14:solidFill>
                          <w14:schemeClr w14:val="tx1"/>
                        </w14:solidFill>
                      </w14:textFill>
                    </w:rPr>
                    <w:t>标准限值（dB</w:t>
                  </w:r>
                  <w:r>
                    <w:rPr>
                      <w:rFonts w:hint="eastAsia" w:ascii="Times New Roman" w:hAnsi="Times New Roman" w:eastAsia="宋体" w:cs="Times New Roman"/>
                      <w:b/>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nish w:val="0"/>
                      <w:color w:val="000000" w:themeColor="text1"/>
                      <w:sz w:val="21"/>
                      <w:szCs w:val="21"/>
                      <w14:textFill>
                        <w14:solidFill>
                          <w14:schemeClr w14:val="tx1"/>
                        </w14:solidFill>
                      </w14:textFill>
                    </w:rPr>
                    <w:t>A</w:t>
                  </w:r>
                  <w:r>
                    <w:rPr>
                      <w:rFonts w:hint="eastAsia" w:ascii="Times New Roman" w:hAnsi="Times New Roman" w:eastAsia="宋体" w:cs="Times New Roman"/>
                      <w:b/>
                      <w:vanish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nish w:val="0"/>
                      <w:color w:val="000000" w:themeColor="text1"/>
                      <w:sz w:val="21"/>
                      <w:szCs w:val="21"/>
                      <w14:textFill>
                        <w14:solidFill>
                          <w14:schemeClr w14:val="tx1"/>
                        </w14:solidFill>
                      </w14:textFill>
                    </w:rPr>
                    <w:t>）</w:t>
                  </w:r>
                </w:p>
              </w:tc>
              <w:tc>
                <w:tcPr>
                  <w:tcW w:w="1188" w:type="dxa"/>
                  <w:vMerge w:val="restart"/>
                  <w:tcBorders>
                    <w:tl2br w:val="nil"/>
                    <w:tr2bl w:val="nil"/>
                  </w:tcBorders>
                  <w:noWrap w:val="0"/>
                  <w:vAlign w:val="center"/>
                </w:tcPr>
                <w:p w14:paraId="095B49AB">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b/>
                      <w:vanish w:val="0"/>
                      <w:color w:val="000000" w:themeColor="text1"/>
                      <w:sz w:val="21"/>
                      <w:szCs w:val="21"/>
                      <w14:textFill>
                        <w14:solidFill>
                          <w14:schemeClr w14:val="tx1"/>
                        </w14:solidFill>
                      </w14:textFill>
                    </w:rPr>
                    <w:t>达标情况</w:t>
                  </w:r>
                </w:p>
              </w:tc>
            </w:tr>
            <w:tr w14:paraId="0EBEF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hidden/>
              </w:trPr>
              <w:tc>
                <w:tcPr>
                  <w:tcW w:w="1101" w:type="dxa"/>
                  <w:vMerge w:val="continue"/>
                  <w:tcBorders>
                    <w:tl2br w:val="nil"/>
                    <w:tr2bl w:val="nil"/>
                  </w:tcBorders>
                  <w:shd w:val="clear" w:color="auto" w:fill="FFFFFF"/>
                  <w:noWrap w:val="0"/>
                  <w:vAlign w:val="center"/>
                </w:tcPr>
                <w:p w14:paraId="1F1685B3">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p>
              </w:tc>
              <w:tc>
                <w:tcPr>
                  <w:tcW w:w="803" w:type="dxa"/>
                  <w:tcBorders>
                    <w:tl2br w:val="nil"/>
                    <w:tr2bl w:val="nil"/>
                  </w:tcBorders>
                  <w:shd w:val="clear" w:color="auto" w:fill="FFFFFF"/>
                  <w:noWrap w:val="0"/>
                  <w:vAlign w:val="center"/>
                </w:tcPr>
                <w:p w14:paraId="599DF9CC">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X</w:t>
                  </w:r>
                </w:p>
              </w:tc>
              <w:tc>
                <w:tcPr>
                  <w:tcW w:w="803" w:type="dxa"/>
                  <w:tcBorders>
                    <w:tl2br w:val="nil"/>
                    <w:tr2bl w:val="nil"/>
                  </w:tcBorders>
                  <w:shd w:val="clear" w:color="auto" w:fill="FFFFFF"/>
                  <w:noWrap w:val="0"/>
                  <w:vAlign w:val="center"/>
                </w:tcPr>
                <w:p w14:paraId="065BEE02">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Y</w:t>
                  </w:r>
                </w:p>
              </w:tc>
              <w:tc>
                <w:tcPr>
                  <w:tcW w:w="803" w:type="dxa"/>
                  <w:tcBorders>
                    <w:tl2br w:val="nil"/>
                    <w:tr2bl w:val="nil"/>
                  </w:tcBorders>
                  <w:shd w:val="clear" w:color="auto" w:fill="FFFFFF"/>
                  <w:noWrap w:val="0"/>
                  <w:vAlign w:val="center"/>
                </w:tcPr>
                <w:p w14:paraId="1E4A45E2">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Z</w:t>
                  </w:r>
                </w:p>
              </w:tc>
              <w:tc>
                <w:tcPr>
                  <w:tcW w:w="993" w:type="dxa"/>
                  <w:vMerge w:val="continue"/>
                  <w:tcBorders>
                    <w:tl2br w:val="nil"/>
                    <w:tr2bl w:val="nil"/>
                  </w:tcBorders>
                  <w:shd w:val="clear" w:color="auto" w:fill="FFFFFF"/>
                  <w:noWrap w:val="0"/>
                  <w:vAlign w:val="center"/>
                </w:tcPr>
                <w:p w14:paraId="23266F97">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p>
              </w:tc>
              <w:tc>
                <w:tcPr>
                  <w:tcW w:w="1417" w:type="dxa"/>
                  <w:vMerge w:val="continue"/>
                  <w:tcBorders>
                    <w:tl2br w:val="nil"/>
                    <w:tr2bl w:val="nil"/>
                  </w:tcBorders>
                  <w:shd w:val="clear" w:color="auto" w:fill="FFFFFF"/>
                  <w:noWrap w:val="0"/>
                  <w:vAlign w:val="center"/>
                </w:tcPr>
                <w:p w14:paraId="0B72B148">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p>
              </w:tc>
              <w:tc>
                <w:tcPr>
                  <w:tcW w:w="1418" w:type="dxa"/>
                  <w:vMerge w:val="continue"/>
                  <w:tcBorders>
                    <w:tl2br w:val="nil"/>
                    <w:tr2bl w:val="nil"/>
                  </w:tcBorders>
                  <w:shd w:val="clear" w:color="auto" w:fill="FFFFFF"/>
                  <w:noWrap w:val="0"/>
                  <w:vAlign w:val="center"/>
                </w:tcPr>
                <w:p w14:paraId="5F4D73A7">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p>
              </w:tc>
              <w:tc>
                <w:tcPr>
                  <w:tcW w:w="1188" w:type="dxa"/>
                  <w:vMerge w:val="continue"/>
                  <w:tcBorders>
                    <w:tl2br w:val="nil"/>
                    <w:tr2bl w:val="nil"/>
                  </w:tcBorders>
                  <w:shd w:val="clear" w:color="auto" w:fill="FFFFFF"/>
                  <w:noWrap w:val="0"/>
                  <w:vAlign w:val="center"/>
                </w:tcPr>
                <w:p w14:paraId="06B153E7">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p>
              </w:tc>
            </w:tr>
            <w:tr w14:paraId="47C64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hidden/>
              </w:trPr>
              <w:tc>
                <w:tcPr>
                  <w:tcW w:w="1101" w:type="dxa"/>
                  <w:tcBorders>
                    <w:tl2br w:val="nil"/>
                    <w:tr2bl w:val="nil"/>
                  </w:tcBorders>
                  <w:shd w:val="clear" w:color="auto" w:fill="FFFFFF"/>
                  <w:noWrap w:val="0"/>
                  <w:vAlign w:val="center"/>
                </w:tcPr>
                <w:p w14:paraId="2A76BD76">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东侧</w:t>
                  </w:r>
                </w:p>
              </w:tc>
              <w:tc>
                <w:tcPr>
                  <w:tcW w:w="803" w:type="dxa"/>
                  <w:tcBorders>
                    <w:tl2br w:val="nil"/>
                    <w:tr2bl w:val="nil"/>
                  </w:tcBorders>
                  <w:shd w:val="clear" w:color="auto" w:fill="FFFFFF"/>
                  <w:noWrap w:val="0"/>
                  <w:vAlign w:val="center"/>
                </w:tcPr>
                <w:p w14:paraId="2D091F1C">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45.4</w:t>
                  </w:r>
                </w:p>
              </w:tc>
              <w:tc>
                <w:tcPr>
                  <w:tcW w:w="803" w:type="dxa"/>
                  <w:tcBorders>
                    <w:tl2br w:val="nil"/>
                    <w:tr2bl w:val="nil"/>
                  </w:tcBorders>
                  <w:shd w:val="clear" w:color="auto" w:fill="FFFFFF"/>
                  <w:noWrap w:val="0"/>
                  <w:vAlign w:val="center"/>
                </w:tcPr>
                <w:p w14:paraId="089EC0A1">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-0.1</w:t>
                  </w:r>
                </w:p>
              </w:tc>
              <w:tc>
                <w:tcPr>
                  <w:tcW w:w="803" w:type="dxa"/>
                  <w:tcBorders>
                    <w:tl2br w:val="nil"/>
                    <w:tr2bl w:val="nil"/>
                  </w:tcBorders>
                  <w:shd w:val="clear" w:color="auto" w:fill="FFFFFF"/>
                  <w:noWrap w:val="0"/>
                  <w:vAlign w:val="center"/>
                </w:tcPr>
                <w:p w14:paraId="69671381">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1.2</w:t>
                  </w:r>
                </w:p>
              </w:tc>
              <w:tc>
                <w:tcPr>
                  <w:tcW w:w="993" w:type="dxa"/>
                  <w:tcBorders>
                    <w:tl2br w:val="nil"/>
                    <w:tr2bl w:val="nil"/>
                  </w:tcBorders>
                  <w:shd w:val="clear" w:color="auto" w:fill="FFFFFF"/>
                  <w:noWrap w:val="0"/>
                  <w:vAlign w:val="center"/>
                </w:tcPr>
                <w:p w14:paraId="4D66AA54">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昼间</w:t>
                  </w:r>
                </w:p>
              </w:tc>
              <w:tc>
                <w:tcPr>
                  <w:tcW w:w="1417" w:type="dxa"/>
                  <w:tcBorders>
                    <w:tl2br w:val="nil"/>
                    <w:tr2bl w:val="nil"/>
                  </w:tcBorders>
                  <w:shd w:val="clear" w:color="auto" w:fill="FFFFFF"/>
                  <w:noWrap w:val="0"/>
                  <w:vAlign w:val="center"/>
                </w:tcPr>
                <w:p w14:paraId="37C4390F">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51.6</w:t>
                  </w:r>
                </w:p>
              </w:tc>
              <w:tc>
                <w:tcPr>
                  <w:tcW w:w="1418" w:type="dxa"/>
                  <w:tcBorders>
                    <w:tl2br w:val="nil"/>
                    <w:tr2bl w:val="nil"/>
                  </w:tcBorders>
                  <w:shd w:val="clear" w:color="auto" w:fill="FFFFFF"/>
                  <w:noWrap w:val="0"/>
                  <w:vAlign w:val="center"/>
                </w:tcPr>
                <w:p w14:paraId="39F4111C">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60</w:t>
                  </w:r>
                </w:p>
              </w:tc>
              <w:tc>
                <w:tcPr>
                  <w:tcW w:w="1188" w:type="dxa"/>
                  <w:tcBorders>
                    <w:tl2br w:val="nil"/>
                    <w:tr2bl w:val="nil"/>
                  </w:tcBorders>
                  <w:shd w:val="clear" w:color="auto" w:fill="FFFFFF"/>
                  <w:noWrap w:val="0"/>
                  <w:vAlign w:val="center"/>
                </w:tcPr>
                <w:p w14:paraId="2274ECB0">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r w14:paraId="05B8F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hidden/>
              </w:trPr>
              <w:tc>
                <w:tcPr>
                  <w:tcW w:w="1101" w:type="dxa"/>
                  <w:tcBorders>
                    <w:tl2br w:val="nil"/>
                    <w:tr2bl w:val="nil"/>
                  </w:tcBorders>
                  <w:shd w:val="clear" w:color="auto" w:fill="FFFFFF"/>
                  <w:noWrap w:val="0"/>
                  <w:vAlign w:val="center"/>
                </w:tcPr>
                <w:p w14:paraId="707C258D">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南侧</w:t>
                  </w:r>
                </w:p>
              </w:tc>
              <w:tc>
                <w:tcPr>
                  <w:tcW w:w="803" w:type="dxa"/>
                  <w:tcBorders>
                    <w:tl2br w:val="nil"/>
                    <w:tr2bl w:val="nil"/>
                  </w:tcBorders>
                  <w:shd w:val="clear" w:color="auto" w:fill="FFFFFF"/>
                  <w:noWrap w:val="0"/>
                  <w:vAlign w:val="center"/>
                </w:tcPr>
                <w:p w14:paraId="03C59D41">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28.1</w:t>
                  </w:r>
                </w:p>
              </w:tc>
              <w:tc>
                <w:tcPr>
                  <w:tcW w:w="803" w:type="dxa"/>
                  <w:tcBorders>
                    <w:tl2br w:val="nil"/>
                    <w:tr2bl w:val="nil"/>
                  </w:tcBorders>
                  <w:shd w:val="clear" w:color="auto" w:fill="FFFFFF"/>
                  <w:noWrap w:val="0"/>
                  <w:vAlign w:val="center"/>
                </w:tcPr>
                <w:p w14:paraId="0623402D">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-32.8</w:t>
                  </w:r>
                </w:p>
              </w:tc>
              <w:tc>
                <w:tcPr>
                  <w:tcW w:w="803" w:type="dxa"/>
                  <w:tcBorders>
                    <w:tl2br w:val="nil"/>
                    <w:tr2bl w:val="nil"/>
                  </w:tcBorders>
                  <w:shd w:val="clear" w:color="auto" w:fill="FFFFFF"/>
                  <w:noWrap w:val="0"/>
                  <w:vAlign w:val="center"/>
                </w:tcPr>
                <w:p w14:paraId="4ACDC1B4">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1.2</w:t>
                  </w:r>
                </w:p>
              </w:tc>
              <w:tc>
                <w:tcPr>
                  <w:tcW w:w="993" w:type="dxa"/>
                  <w:tcBorders>
                    <w:tl2br w:val="nil"/>
                    <w:tr2bl w:val="nil"/>
                  </w:tcBorders>
                  <w:shd w:val="clear" w:color="auto" w:fill="FFFFFF"/>
                  <w:noWrap w:val="0"/>
                  <w:vAlign w:val="center"/>
                </w:tcPr>
                <w:p w14:paraId="5B070492">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昼间</w:t>
                  </w:r>
                </w:p>
              </w:tc>
              <w:tc>
                <w:tcPr>
                  <w:tcW w:w="1417" w:type="dxa"/>
                  <w:tcBorders>
                    <w:tl2br w:val="nil"/>
                    <w:tr2bl w:val="nil"/>
                  </w:tcBorders>
                  <w:shd w:val="clear" w:color="auto" w:fill="FFFFFF"/>
                  <w:noWrap w:val="0"/>
                  <w:vAlign w:val="center"/>
                </w:tcPr>
                <w:p w14:paraId="62FB5A28">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53.9</w:t>
                  </w:r>
                </w:p>
              </w:tc>
              <w:tc>
                <w:tcPr>
                  <w:tcW w:w="1418" w:type="dxa"/>
                  <w:tcBorders>
                    <w:tl2br w:val="nil"/>
                    <w:tr2bl w:val="nil"/>
                  </w:tcBorders>
                  <w:shd w:val="clear" w:color="auto" w:fill="FFFFFF"/>
                  <w:noWrap w:val="0"/>
                  <w:vAlign w:val="center"/>
                </w:tcPr>
                <w:p w14:paraId="4B7C2610">
                  <w:pPr>
                    <w:jc w:val="cente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60</w:t>
                  </w:r>
                </w:p>
              </w:tc>
              <w:tc>
                <w:tcPr>
                  <w:tcW w:w="1188" w:type="dxa"/>
                  <w:tcBorders>
                    <w:tl2br w:val="nil"/>
                    <w:tr2bl w:val="nil"/>
                  </w:tcBorders>
                  <w:shd w:val="clear" w:color="auto" w:fill="FFFFFF"/>
                  <w:noWrap w:val="0"/>
                  <w:vAlign w:val="center"/>
                </w:tcPr>
                <w:p w14:paraId="23013A62">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r w14:paraId="4A7AD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hidden/>
              </w:trPr>
              <w:tc>
                <w:tcPr>
                  <w:tcW w:w="1101" w:type="dxa"/>
                  <w:tcBorders>
                    <w:tl2br w:val="nil"/>
                    <w:tr2bl w:val="nil"/>
                  </w:tcBorders>
                  <w:shd w:val="clear" w:color="auto" w:fill="FFFFFF"/>
                  <w:noWrap w:val="0"/>
                  <w:vAlign w:val="center"/>
                </w:tcPr>
                <w:p w14:paraId="1F91133C">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西侧</w:t>
                  </w:r>
                </w:p>
              </w:tc>
              <w:tc>
                <w:tcPr>
                  <w:tcW w:w="803" w:type="dxa"/>
                  <w:tcBorders>
                    <w:tl2br w:val="nil"/>
                    <w:tr2bl w:val="nil"/>
                  </w:tcBorders>
                  <w:shd w:val="clear" w:color="auto" w:fill="FFFFFF"/>
                  <w:noWrap w:val="0"/>
                  <w:vAlign w:val="center"/>
                </w:tcPr>
                <w:p w14:paraId="2BF6C2EA">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-25.7</w:t>
                  </w:r>
                </w:p>
              </w:tc>
              <w:tc>
                <w:tcPr>
                  <w:tcW w:w="803" w:type="dxa"/>
                  <w:tcBorders>
                    <w:tl2br w:val="nil"/>
                    <w:tr2bl w:val="nil"/>
                  </w:tcBorders>
                  <w:shd w:val="clear" w:color="auto" w:fill="FFFFFF"/>
                  <w:noWrap w:val="0"/>
                  <w:vAlign w:val="center"/>
                </w:tcPr>
                <w:p w14:paraId="59B29195">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-7.2</w:t>
                  </w:r>
                </w:p>
              </w:tc>
              <w:tc>
                <w:tcPr>
                  <w:tcW w:w="803" w:type="dxa"/>
                  <w:tcBorders>
                    <w:tl2br w:val="nil"/>
                    <w:tr2bl w:val="nil"/>
                  </w:tcBorders>
                  <w:shd w:val="clear" w:color="auto" w:fill="FFFFFF"/>
                  <w:noWrap w:val="0"/>
                  <w:vAlign w:val="center"/>
                </w:tcPr>
                <w:p w14:paraId="584C289D">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1.2</w:t>
                  </w:r>
                </w:p>
              </w:tc>
              <w:tc>
                <w:tcPr>
                  <w:tcW w:w="993" w:type="dxa"/>
                  <w:tcBorders>
                    <w:tl2br w:val="nil"/>
                    <w:tr2bl w:val="nil"/>
                  </w:tcBorders>
                  <w:shd w:val="clear" w:color="auto" w:fill="FFFFFF"/>
                  <w:noWrap w:val="0"/>
                  <w:vAlign w:val="center"/>
                </w:tcPr>
                <w:p w14:paraId="02002A57">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昼间</w:t>
                  </w:r>
                </w:p>
              </w:tc>
              <w:tc>
                <w:tcPr>
                  <w:tcW w:w="1417" w:type="dxa"/>
                  <w:tcBorders>
                    <w:tl2br w:val="nil"/>
                    <w:tr2bl w:val="nil"/>
                  </w:tcBorders>
                  <w:shd w:val="clear" w:color="auto" w:fill="FFFFFF"/>
                  <w:noWrap w:val="0"/>
                  <w:vAlign w:val="center"/>
                </w:tcPr>
                <w:p w14:paraId="3E08EBD5">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34.2</w:t>
                  </w:r>
                </w:p>
              </w:tc>
              <w:tc>
                <w:tcPr>
                  <w:tcW w:w="1418" w:type="dxa"/>
                  <w:tcBorders>
                    <w:tl2br w:val="nil"/>
                    <w:tr2bl w:val="nil"/>
                  </w:tcBorders>
                  <w:shd w:val="clear" w:color="auto" w:fill="FFFFFF"/>
                  <w:noWrap w:val="0"/>
                  <w:vAlign w:val="center"/>
                </w:tcPr>
                <w:p w14:paraId="578B69CE">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60</w:t>
                  </w:r>
                </w:p>
              </w:tc>
              <w:tc>
                <w:tcPr>
                  <w:tcW w:w="1188" w:type="dxa"/>
                  <w:tcBorders>
                    <w:tl2br w:val="nil"/>
                    <w:tr2bl w:val="nil"/>
                  </w:tcBorders>
                  <w:shd w:val="clear" w:color="auto" w:fill="FFFFFF"/>
                  <w:noWrap w:val="0"/>
                  <w:vAlign w:val="center"/>
                </w:tcPr>
                <w:p w14:paraId="31143E25">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r w14:paraId="660D8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hidden/>
              </w:trPr>
              <w:tc>
                <w:tcPr>
                  <w:tcW w:w="1101" w:type="dxa"/>
                  <w:tcBorders>
                    <w:tl2br w:val="nil"/>
                    <w:tr2bl w:val="nil"/>
                  </w:tcBorders>
                  <w:shd w:val="clear" w:color="auto" w:fill="FFFFFF"/>
                  <w:noWrap w:val="0"/>
                  <w:vAlign w:val="center"/>
                </w:tcPr>
                <w:p w14:paraId="316BCDAC">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北侧</w:t>
                  </w:r>
                </w:p>
              </w:tc>
              <w:tc>
                <w:tcPr>
                  <w:tcW w:w="803" w:type="dxa"/>
                  <w:tcBorders>
                    <w:tl2br w:val="nil"/>
                    <w:tr2bl w:val="nil"/>
                  </w:tcBorders>
                  <w:shd w:val="clear" w:color="auto" w:fill="FFFFFF"/>
                  <w:noWrap w:val="0"/>
                  <w:vAlign w:val="center"/>
                </w:tcPr>
                <w:p w14:paraId="5C2022A9">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-6.2</w:t>
                  </w:r>
                </w:p>
              </w:tc>
              <w:tc>
                <w:tcPr>
                  <w:tcW w:w="803" w:type="dxa"/>
                  <w:tcBorders>
                    <w:tl2br w:val="nil"/>
                    <w:tr2bl w:val="nil"/>
                  </w:tcBorders>
                  <w:shd w:val="clear" w:color="auto" w:fill="FFFFFF"/>
                  <w:noWrap w:val="0"/>
                  <w:vAlign w:val="center"/>
                </w:tcPr>
                <w:p w14:paraId="55F5339C">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26.6</w:t>
                  </w:r>
                </w:p>
              </w:tc>
              <w:tc>
                <w:tcPr>
                  <w:tcW w:w="803" w:type="dxa"/>
                  <w:tcBorders>
                    <w:tl2br w:val="nil"/>
                    <w:tr2bl w:val="nil"/>
                  </w:tcBorders>
                  <w:shd w:val="clear" w:color="auto" w:fill="FFFFFF"/>
                  <w:noWrap w:val="0"/>
                  <w:vAlign w:val="center"/>
                </w:tcPr>
                <w:p w14:paraId="581DE538">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1.2</w:t>
                  </w:r>
                </w:p>
              </w:tc>
              <w:tc>
                <w:tcPr>
                  <w:tcW w:w="993" w:type="dxa"/>
                  <w:tcBorders>
                    <w:tl2br w:val="nil"/>
                    <w:tr2bl w:val="nil"/>
                  </w:tcBorders>
                  <w:shd w:val="clear" w:color="auto" w:fill="FFFFFF"/>
                  <w:noWrap w:val="0"/>
                  <w:vAlign w:val="center"/>
                </w:tcPr>
                <w:p w14:paraId="239B9EE1">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昼间</w:t>
                  </w:r>
                </w:p>
              </w:tc>
              <w:tc>
                <w:tcPr>
                  <w:tcW w:w="1417" w:type="dxa"/>
                  <w:tcBorders>
                    <w:tl2br w:val="nil"/>
                    <w:tr2bl w:val="nil"/>
                  </w:tcBorders>
                  <w:shd w:val="clear" w:color="auto" w:fill="FFFFFF"/>
                  <w:noWrap w:val="0"/>
                  <w:vAlign w:val="center"/>
                </w:tcPr>
                <w:p w14:paraId="40C257E1">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34.2</w:t>
                  </w:r>
                </w:p>
              </w:tc>
              <w:tc>
                <w:tcPr>
                  <w:tcW w:w="1418" w:type="dxa"/>
                  <w:tcBorders>
                    <w:tl2br w:val="nil"/>
                    <w:tr2bl w:val="nil"/>
                  </w:tcBorders>
                  <w:shd w:val="clear" w:color="auto" w:fill="FFFFFF"/>
                  <w:noWrap w:val="0"/>
                  <w:vAlign w:val="center"/>
                </w:tcPr>
                <w:p w14:paraId="4B806133">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60</w:t>
                  </w:r>
                </w:p>
              </w:tc>
              <w:tc>
                <w:tcPr>
                  <w:tcW w:w="1188" w:type="dxa"/>
                  <w:tcBorders>
                    <w:tl2br w:val="nil"/>
                    <w:tr2bl w:val="nil"/>
                  </w:tcBorders>
                  <w:shd w:val="clear" w:color="auto" w:fill="FFFFFF"/>
                  <w:noWrap w:val="0"/>
                  <w:vAlign w:val="center"/>
                </w:tcPr>
                <w:p w14:paraId="30C5F077">
                  <w:pPr>
                    <w:jc w:val="center"/>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达标</w:t>
                  </w:r>
                </w:p>
              </w:tc>
            </w:tr>
          </w:tbl>
          <w:p w14:paraId="7807BB46">
            <w:pPr>
              <w:pStyle w:val="11"/>
              <w:spacing w:before="0" w:beforeAutospacing="0" w:after="0" w:afterAutospacing="0" w:line="360" w:lineRule="auto"/>
              <w:ind w:left="0" w:leftChars="0" w:firstLine="420" w:firstLineChars="200"/>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14:textFill>
                  <w14:solidFill>
                    <w14:schemeClr w14:val="tx1"/>
                  </w14:solidFill>
                </w14:textFill>
              </w:rPr>
              <w:t>根据上述预测结果可知，</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运行期间净化水厂</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厂界四周噪声昼间贡献值均符合《工业企业厂界环境噪声排放标准》</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GB12348-2008</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2类区标准要求</w:t>
            </w:r>
            <w:r>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t>。</w:t>
            </w:r>
          </w:p>
          <w:p w14:paraId="1EA73CB7">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jc w:val="both"/>
              <w:textAlignment w:val="auto"/>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四、</w:t>
            </w: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固体废物环境影响和保护措施</w:t>
            </w:r>
          </w:p>
          <w:p w14:paraId="38A0376F">
            <w:pPr>
              <w:pStyle w:val="15"/>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420" w:firstLineChars="200"/>
              <w:jc w:val="both"/>
              <w:textAlignment w:val="auto"/>
              <w:rPr>
                <w:rFonts w:hint="default"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vanish w:val="0"/>
                <w:color w:val="000000" w:themeColor="text1"/>
                <w:kern w:val="2"/>
                <w:sz w:val="21"/>
                <w:szCs w:val="24"/>
                <w:lang w:val="en-US" w:eastAsia="zh-CN" w:bidi="ar-SA"/>
                <w14:textFill>
                  <w14:solidFill>
                    <w14:schemeClr w14:val="tx1"/>
                  </w14:solidFill>
                </w14:textFill>
              </w:rPr>
              <w:t>1、固体废物产生及处置情况</w:t>
            </w:r>
          </w:p>
          <w:p w14:paraId="592E9426">
            <w:pPr>
              <w:pStyle w:val="70"/>
              <w:keepNext w:val="0"/>
              <w:keepLines w:val="0"/>
              <w:pageBreakBefore w:val="0"/>
              <w:kinsoku/>
              <w:wordWrap/>
              <w:overflowPunct/>
              <w:topLinePunct/>
              <w:autoSpaceDE/>
              <w:autoSpaceDN/>
              <w:bidi w:val="0"/>
              <w:adjustRightInd w:val="0"/>
              <w:snapToGrid w:val="0"/>
              <w:spacing w:line="360" w:lineRule="auto"/>
              <w:ind w:firstLine="480"/>
              <w:textAlignment w:val="auto"/>
              <w:rPr>
                <w:rFonts w:hint="default" w:ascii="Times New Roman" w:hAnsi="Times New Roman" w:cs="Times New Roman"/>
                <w:vanish w:val="0"/>
                <w:color w:val="000000" w:themeColor="text1"/>
                <w:sz w:val="21"/>
                <w:szCs w:val="21"/>
                <w:lang w:eastAsia="zh-CN"/>
                <w14:textFill>
                  <w14:solidFill>
                    <w14:schemeClr w14:val="tx1"/>
                  </w14:solidFill>
                </w14:textFill>
              </w:rPr>
            </w:pPr>
            <w:r>
              <w:rPr>
                <w:rFonts w:hint="eastAsia" w:ascii="Times New Roman" w:cs="Times New Roman"/>
                <w:vanish w:val="0"/>
                <w:color w:val="000000" w:themeColor="text1"/>
                <w:sz w:val="21"/>
                <w:szCs w:val="21"/>
                <w:lang w:val="en-US" w:eastAsia="zh-CN"/>
                <w14:textFill>
                  <w14:solidFill>
                    <w14:schemeClr w14:val="tx1"/>
                  </w14:solidFill>
                </w14:textFill>
              </w:rPr>
              <w:t>（1）</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生活垃圾</w:t>
            </w:r>
          </w:p>
          <w:p w14:paraId="2217FFAC">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eastAsia="zh-CN"/>
                <w14:textFill>
                  <w14:solidFill>
                    <w14:schemeClr w14:val="tx1"/>
                  </w14:solidFill>
                </w14:textFill>
              </w:rPr>
              <w:t>员工日常生活会产生一定量的生活垃圾</w:t>
            </w:r>
            <w:r>
              <w:rPr>
                <w:rFonts w:hint="default" w:ascii="Times New Roman" w:hAnsi="Times New Roman" w:cs="Times New Roman"/>
                <w:vanish w:val="0"/>
                <w:color w:val="000000" w:themeColor="text1"/>
                <w:sz w:val="21"/>
                <w:szCs w:val="21"/>
                <w14:textFill>
                  <w14:solidFill>
                    <w14:schemeClr w14:val="tx1"/>
                  </w14:solidFill>
                </w14:textFill>
              </w:rPr>
              <w:t>，</w:t>
            </w:r>
            <w:r>
              <w:rPr>
                <w:rFonts w:hint="default" w:ascii="Times New Roman" w:hAnsi="Times New Roman" w:cs="Times New Roman"/>
                <w:vanish w:val="0"/>
                <w:color w:val="000000" w:themeColor="text1"/>
                <w:sz w:val="21"/>
                <w:szCs w:val="21"/>
                <w:lang w:eastAsia="zh-CN"/>
                <w14:textFill>
                  <w14:solidFill>
                    <w14:schemeClr w14:val="tx1"/>
                  </w14:solidFill>
                </w14:textFill>
              </w:rPr>
              <w:t>项目劳动定员</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6</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人，</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根据《第一次全国污染源普查城镇生活源产排污系数手册》第一分册城镇居民生活源污染物产生排放系数手册可知，宝鸡市属于五区三类城市，</w:t>
            </w:r>
            <w:r>
              <w:rPr>
                <w:rFonts w:hint="default" w:ascii="Times New Roman" w:hAnsi="Times New Roman" w:cs="Times New Roman"/>
                <w:vanish w:val="0"/>
                <w:color w:val="000000" w:themeColor="text1"/>
                <w:sz w:val="21"/>
                <w:szCs w:val="21"/>
                <w14:textFill>
                  <w14:solidFill>
                    <w14:schemeClr w14:val="tx1"/>
                  </w14:solidFill>
                </w14:textFill>
              </w:rPr>
              <w:t>每人产生的生活垃圾按0.44kg/d计，则本项目产生的生活垃圾为</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2.64</w:t>
            </w:r>
            <w:r>
              <w:rPr>
                <w:rFonts w:hint="default" w:ascii="Times New Roman" w:hAnsi="Times New Roman" w:cs="Times New Roman"/>
                <w:vanish w:val="0"/>
                <w:color w:val="000000" w:themeColor="text1"/>
                <w:sz w:val="21"/>
                <w:szCs w:val="21"/>
                <w14:textFill>
                  <w14:solidFill>
                    <w14:schemeClr w14:val="tx1"/>
                  </w14:solidFill>
                </w14:textFill>
              </w:rPr>
              <w:t>kg/d，</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0.94</w:t>
            </w:r>
            <w:r>
              <w:rPr>
                <w:rFonts w:hint="default" w:ascii="Times New Roman" w:hAnsi="Times New Roman" w:cs="Times New Roman"/>
                <w:vanish w:val="0"/>
                <w:color w:val="000000" w:themeColor="text1"/>
                <w:sz w:val="21"/>
                <w:szCs w:val="21"/>
                <w14:textFill>
                  <w14:solidFill>
                    <w14:schemeClr w14:val="tx1"/>
                  </w14:solidFill>
                </w14:textFill>
              </w:rPr>
              <w:t>t/a。</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生活垃圾分类收集后集中收集定点堆放，由环卫部门定期清运。</w:t>
            </w:r>
          </w:p>
          <w:p w14:paraId="54D35C4A">
            <w:pPr>
              <w:pStyle w:val="15"/>
              <w:keepNext w:val="0"/>
              <w:keepLines w:val="0"/>
              <w:pageBreakBefore w:val="0"/>
              <w:widowControl w:val="0"/>
              <w:kinsoku/>
              <w:wordWrap/>
              <w:overflowPunct/>
              <w:topLinePunct w:val="0"/>
              <w:autoSpaceDE/>
              <w:autoSpaceDN/>
              <w:bidi w:val="0"/>
              <w:adjustRightInd w:val="0"/>
              <w:snapToGrid w:val="0"/>
              <w:spacing w:after="0" w:afterLines="0" w:line="360" w:lineRule="auto"/>
              <w:ind w:left="0" w:leftChars="0" w:firstLine="420" w:firstLineChars="200"/>
              <w:jc w:val="both"/>
              <w:textAlignment w:val="auto"/>
              <w:rPr>
                <w:rFonts w:hint="default"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2"/>
                <w:sz w:val="21"/>
                <w:szCs w:val="24"/>
                <w:lang w:val="en-US" w:eastAsia="zh-CN" w:bidi="ar-SA"/>
                <w14:textFill>
                  <w14:solidFill>
                    <w14:schemeClr w14:val="tx1"/>
                  </w14:solidFill>
                </w14:textFill>
              </w:rPr>
              <w:t>（2）污泥</w:t>
            </w:r>
          </w:p>
          <w:p w14:paraId="0CBC16FD">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干泥量与原水悬浮物（或浊度）、加药量等因素有关。由于原水悬浮物浓度随季节变化，水厂产泥量随之变化。一般取值为</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10NTU</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 xml:space="preserve">左右。 </w:t>
            </w:r>
          </w:p>
          <w:p w14:paraId="7EF9F9FE">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根据《室外给水设计规范》（</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GB50013-2006</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w:t>
            </w:r>
            <w:r>
              <w:rPr>
                <w:rFonts w:hint="eastAsia" w:cs="Times New Roman"/>
                <w:vanish w:val="0"/>
                <w:color w:val="000000" w:themeColor="text1"/>
                <w:sz w:val="21"/>
                <w:szCs w:val="21"/>
                <w:lang w:val="en-US" w:eastAsia="zh-CN"/>
                <w14:textFill>
                  <w14:solidFill>
                    <w14:schemeClr w14:val="tx1"/>
                  </w14:solidFill>
                </w14:textFill>
              </w:rPr>
              <w:t>相关要求</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 xml:space="preserve">，干泥量估算采用如下公式： </w:t>
            </w:r>
          </w:p>
          <w:p w14:paraId="2E0314EC">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 xml:space="preserve">    </w:t>
            </w:r>
            <w:r>
              <w:rPr>
                <w:vanish w:val="0"/>
                <w:color w:val="000000" w:themeColor="text1"/>
                <w14:textFill>
                  <w14:solidFill>
                    <w14:schemeClr w14:val="tx1"/>
                  </w14:solidFill>
                </w14:textFill>
              </w:rPr>
              <w:drawing>
                <wp:inline distT="0" distB="0" distL="114300" distR="114300">
                  <wp:extent cx="2209800" cy="304800"/>
                  <wp:effectExtent l="0" t="0" r="0" b="0"/>
                  <wp:docPr id="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7"/>
                          <pic:cNvPicPr>
                            <a:picLocks noChangeAspect="1"/>
                          </pic:cNvPicPr>
                        </pic:nvPicPr>
                        <pic:blipFill>
                          <a:blip r:embed="rId22"/>
                          <a:stretch>
                            <a:fillRect/>
                          </a:stretch>
                        </pic:blipFill>
                        <pic:spPr>
                          <a:xfrm>
                            <a:off x="0" y="0"/>
                            <a:ext cx="2209800" cy="304800"/>
                          </a:xfrm>
                          <a:prstGeom prst="rect">
                            <a:avLst/>
                          </a:prstGeom>
                          <a:noFill/>
                          <a:ln>
                            <a:noFill/>
                          </a:ln>
                        </pic:spPr>
                      </pic:pic>
                    </a:graphicData>
                  </a:graphic>
                </wp:inline>
              </w:drawing>
            </w:r>
          </w:p>
          <w:p w14:paraId="049DA2A3">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其中：</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C0——</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原水浊度设计取值（</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NTU</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 xml:space="preserve">）； </w:t>
            </w:r>
          </w:p>
          <w:p w14:paraId="239DB751">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K1——</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原水浊度单位</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NTU</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与悬浮物</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SS</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单位</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mg/L</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的换算系数，此处取</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1.2</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 xml:space="preserve">； </w:t>
            </w:r>
          </w:p>
          <w:p w14:paraId="4E10335C">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药剂投加量（</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mg/l</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 xml:space="preserve">）； </w:t>
            </w:r>
          </w:p>
          <w:p w14:paraId="09F4A199">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K2——</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药剂转化成泥量</w:t>
            </w:r>
            <w:bookmarkStart w:id="12" w:name="_GoBack"/>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的</w:t>
            </w:r>
            <w:bookmarkEnd w:id="12"/>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系数，此处取</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1.53</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 xml:space="preserve">； </w:t>
            </w:r>
          </w:p>
          <w:p w14:paraId="2F7462A3">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Q——</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原水流量（</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 xml:space="preserve">）； </w:t>
            </w:r>
          </w:p>
          <w:p w14:paraId="2D535316">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S——</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干泥量（</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t/d</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 xml:space="preserve">）。 </w:t>
            </w:r>
          </w:p>
          <w:p w14:paraId="412EB475">
            <w:pPr>
              <w:widowControl/>
              <w:adjustRightInd w:val="0"/>
              <w:snapToGrid w:val="0"/>
              <w:spacing w:line="360" w:lineRule="auto"/>
              <w:ind w:firstLine="420" w:firstLineChars="200"/>
              <w:jc w:val="left"/>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根据以上公式确定净化水厂污泥量（干基）约为0.2</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t/d</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，73t/a。污泥（干基）的主要为原水携带的石英砂、黏土、硅酸盐矿物（SiO₂、Al₂O₃、Fe₂O₃、CaO 等）以及投加聚合氯化铝水解生成的氢氧化铝絮体为核心絮凝沉淀组分，不含工业有毒有害废弃物，属于一般工业固废设置污泥固化池。污泥经自然晾干脱水后外运综合处置。</w:t>
            </w:r>
          </w:p>
          <w:p w14:paraId="286C08A6">
            <w:pPr>
              <w:keepNext w:val="0"/>
              <w:keepLines w:val="0"/>
              <w:pageBreakBefore w:val="0"/>
              <w:widowControl w:val="0"/>
              <w:numPr>
                <w:ilvl w:val="0"/>
                <w:numId w:val="7"/>
              </w:numPr>
              <w:tabs>
                <w:tab w:val="left" w:pos="0"/>
              </w:tabs>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药剂废包装物</w:t>
            </w:r>
          </w:p>
          <w:p w14:paraId="2781C164">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项目年消耗 PAC、PAM、工业食盐，产生塑料编织袋、纸塑包装袋，年产生量 0.035t，属于一般工业固体废物，统一收集，定期外售处置；</w:t>
            </w:r>
          </w:p>
          <w:p w14:paraId="44512F91">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（4）废滤料</w:t>
            </w:r>
          </w:p>
          <w:p w14:paraId="4518689B">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本项目净水工序涉及石英砂滤料以及离子交换树脂。其中滤池总石英砂装填量约8m</w:t>
            </w:r>
            <w:r>
              <w:rPr>
                <w:rFonts w:hint="eastAsia" w:ascii="Times New Roman" w:hAnsi="Times New Roman" w:eastAsia="宋体" w:cs="Times New Roman"/>
                <w:vanish w:val="0"/>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，堆积密度1.5t/m³，滤料5年全部更换一次，年均废弃量2.4t；软水器装填树脂 0.12m</w:t>
            </w:r>
            <w:r>
              <w:rPr>
                <w:rFonts w:hint="eastAsia" w:ascii="Times New Roman" w:hAnsi="Times New Roman" w:eastAsia="宋体" w:cs="Times New Roman"/>
                <w:vanish w:val="0"/>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，密度0.8t/m</w:t>
            </w:r>
            <w:r>
              <w:rPr>
                <w:rFonts w:hint="eastAsia" w:ascii="Times New Roman" w:hAnsi="Times New Roman" w:eastAsia="宋体" w:cs="Times New Roman"/>
                <w:vanish w:val="0"/>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，每3年更换一次，年均废弃0.032t，均为一般工业固废，由厂家负责更换回收。</w:t>
            </w:r>
          </w:p>
          <w:p w14:paraId="65279709">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（5）消毒盐酸废液</w:t>
            </w:r>
          </w:p>
          <w:p w14:paraId="2EFBF2F1">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项目配套次氯酸钠发生器采用10%稀盐酸定期清洗电解极板，设备产氯规模小、配套软水装置，水垢生成速率低，酸洗周期为6个月1次，全年酸洗2次，单次配制酸洗稀盐酸10L，全年消耗10%稀盐酸12L。酸洗后排出废酸液属于HW34类腐蚀性危险废物，代码900-300-34年产生量21kg，专用容器收集，暂存于危废贮存库，定期交有资质单位处置。</w:t>
            </w:r>
          </w:p>
          <w:p w14:paraId="43CC584B">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（6）废酸包装桶</w:t>
            </w:r>
          </w:p>
          <w:p w14:paraId="03597A45">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盛装盐酸的20L塑料桶使用后附着残留酸液，属于 HW49 类危险废物，代码900-414-49，年产生1.2kg，暂存于危废贮存库，定期交有资质单位处置。</w:t>
            </w:r>
          </w:p>
          <w:p w14:paraId="63067A83">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（7）废矿物油</w:t>
            </w:r>
          </w:p>
          <w:p w14:paraId="08954928">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净化水厂内水泵机等动力设备定期检修更换润滑油，根据建设单位提供的资料，年产生废机油5kg，属于HW08类危险废物，代码 900-249-08，专用密闭桶收集，暂存于危废贮存库，定期交有资质单位处置。</w:t>
            </w:r>
          </w:p>
          <w:p w14:paraId="449ECB8D">
            <w:pPr>
              <w:keepNext w:val="0"/>
              <w:keepLines w:val="0"/>
              <w:pageBreakBefore w:val="0"/>
              <w:widowControl w:val="0"/>
              <w:tabs>
                <w:tab w:val="left" w:pos="0"/>
              </w:tabs>
              <w:kinsoku/>
              <w:wordWrap/>
              <w:overflowPunct/>
              <w:topLinePunct/>
              <w:autoSpaceDE/>
              <w:autoSpaceDN/>
              <w:bidi w:val="0"/>
              <w:adjustRightInd w:val="0"/>
              <w:snapToGrid w:val="0"/>
              <w:spacing w:beforeAutospacing="0" w:afterAutospacing="0" w:line="360" w:lineRule="auto"/>
              <w:ind w:left="0" w:leftChars="0" w:firstLine="420" w:firstLineChars="200"/>
              <w:jc w:val="left"/>
              <w:textAlignment w:val="auto"/>
              <w:rPr>
                <w:rFonts w:hint="default" w:ascii="Times New Roman" w:hAnsi="Times New Roman" w:eastAsia="宋体" w:cs="Times New Roman"/>
                <w:b/>
                <w:bCs w:val="0"/>
                <w:vanish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本项目固体废物产生量</w:t>
            </w:r>
            <w:r>
              <w:rPr>
                <w:rFonts w:hint="eastAsia" w:ascii="Times New Roman" w:hAnsi="Times New Roman" w:eastAsia="宋体" w:cs="Times New Roman"/>
                <w:vanish w:val="0"/>
                <w:color w:val="000000" w:themeColor="text1"/>
                <w:lang w:val="en-US" w:eastAsia="zh-CN"/>
                <w14:textFill>
                  <w14:solidFill>
                    <w14:schemeClr w14:val="tx1"/>
                  </w14:solidFill>
                </w14:textFill>
              </w:rPr>
              <w:t>详见下表</w:t>
            </w: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w:t>
            </w:r>
          </w:p>
          <w:p w14:paraId="06267E80">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Chars="0"/>
              <w:jc w:val="center"/>
              <w:textAlignment w:val="auto"/>
              <w:rPr>
                <w:rFonts w:hint="default" w:ascii="Times New Roman" w:hAnsi="Times New Roman" w:eastAsia="宋体" w:cs="Times New Roman"/>
                <w:b/>
                <w:bCs w:val="0"/>
                <w:vanish w:val="0"/>
                <w:color w:val="000000" w:themeColor="text1"/>
                <w:kern w:val="0"/>
                <w:sz w:val="21"/>
                <w:szCs w:val="21"/>
                <w:highlight w:val="none"/>
                <w14:textFill>
                  <w14:solidFill>
                    <w14:schemeClr w14:val="tx1"/>
                  </w14:solidFill>
                </w14:textFill>
              </w:rPr>
            </w:pPr>
          </w:p>
          <w:p w14:paraId="522DC937">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Chars="0"/>
              <w:jc w:val="center"/>
              <w:textAlignment w:val="auto"/>
              <w:rPr>
                <w:rFonts w:hint="default" w:ascii="Times New Roman" w:hAnsi="Times New Roman" w:eastAsia="宋体" w:cs="Times New Roman"/>
                <w:b/>
                <w:bCs w:val="0"/>
                <w:vanish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val="0"/>
                <w:vanish w:val="0"/>
                <w:color w:val="000000" w:themeColor="text1"/>
                <w:kern w:val="0"/>
                <w:sz w:val="21"/>
                <w:szCs w:val="21"/>
                <w:highlight w:val="none"/>
                <w14:textFill>
                  <w14:solidFill>
                    <w14:schemeClr w14:val="tx1"/>
                  </w14:solidFill>
                </w14:textFill>
              </w:rPr>
              <w:t>表</w:t>
            </w:r>
            <w:r>
              <w:rPr>
                <w:rFonts w:hint="default" w:ascii="Times New Roman" w:hAnsi="Times New Roman" w:eastAsia="宋体" w:cs="Times New Roman"/>
                <w:b/>
                <w:bCs w:val="0"/>
                <w:vanish w:val="0"/>
                <w:color w:val="000000" w:themeColor="text1"/>
                <w:kern w:val="0"/>
                <w:sz w:val="21"/>
                <w:szCs w:val="21"/>
                <w:highlight w:val="none"/>
                <w:lang w:val="en-US" w:eastAsia="zh-CN"/>
                <w14:textFill>
                  <w14:solidFill>
                    <w14:schemeClr w14:val="tx1"/>
                  </w14:solidFill>
                </w14:textFill>
              </w:rPr>
              <w:t>4</w:t>
            </w:r>
            <w:r>
              <w:rPr>
                <w:rFonts w:hint="eastAsia" w:ascii="Times New Roman" w:hAnsi="Times New Roman" w:eastAsia="宋体" w:cs="Times New Roman"/>
                <w:b/>
                <w:bCs w:val="0"/>
                <w:vanish w:val="0"/>
                <w:color w:val="000000" w:themeColor="text1"/>
                <w:kern w:val="0"/>
                <w:sz w:val="21"/>
                <w:szCs w:val="21"/>
                <w:highlight w:val="none"/>
                <w:lang w:val="en-US" w:eastAsia="zh-CN"/>
                <w14:textFill>
                  <w14:solidFill>
                    <w14:schemeClr w14:val="tx1"/>
                  </w14:solidFill>
                </w14:textFill>
              </w:rPr>
              <w:t>-16</w:t>
            </w:r>
            <w:r>
              <w:rPr>
                <w:rFonts w:hint="default" w:ascii="Times New Roman" w:hAnsi="Times New Roman" w:eastAsia="宋体" w:cs="Times New Roman"/>
                <w:b/>
                <w:bCs w:val="0"/>
                <w:vanish w:val="0"/>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val="0"/>
                <w:vanish w:val="0"/>
                <w:color w:val="000000" w:themeColor="text1"/>
                <w:kern w:val="0"/>
                <w:sz w:val="21"/>
                <w:szCs w:val="21"/>
                <w:highlight w:val="none"/>
                <w14:textFill>
                  <w14:solidFill>
                    <w14:schemeClr w14:val="tx1"/>
                  </w14:solidFill>
                </w14:textFill>
              </w:rPr>
              <w:t xml:space="preserve"> 项目固体废物产生情</w:t>
            </w:r>
            <w:r>
              <w:rPr>
                <w:rFonts w:hint="default" w:ascii="Times New Roman" w:hAnsi="Times New Roman" w:eastAsia="宋体" w:cs="Times New Roman"/>
                <w:b/>
                <w:bCs w:val="0"/>
                <w:vanish w:val="0"/>
                <w:color w:val="000000" w:themeColor="text1"/>
                <w:kern w:val="0"/>
                <w:sz w:val="21"/>
                <w:szCs w:val="21"/>
                <w:highlight w:val="none"/>
                <w:lang w:eastAsia="zh-CN"/>
                <w14:textFill>
                  <w14:solidFill>
                    <w14:schemeClr w14:val="tx1"/>
                  </w14:solidFill>
                </w14:textFill>
              </w:rPr>
              <w:t>况</w:t>
            </w:r>
            <w:r>
              <w:rPr>
                <w:rFonts w:hint="default" w:ascii="Times New Roman" w:hAnsi="Times New Roman" w:eastAsia="宋体" w:cs="Times New Roman"/>
                <w:b/>
                <w:bCs w:val="0"/>
                <w:vanish w:val="0"/>
                <w:color w:val="000000" w:themeColor="text1"/>
                <w:kern w:val="0"/>
                <w:sz w:val="21"/>
                <w:szCs w:val="21"/>
                <w:highlight w:val="none"/>
                <w14:textFill>
                  <w14:solidFill>
                    <w14:schemeClr w14:val="tx1"/>
                  </w14:solidFill>
                </w14:textFill>
              </w:rPr>
              <w:t>一览表</w:t>
            </w:r>
          </w:p>
          <w:tbl>
            <w:tblPr>
              <w:tblStyle w:val="2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9"/>
              <w:gridCol w:w="531"/>
              <w:gridCol w:w="633"/>
              <w:gridCol w:w="597"/>
              <w:gridCol w:w="977"/>
              <w:gridCol w:w="694"/>
              <w:gridCol w:w="1353"/>
              <w:gridCol w:w="977"/>
              <w:gridCol w:w="907"/>
              <w:gridCol w:w="1056"/>
            </w:tblGrid>
            <w:tr w14:paraId="08893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jc w:val="center"/>
                <w:hidden/>
              </w:trPr>
              <w:tc>
                <w:tcPr>
                  <w:tcW w:w="210" w:type="pct"/>
                  <w:tcBorders>
                    <w:tl2br w:val="nil"/>
                    <w:tr2bl w:val="nil"/>
                  </w:tcBorders>
                  <w:noWrap w:val="0"/>
                  <w:tcMar>
                    <w:left w:w="0" w:type="dxa"/>
                    <w:right w:w="0" w:type="dxa"/>
                  </w:tcMar>
                  <w:vAlign w:val="center"/>
                </w:tcPr>
                <w:p w14:paraId="4209F99A">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nish w:val="0"/>
                      <w:color w:val="000000" w:themeColor="text1"/>
                      <w:sz w:val="21"/>
                      <w:szCs w:val="21"/>
                      <w:highlight w:val="none"/>
                      <w14:textFill>
                        <w14:solidFill>
                          <w14:schemeClr w14:val="tx1"/>
                        </w14:solidFill>
                      </w14:textFill>
                    </w:rPr>
                  </w:pPr>
                  <w:r>
                    <w:rPr>
                      <w:rFonts w:hint="default" w:ascii="Times New Roman" w:hAnsi="Times New Roman" w:cs="Times New Roman"/>
                      <w:b/>
                      <w:bCs/>
                      <w:vanish w:val="0"/>
                      <w:color w:val="000000" w:themeColor="text1"/>
                      <w:sz w:val="21"/>
                      <w:szCs w:val="21"/>
                      <w:highlight w:val="none"/>
                      <w14:textFill>
                        <w14:solidFill>
                          <w14:schemeClr w14:val="tx1"/>
                        </w14:solidFill>
                      </w14:textFill>
                    </w:rPr>
                    <w:t>序号</w:t>
                  </w:r>
                </w:p>
              </w:tc>
              <w:tc>
                <w:tcPr>
                  <w:tcW w:w="329" w:type="pct"/>
                  <w:tcBorders>
                    <w:tl2br w:val="nil"/>
                    <w:tr2bl w:val="nil"/>
                  </w:tcBorders>
                  <w:noWrap w:val="0"/>
                  <w:tcMar>
                    <w:left w:w="0" w:type="dxa"/>
                    <w:right w:w="0" w:type="dxa"/>
                  </w:tcMar>
                  <w:vAlign w:val="center"/>
                </w:tcPr>
                <w:p w14:paraId="78AEAFB2">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vanish w:val="0"/>
                      <w:color w:val="000000" w:themeColor="text1"/>
                      <w:sz w:val="21"/>
                      <w:szCs w:val="21"/>
                      <w:highlight w:val="none"/>
                      <w14:textFill>
                        <w14:solidFill>
                          <w14:schemeClr w14:val="tx1"/>
                        </w14:solidFill>
                      </w14:textFill>
                    </w:rPr>
                    <w:t>产生</w:t>
                  </w:r>
                  <w:r>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t>环节</w:t>
                  </w:r>
                </w:p>
              </w:tc>
              <w:tc>
                <w:tcPr>
                  <w:tcW w:w="392" w:type="pct"/>
                  <w:tcBorders>
                    <w:tl2br w:val="nil"/>
                    <w:tr2bl w:val="nil"/>
                  </w:tcBorders>
                  <w:noWrap w:val="0"/>
                  <w:tcMar>
                    <w:left w:w="0" w:type="dxa"/>
                    <w:right w:w="0" w:type="dxa"/>
                  </w:tcMar>
                  <w:vAlign w:val="center"/>
                </w:tcPr>
                <w:p w14:paraId="692318A7">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nish w:val="0"/>
                      <w:color w:val="000000" w:themeColor="text1"/>
                      <w:sz w:val="21"/>
                      <w:szCs w:val="21"/>
                      <w:highlight w:val="none"/>
                      <w14:textFill>
                        <w14:solidFill>
                          <w14:schemeClr w14:val="tx1"/>
                        </w14:solidFill>
                      </w14:textFill>
                    </w:rPr>
                  </w:pPr>
                  <w:r>
                    <w:rPr>
                      <w:rFonts w:hint="default" w:ascii="Times New Roman" w:hAnsi="Times New Roman" w:cs="Times New Roman"/>
                      <w:b/>
                      <w:bCs/>
                      <w:vanish w:val="0"/>
                      <w:color w:val="000000" w:themeColor="text1"/>
                      <w:sz w:val="21"/>
                      <w:szCs w:val="21"/>
                      <w:highlight w:val="none"/>
                      <w14:textFill>
                        <w14:solidFill>
                          <w14:schemeClr w14:val="tx1"/>
                        </w14:solidFill>
                      </w14:textFill>
                    </w:rPr>
                    <w:t>名称</w:t>
                  </w:r>
                </w:p>
              </w:tc>
              <w:tc>
                <w:tcPr>
                  <w:tcW w:w="370" w:type="pct"/>
                  <w:tcBorders>
                    <w:tl2br w:val="nil"/>
                    <w:tr2bl w:val="nil"/>
                  </w:tcBorders>
                  <w:noWrap w:val="0"/>
                  <w:tcMar>
                    <w:left w:w="0" w:type="dxa"/>
                    <w:right w:w="0" w:type="dxa"/>
                  </w:tcMar>
                  <w:vAlign w:val="center"/>
                </w:tcPr>
                <w:p w14:paraId="1086E720">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nish w:val="0"/>
                      <w:color w:val="000000" w:themeColor="text1"/>
                      <w:sz w:val="21"/>
                      <w:szCs w:val="21"/>
                      <w:highlight w:val="none"/>
                      <w14:textFill>
                        <w14:solidFill>
                          <w14:schemeClr w14:val="tx1"/>
                        </w14:solidFill>
                      </w14:textFill>
                    </w:rPr>
                  </w:pPr>
                  <w:r>
                    <w:rPr>
                      <w:rFonts w:hint="default" w:ascii="Times New Roman" w:hAnsi="Times New Roman" w:cs="Times New Roman"/>
                      <w:b/>
                      <w:bCs/>
                      <w:vanish w:val="0"/>
                      <w:color w:val="000000" w:themeColor="text1"/>
                      <w:sz w:val="21"/>
                      <w:szCs w:val="21"/>
                      <w:highlight w:val="none"/>
                      <w14:textFill>
                        <w14:solidFill>
                          <w14:schemeClr w14:val="tx1"/>
                        </w14:solidFill>
                      </w14:textFill>
                    </w:rPr>
                    <w:t>属性</w:t>
                  </w:r>
                </w:p>
              </w:tc>
              <w:tc>
                <w:tcPr>
                  <w:tcW w:w="605" w:type="pct"/>
                  <w:tcBorders>
                    <w:tl2br w:val="nil"/>
                    <w:tr2bl w:val="nil"/>
                  </w:tcBorders>
                  <w:noWrap w:val="0"/>
                  <w:tcMar>
                    <w:left w:w="0" w:type="dxa"/>
                    <w:right w:w="0" w:type="dxa"/>
                  </w:tcMar>
                  <w:vAlign w:val="center"/>
                </w:tcPr>
                <w:p w14:paraId="74BACA6D">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t>产生量</w:t>
                  </w:r>
                  <w:r>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vanish w:val="0"/>
                      <w:color w:val="000000" w:themeColor="text1"/>
                      <w:sz w:val="21"/>
                      <w:szCs w:val="21"/>
                      <w:highlight w:val="none"/>
                      <w14:textFill>
                        <w14:solidFill>
                          <w14:schemeClr w14:val="tx1"/>
                        </w14:solidFill>
                      </w14:textFill>
                    </w:rPr>
                    <w:t>t/a</w:t>
                  </w:r>
                  <w:r>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t>）</w:t>
                  </w:r>
                </w:p>
              </w:tc>
              <w:tc>
                <w:tcPr>
                  <w:tcW w:w="430" w:type="pct"/>
                  <w:tcBorders>
                    <w:tl2br w:val="nil"/>
                    <w:tr2bl w:val="nil"/>
                  </w:tcBorders>
                  <w:noWrap w:val="0"/>
                  <w:tcMar>
                    <w:left w:w="0" w:type="dxa"/>
                    <w:right w:w="0" w:type="dxa"/>
                  </w:tcMar>
                  <w:vAlign w:val="center"/>
                </w:tcPr>
                <w:p w14:paraId="6D9EFA95">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t>贮存方式</w:t>
                  </w:r>
                </w:p>
              </w:tc>
              <w:tc>
                <w:tcPr>
                  <w:tcW w:w="838" w:type="pct"/>
                  <w:tcBorders>
                    <w:tl2br w:val="nil"/>
                    <w:tr2bl w:val="nil"/>
                  </w:tcBorders>
                  <w:noWrap w:val="0"/>
                  <w:tcMar>
                    <w:left w:w="0" w:type="dxa"/>
                    <w:right w:w="0" w:type="dxa"/>
                  </w:tcMar>
                  <w:vAlign w:val="center"/>
                </w:tcPr>
                <w:p w14:paraId="6D883D3E">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t>利用处置方式和去向</w:t>
                  </w:r>
                </w:p>
              </w:tc>
              <w:tc>
                <w:tcPr>
                  <w:tcW w:w="605" w:type="pct"/>
                  <w:tcBorders>
                    <w:tl2br w:val="nil"/>
                    <w:tr2bl w:val="nil"/>
                  </w:tcBorders>
                  <w:noWrap w:val="0"/>
                  <w:tcMar>
                    <w:left w:w="0" w:type="dxa"/>
                    <w:right w:w="0" w:type="dxa"/>
                  </w:tcMar>
                  <w:vAlign w:val="center"/>
                </w:tcPr>
                <w:p w14:paraId="7052C224">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t>利用或处置量（</w:t>
                  </w:r>
                  <w:r>
                    <w:rPr>
                      <w:rFonts w:hint="default" w:ascii="Times New Roman" w:hAnsi="Times New Roman" w:cs="Times New Roman"/>
                      <w:b/>
                      <w:bCs/>
                      <w:vanish w:val="0"/>
                      <w:color w:val="000000" w:themeColor="text1"/>
                      <w:sz w:val="21"/>
                      <w:szCs w:val="21"/>
                      <w:highlight w:val="none"/>
                      <w14:textFill>
                        <w14:solidFill>
                          <w14:schemeClr w14:val="tx1"/>
                        </w14:solidFill>
                      </w14:textFill>
                    </w:rPr>
                    <w:t>t/a</w:t>
                  </w:r>
                  <w:r>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t>）</w:t>
                  </w:r>
                </w:p>
              </w:tc>
              <w:tc>
                <w:tcPr>
                  <w:tcW w:w="562" w:type="pct"/>
                  <w:tcBorders>
                    <w:tl2br w:val="nil"/>
                    <w:tr2bl w:val="nil"/>
                  </w:tcBorders>
                  <w:noWrap w:val="0"/>
                  <w:vAlign w:val="center"/>
                </w:tcPr>
                <w:p w14:paraId="0EF4F88F">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t>排放量</w:t>
                  </w:r>
                  <w:r>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vanish w:val="0"/>
                      <w:color w:val="000000" w:themeColor="text1"/>
                      <w:sz w:val="21"/>
                      <w:szCs w:val="21"/>
                      <w:highlight w:val="none"/>
                      <w14:textFill>
                        <w14:solidFill>
                          <w14:schemeClr w14:val="tx1"/>
                        </w14:solidFill>
                      </w14:textFill>
                    </w:rPr>
                    <w:t>t/a</w:t>
                  </w:r>
                  <w:r>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t>）</w:t>
                  </w:r>
                </w:p>
              </w:tc>
              <w:tc>
                <w:tcPr>
                  <w:tcW w:w="654" w:type="pct"/>
                  <w:tcBorders>
                    <w:tl2br w:val="nil"/>
                    <w:tr2bl w:val="nil"/>
                  </w:tcBorders>
                  <w:noWrap w:val="0"/>
                  <w:vAlign w:val="center"/>
                </w:tcPr>
                <w:p w14:paraId="55611B9C">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nish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vanish w:val="0"/>
                      <w:color w:val="000000" w:themeColor="text1"/>
                      <w:sz w:val="21"/>
                      <w:szCs w:val="21"/>
                      <w:highlight w:val="none"/>
                      <w:lang w:eastAsia="zh-CN"/>
                      <w14:textFill>
                        <w14:solidFill>
                          <w14:schemeClr w14:val="tx1"/>
                        </w14:solidFill>
                      </w14:textFill>
                    </w:rPr>
                    <w:t>环境管理要求</w:t>
                  </w:r>
                </w:p>
              </w:tc>
            </w:tr>
            <w:tr w14:paraId="27F8E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hidden/>
              </w:trPr>
              <w:tc>
                <w:tcPr>
                  <w:tcW w:w="210" w:type="pct"/>
                  <w:tcBorders>
                    <w:tl2br w:val="nil"/>
                    <w:tr2bl w:val="nil"/>
                  </w:tcBorders>
                  <w:noWrap w:val="0"/>
                  <w:tcMar>
                    <w:left w:w="0" w:type="dxa"/>
                    <w:right w:w="0" w:type="dxa"/>
                  </w:tcMar>
                  <w:vAlign w:val="center"/>
                </w:tcPr>
                <w:p w14:paraId="51D1B2C3">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1</w:t>
                  </w:r>
                </w:p>
              </w:tc>
              <w:tc>
                <w:tcPr>
                  <w:tcW w:w="329" w:type="pct"/>
                  <w:tcBorders>
                    <w:tl2br w:val="nil"/>
                    <w:tr2bl w:val="nil"/>
                  </w:tcBorders>
                  <w:noWrap w:val="0"/>
                  <w:tcMar>
                    <w:left w:w="0" w:type="dxa"/>
                    <w:right w:w="0" w:type="dxa"/>
                  </w:tcMar>
                  <w:vAlign w:val="center"/>
                </w:tcPr>
                <w:p w14:paraId="2EDD2EFB">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t>员工生活</w:t>
                  </w:r>
                </w:p>
              </w:tc>
              <w:tc>
                <w:tcPr>
                  <w:tcW w:w="392" w:type="pct"/>
                  <w:tcBorders>
                    <w:tl2br w:val="nil"/>
                    <w:tr2bl w:val="nil"/>
                  </w:tcBorders>
                  <w:noWrap w:val="0"/>
                  <w:tcMar>
                    <w:left w:w="0" w:type="dxa"/>
                    <w:right w:w="0" w:type="dxa"/>
                  </w:tcMar>
                  <w:vAlign w:val="center"/>
                </w:tcPr>
                <w:p w14:paraId="74BA2759">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生活垃圾</w:t>
                  </w:r>
                </w:p>
              </w:tc>
              <w:tc>
                <w:tcPr>
                  <w:tcW w:w="370" w:type="pct"/>
                  <w:tcBorders>
                    <w:tl2br w:val="nil"/>
                    <w:tr2bl w:val="nil"/>
                  </w:tcBorders>
                  <w:noWrap w:val="0"/>
                  <w:tcMar>
                    <w:left w:w="0" w:type="dxa"/>
                    <w:right w:w="0" w:type="dxa"/>
                  </w:tcMar>
                  <w:vAlign w:val="center"/>
                </w:tcPr>
                <w:p w14:paraId="1AFE5635">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生活垃圾</w:t>
                  </w:r>
                </w:p>
              </w:tc>
              <w:tc>
                <w:tcPr>
                  <w:tcW w:w="605" w:type="pct"/>
                  <w:tcBorders>
                    <w:tl2br w:val="nil"/>
                    <w:tr2bl w:val="nil"/>
                  </w:tcBorders>
                  <w:noWrap w:val="0"/>
                  <w:tcMar>
                    <w:left w:w="0" w:type="dxa"/>
                    <w:right w:w="0" w:type="dxa"/>
                  </w:tcMar>
                  <w:vAlign w:val="center"/>
                </w:tcPr>
                <w:p w14:paraId="6CEF174F">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0.94</w:t>
                  </w:r>
                </w:p>
              </w:tc>
              <w:tc>
                <w:tcPr>
                  <w:tcW w:w="430" w:type="pct"/>
                  <w:tcBorders>
                    <w:tl2br w:val="nil"/>
                    <w:tr2bl w:val="nil"/>
                  </w:tcBorders>
                  <w:noWrap w:val="0"/>
                  <w:tcMar>
                    <w:left w:w="0" w:type="dxa"/>
                    <w:right w:w="0" w:type="dxa"/>
                  </w:tcMar>
                  <w:vAlign w:val="center"/>
                </w:tcPr>
                <w:p w14:paraId="746A0275">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生活垃圾收集桶</w:t>
                  </w:r>
                </w:p>
              </w:tc>
              <w:tc>
                <w:tcPr>
                  <w:tcW w:w="838" w:type="pct"/>
                  <w:tcBorders>
                    <w:tl2br w:val="nil"/>
                    <w:tr2bl w:val="nil"/>
                  </w:tcBorders>
                  <w:noWrap w:val="0"/>
                  <w:tcMar>
                    <w:left w:w="0" w:type="dxa"/>
                    <w:right w:w="0" w:type="dxa"/>
                  </w:tcMar>
                  <w:vAlign w:val="center"/>
                </w:tcPr>
                <w:p w14:paraId="6AACB929">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交由乡镇环卫部门清运处理</w:t>
                  </w:r>
                </w:p>
              </w:tc>
              <w:tc>
                <w:tcPr>
                  <w:tcW w:w="605" w:type="pct"/>
                  <w:tcBorders>
                    <w:tl2br w:val="nil"/>
                    <w:tr2bl w:val="nil"/>
                  </w:tcBorders>
                  <w:noWrap w:val="0"/>
                  <w:tcMar>
                    <w:left w:w="0" w:type="dxa"/>
                    <w:right w:w="0" w:type="dxa"/>
                  </w:tcMar>
                  <w:vAlign w:val="center"/>
                </w:tcPr>
                <w:p w14:paraId="020FB497">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0.94</w:t>
                  </w:r>
                </w:p>
              </w:tc>
              <w:tc>
                <w:tcPr>
                  <w:tcW w:w="562" w:type="pct"/>
                  <w:tcBorders>
                    <w:tl2br w:val="nil"/>
                    <w:tr2bl w:val="nil"/>
                  </w:tcBorders>
                  <w:noWrap w:val="0"/>
                  <w:vAlign w:val="center"/>
                </w:tcPr>
                <w:p w14:paraId="7B74C40A">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w:t>
                  </w:r>
                </w:p>
              </w:tc>
              <w:tc>
                <w:tcPr>
                  <w:tcW w:w="654" w:type="pct"/>
                  <w:vMerge w:val="restart"/>
                  <w:tcBorders>
                    <w:tl2br w:val="nil"/>
                    <w:tr2bl w:val="nil"/>
                  </w:tcBorders>
                  <w:noWrap w:val="0"/>
                  <w:vAlign w:val="center"/>
                </w:tcPr>
                <w:p w14:paraId="42CF909B">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100%</w:t>
                  </w:r>
                </w:p>
                <w:p w14:paraId="27FC3927">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处置</w:t>
                  </w:r>
                </w:p>
              </w:tc>
            </w:tr>
            <w:tr w14:paraId="1237B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hidden/>
              </w:trPr>
              <w:tc>
                <w:tcPr>
                  <w:tcW w:w="210" w:type="pct"/>
                  <w:tcBorders>
                    <w:tl2br w:val="nil"/>
                    <w:tr2bl w:val="nil"/>
                  </w:tcBorders>
                  <w:noWrap w:val="0"/>
                  <w:tcMar>
                    <w:left w:w="0" w:type="dxa"/>
                    <w:right w:w="0" w:type="dxa"/>
                  </w:tcMar>
                  <w:vAlign w:val="center"/>
                </w:tcPr>
                <w:p w14:paraId="59BF8256">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2</w:t>
                  </w:r>
                </w:p>
              </w:tc>
              <w:tc>
                <w:tcPr>
                  <w:tcW w:w="329" w:type="pct"/>
                  <w:tcBorders>
                    <w:tl2br w:val="nil"/>
                    <w:tr2bl w:val="nil"/>
                  </w:tcBorders>
                  <w:noWrap w:val="0"/>
                  <w:tcMar>
                    <w:left w:w="0" w:type="dxa"/>
                    <w:right w:w="0" w:type="dxa"/>
                  </w:tcMar>
                  <w:vAlign w:val="center"/>
                </w:tcPr>
                <w:p w14:paraId="0E3E76AA">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净化</w:t>
                  </w:r>
                </w:p>
              </w:tc>
              <w:tc>
                <w:tcPr>
                  <w:tcW w:w="392" w:type="pct"/>
                  <w:tcBorders>
                    <w:tl2br w:val="nil"/>
                    <w:tr2bl w:val="nil"/>
                  </w:tcBorders>
                  <w:noWrap w:val="0"/>
                  <w:tcMar>
                    <w:left w:w="0" w:type="dxa"/>
                    <w:right w:w="0" w:type="dxa"/>
                  </w:tcMar>
                  <w:vAlign w:val="center"/>
                </w:tcPr>
                <w:p w14:paraId="3372383B">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污泥（干基）</w:t>
                  </w:r>
                </w:p>
              </w:tc>
              <w:tc>
                <w:tcPr>
                  <w:tcW w:w="370" w:type="pct"/>
                  <w:vMerge w:val="restart"/>
                  <w:tcBorders>
                    <w:tl2br w:val="nil"/>
                    <w:tr2bl w:val="nil"/>
                  </w:tcBorders>
                  <w:noWrap w:val="0"/>
                  <w:tcMar>
                    <w:left w:w="0" w:type="dxa"/>
                    <w:right w:w="0" w:type="dxa"/>
                  </w:tcMar>
                  <w:vAlign w:val="center"/>
                </w:tcPr>
                <w:p w14:paraId="7DCED733">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一般工业固体废物</w:t>
                  </w:r>
                </w:p>
                <w:p w14:paraId="3011F06E">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605" w:type="pct"/>
                  <w:tcBorders>
                    <w:tl2br w:val="nil"/>
                    <w:tr2bl w:val="nil"/>
                  </w:tcBorders>
                  <w:noWrap w:val="0"/>
                  <w:tcMar>
                    <w:left w:w="0" w:type="dxa"/>
                    <w:right w:w="0" w:type="dxa"/>
                  </w:tcMar>
                  <w:vAlign w:val="center"/>
                </w:tcPr>
                <w:p w14:paraId="20571C9A">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73</w:t>
                  </w:r>
                </w:p>
              </w:tc>
              <w:tc>
                <w:tcPr>
                  <w:tcW w:w="430" w:type="pct"/>
                  <w:vMerge w:val="restart"/>
                  <w:tcBorders>
                    <w:tl2br w:val="nil"/>
                    <w:tr2bl w:val="nil"/>
                  </w:tcBorders>
                  <w:noWrap w:val="0"/>
                  <w:tcMar>
                    <w:left w:w="0" w:type="dxa"/>
                    <w:right w:w="0" w:type="dxa"/>
                  </w:tcMar>
                  <w:vAlign w:val="center"/>
                </w:tcPr>
                <w:p w14:paraId="08C6ED35">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一般固废暂存处</w:t>
                  </w:r>
                </w:p>
              </w:tc>
              <w:tc>
                <w:tcPr>
                  <w:tcW w:w="838" w:type="pct"/>
                  <w:tcBorders>
                    <w:tl2br w:val="nil"/>
                    <w:tr2bl w:val="nil"/>
                  </w:tcBorders>
                  <w:noWrap w:val="0"/>
                  <w:tcMar>
                    <w:left w:w="0" w:type="dxa"/>
                    <w:right w:w="0" w:type="dxa"/>
                  </w:tcMar>
                  <w:vAlign w:val="center"/>
                </w:tcPr>
                <w:p w14:paraId="77ED731B">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自然固化后</w:t>
                  </w:r>
                </w:p>
                <w:p w14:paraId="2856F760">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综合利用</w:t>
                  </w:r>
                </w:p>
              </w:tc>
              <w:tc>
                <w:tcPr>
                  <w:tcW w:w="605" w:type="pct"/>
                  <w:tcBorders>
                    <w:tl2br w:val="nil"/>
                    <w:tr2bl w:val="nil"/>
                  </w:tcBorders>
                  <w:noWrap w:val="0"/>
                  <w:tcMar>
                    <w:left w:w="0" w:type="dxa"/>
                    <w:right w:w="0" w:type="dxa"/>
                  </w:tcMar>
                  <w:vAlign w:val="center"/>
                </w:tcPr>
                <w:p w14:paraId="3BA18B47">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73</w:t>
                  </w:r>
                </w:p>
              </w:tc>
              <w:tc>
                <w:tcPr>
                  <w:tcW w:w="562" w:type="pct"/>
                  <w:tcBorders>
                    <w:tl2br w:val="nil"/>
                    <w:tr2bl w:val="nil"/>
                  </w:tcBorders>
                  <w:noWrap w:val="0"/>
                  <w:vAlign w:val="center"/>
                </w:tcPr>
                <w:p w14:paraId="430B648A">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w:t>
                  </w:r>
                </w:p>
              </w:tc>
              <w:tc>
                <w:tcPr>
                  <w:tcW w:w="654" w:type="pct"/>
                  <w:vMerge w:val="continue"/>
                  <w:tcBorders>
                    <w:tl2br w:val="nil"/>
                    <w:tr2bl w:val="nil"/>
                  </w:tcBorders>
                  <w:noWrap w:val="0"/>
                  <w:vAlign w:val="center"/>
                </w:tcPr>
                <w:p w14:paraId="2D365A39">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r>
            <w:tr w14:paraId="0B27F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hidden/>
              </w:trPr>
              <w:tc>
                <w:tcPr>
                  <w:tcW w:w="210" w:type="pct"/>
                  <w:tcBorders>
                    <w:tl2br w:val="nil"/>
                    <w:tr2bl w:val="nil"/>
                  </w:tcBorders>
                  <w:noWrap w:val="0"/>
                  <w:tcMar>
                    <w:left w:w="0" w:type="dxa"/>
                    <w:right w:w="0" w:type="dxa"/>
                  </w:tcMar>
                  <w:vAlign w:val="center"/>
                </w:tcPr>
                <w:p w14:paraId="1406908B">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3</w:t>
                  </w:r>
                </w:p>
              </w:tc>
              <w:tc>
                <w:tcPr>
                  <w:tcW w:w="329" w:type="pct"/>
                  <w:tcBorders>
                    <w:tl2br w:val="nil"/>
                    <w:tr2bl w:val="nil"/>
                  </w:tcBorders>
                  <w:noWrap w:val="0"/>
                  <w:tcMar>
                    <w:left w:w="0" w:type="dxa"/>
                    <w:right w:w="0" w:type="dxa"/>
                  </w:tcMar>
                  <w:vAlign w:val="center"/>
                </w:tcPr>
                <w:p w14:paraId="7CBCF74F">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药剂废包装物</w:t>
                  </w:r>
                </w:p>
              </w:tc>
              <w:tc>
                <w:tcPr>
                  <w:tcW w:w="392" w:type="pct"/>
                  <w:tcBorders>
                    <w:tl2br w:val="nil"/>
                    <w:tr2bl w:val="nil"/>
                  </w:tcBorders>
                  <w:noWrap w:val="0"/>
                  <w:tcMar>
                    <w:left w:w="0" w:type="dxa"/>
                    <w:right w:w="0" w:type="dxa"/>
                  </w:tcMar>
                  <w:vAlign w:val="center"/>
                </w:tcPr>
                <w:p w14:paraId="7FF6FD73">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净水原料包装</w:t>
                  </w:r>
                </w:p>
              </w:tc>
              <w:tc>
                <w:tcPr>
                  <w:tcW w:w="370" w:type="pct"/>
                  <w:vMerge w:val="continue"/>
                  <w:tcBorders>
                    <w:tl2br w:val="nil"/>
                    <w:tr2bl w:val="nil"/>
                  </w:tcBorders>
                  <w:noWrap w:val="0"/>
                  <w:tcMar>
                    <w:left w:w="0" w:type="dxa"/>
                    <w:right w:w="0" w:type="dxa"/>
                  </w:tcMar>
                  <w:vAlign w:val="center"/>
                </w:tcPr>
                <w:p w14:paraId="77EF4C27">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605" w:type="pct"/>
                  <w:tcBorders>
                    <w:tl2br w:val="nil"/>
                    <w:tr2bl w:val="nil"/>
                  </w:tcBorders>
                  <w:noWrap w:val="0"/>
                  <w:tcMar>
                    <w:left w:w="0" w:type="dxa"/>
                    <w:right w:w="0" w:type="dxa"/>
                  </w:tcMar>
                  <w:vAlign w:val="center"/>
                </w:tcPr>
                <w:p w14:paraId="0946762E">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0.50</w:t>
                  </w:r>
                </w:p>
              </w:tc>
              <w:tc>
                <w:tcPr>
                  <w:tcW w:w="430" w:type="pct"/>
                  <w:vMerge w:val="continue"/>
                  <w:tcBorders>
                    <w:tl2br w:val="nil"/>
                    <w:tr2bl w:val="nil"/>
                  </w:tcBorders>
                  <w:noWrap w:val="0"/>
                  <w:tcMar>
                    <w:left w:w="0" w:type="dxa"/>
                    <w:right w:w="0" w:type="dxa"/>
                  </w:tcMar>
                  <w:vAlign w:val="center"/>
                </w:tcPr>
                <w:p w14:paraId="698A5C5B">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838" w:type="pct"/>
                  <w:tcBorders>
                    <w:tl2br w:val="nil"/>
                    <w:tr2bl w:val="nil"/>
                  </w:tcBorders>
                  <w:noWrap w:val="0"/>
                  <w:tcMar>
                    <w:left w:w="0" w:type="dxa"/>
                    <w:right w:w="0" w:type="dxa"/>
                  </w:tcMar>
                  <w:vAlign w:val="center"/>
                </w:tcPr>
                <w:p w14:paraId="7CF10BE0">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外售</w:t>
                  </w:r>
                </w:p>
              </w:tc>
              <w:tc>
                <w:tcPr>
                  <w:tcW w:w="605" w:type="pct"/>
                  <w:tcBorders>
                    <w:tl2br w:val="nil"/>
                    <w:tr2bl w:val="nil"/>
                  </w:tcBorders>
                  <w:noWrap w:val="0"/>
                  <w:tcMar>
                    <w:left w:w="0" w:type="dxa"/>
                    <w:right w:w="0" w:type="dxa"/>
                  </w:tcMar>
                  <w:vAlign w:val="center"/>
                </w:tcPr>
                <w:p w14:paraId="031CF0F5">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0.50</w:t>
                  </w:r>
                </w:p>
              </w:tc>
              <w:tc>
                <w:tcPr>
                  <w:tcW w:w="562" w:type="pct"/>
                  <w:tcBorders>
                    <w:tl2br w:val="nil"/>
                    <w:tr2bl w:val="nil"/>
                  </w:tcBorders>
                  <w:noWrap w:val="0"/>
                  <w:vAlign w:val="center"/>
                </w:tcPr>
                <w:p w14:paraId="626EAA47">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w:t>
                  </w:r>
                </w:p>
              </w:tc>
              <w:tc>
                <w:tcPr>
                  <w:tcW w:w="654" w:type="pct"/>
                  <w:vMerge w:val="continue"/>
                  <w:tcBorders>
                    <w:tl2br w:val="nil"/>
                    <w:tr2bl w:val="nil"/>
                  </w:tcBorders>
                  <w:noWrap w:val="0"/>
                  <w:vAlign w:val="center"/>
                </w:tcPr>
                <w:p w14:paraId="2EFA496B">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r>
            <w:tr w14:paraId="029B2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1" w:hRule="atLeast"/>
                <w:jc w:val="center"/>
                <w:hidden/>
              </w:trPr>
              <w:tc>
                <w:tcPr>
                  <w:tcW w:w="210" w:type="pct"/>
                  <w:tcBorders>
                    <w:tl2br w:val="nil"/>
                    <w:tr2bl w:val="nil"/>
                  </w:tcBorders>
                  <w:noWrap w:val="0"/>
                  <w:tcMar>
                    <w:left w:w="0" w:type="dxa"/>
                    <w:right w:w="0" w:type="dxa"/>
                  </w:tcMar>
                  <w:vAlign w:val="center"/>
                </w:tcPr>
                <w:p w14:paraId="1D776BBE">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4</w:t>
                  </w:r>
                </w:p>
              </w:tc>
              <w:tc>
                <w:tcPr>
                  <w:tcW w:w="329" w:type="pct"/>
                  <w:tcBorders>
                    <w:tl2br w:val="nil"/>
                    <w:tr2bl w:val="nil"/>
                  </w:tcBorders>
                  <w:noWrap w:val="0"/>
                  <w:tcMar>
                    <w:left w:w="0" w:type="dxa"/>
                    <w:right w:w="0" w:type="dxa"/>
                  </w:tcMar>
                  <w:vAlign w:val="center"/>
                </w:tcPr>
                <w:p w14:paraId="6E8F20BE">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净水</w:t>
                  </w:r>
                </w:p>
              </w:tc>
              <w:tc>
                <w:tcPr>
                  <w:tcW w:w="633" w:type="dxa"/>
                  <w:tcBorders>
                    <w:tl2br w:val="nil"/>
                    <w:tr2bl w:val="nil"/>
                  </w:tcBorders>
                  <w:noWrap w:val="0"/>
                  <w:tcMar>
                    <w:left w:w="0" w:type="dxa"/>
                    <w:right w:w="0" w:type="dxa"/>
                  </w:tcMar>
                  <w:vAlign w:val="center"/>
                </w:tcPr>
                <w:p w14:paraId="72C7A7C2">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废滤料</w:t>
                  </w:r>
                </w:p>
              </w:tc>
              <w:tc>
                <w:tcPr>
                  <w:tcW w:w="370" w:type="pct"/>
                  <w:vMerge w:val="continue"/>
                  <w:tcBorders>
                    <w:tl2br w:val="nil"/>
                    <w:tr2bl w:val="nil"/>
                  </w:tcBorders>
                  <w:noWrap w:val="0"/>
                  <w:tcMar>
                    <w:left w:w="0" w:type="dxa"/>
                    <w:right w:w="0" w:type="dxa"/>
                  </w:tcMar>
                  <w:vAlign w:val="center"/>
                </w:tcPr>
                <w:p w14:paraId="7A872B3E">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605" w:type="pct"/>
                  <w:tcBorders>
                    <w:tl2br w:val="nil"/>
                    <w:tr2bl w:val="nil"/>
                  </w:tcBorders>
                  <w:noWrap w:val="0"/>
                  <w:tcMar>
                    <w:left w:w="0" w:type="dxa"/>
                    <w:right w:w="0" w:type="dxa"/>
                  </w:tcMar>
                  <w:vAlign w:val="center"/>
                </w:tcPr>
                <w:p w14:paraId="29190DBC">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2.432</w:t>
                  </w:r>
                </w:p>
              </w:tc>
              <w:tc>
                <w:tcPr>
                  <w:tcW w:w="430" w:type="pct"/>
                  <w:vMerge w:val="continue"/>
                  <w:tcBorders>
                    <w:tl2br w:val="nil"/>
                    <w:tr2bl w:val="nil"/>
                  </w:tcBorders>
                  <w:noWrap w:val="0"/>
                  <w:tcMar>
                    <w:left w:w="0" w:type="dxa"/>
                    <w:right w:w="0" w:type="dxa"/>
                  </w:tcMar>
                  <w:vAlign w:val="center"/>
                </w:tcPr>
                <w:p w14:paraId="13EA0716">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838" w:type="pct"/>
                  <w:tcBorders>
                    <w:tl2br w:val="nil"/>
                    <w:tr2bl w:val="nil"/>
                  </w:tcBorders>
                  <w:noWrap w:val="0"/>
                  <w:tcMar>
                    <w:left w:w="0" w:type="dxa"/>
                    <w:right w:w="0" w:type="dxa"/>
                  </w:tcMar>
                  <w:vAlign w:val="center"/>
                </w:tcPr>
                <w:p w14:paraId="2EA4DC10">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厂界回收</w:t>
                  </w:r>
                </w:p>
              </w:tc>
              <w:tc>
                <w:tcPr>
                  <w:tcW w:w="605" w:type="pct"/>
                  <w:tcBorders>
                    <w:tl2br w:val="nil"/>
                    <w:tr2bl w:val="nil"/>
                  </w:tcBorders>
                  <w:noWrap w:val="0"/>
                  <w:tcMar>
                    <w:left w:w="0" w:type="dxa"/>
                    <w:right w:w="0" w:type="dxa"/>
                  </w:tcMar>
                  <w:vAlign w:val="center"/>
                </w:tcPr>
                <w:p w14:paraId="16C7C7C7">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2.432</w:t>
                  </w:r>
                </w:p>
              </w:tc>
              <w:tc>
                <w:tcPr>
                  <w:tcW w:w="562" w:type="pct"/>
                  <w:tcBorders>
                    <w:tl2br w:val="nil"/>
                    <w:tr2bl w:val="nil"/>
                  </w:tcBorders>
                  <w:noWrap w:val="0"/>
                  <w:vAlign w:val="center"/>
                </w:tcPr>
                <w:p w14:paraId="3728D0B7">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w:t>
                  </w:r>
                </w:p>
              </w:tc>
              <w:tc>
                <w:tcPr>
                  <w:tcW w:w="654" w:type="pct"/>
                  <w:vMerge w:val="continue"/>
                  <w:tcBorders>
                    <w:tl2br w:val="nil"/>
                    <w:tr2bl w:val="nil"/>
                  </w:tcBorders>
                  <w:noWrap w:val="0"/>
                  <w:vAlign w:val="center"/>
                </w:tcPr>
                <w:p w14:paraId="7B7380DF">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r>
            <w:tr w14:paraId="77A75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1" w:hRule="atLeast"/>
                <w:jc w:val="center"/>
                <w:hidden/>
              </w:trPr>
              <w:tc>
                <w:tcPr>
                  <w:tcW w:w="210" w:type="pct"/>
                  <w:tcBorders>
                    <w:tl2br w:val="nil"/>
                    <w:tr2bl w:val="nil"/>
                  </w:tcBorders>
                  <w:noWrap w:val="0"/>
                  <w:tcMar>
                    <w:left w:w="0" w:type="dxa"/>
                    <w:right w:w="0" w:type="dxa"/>
                  </w:tcMar>
                  <w:vAlign w:val="center"/>
                </w:tcPr>
                <w:p w14:paraId="2C692EE0">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5</w:t>
                  </w:r>
                </w:p>
              </w:tc>
              <w:tc>
                <w:tcPr>
                  <w:tcW w:w="329" w:type="pct"/>
                  <w:tcBorders>
                    <w:tl2br w:val="nil"/>
                    <w:tr2bl w:val="nil"/>
                  </w:tcBorders>
                  <w:noWrap w:val="0"/>
                  <w:tcMar>
                    <w:left w:w="0" w:type="dxa"/>
                    <w:right w:w="0" w:type="dxa"/>
                  </w:tcMar>
                  <w:vAlign w:val="center"/>
                </w:tcPr>
                <w:p w14:paraId="7AC9A7B2">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消毒</w:t>
                  </w:r>
                </w:p>
              </w:tc>
              <w:tc>
                <w:tcPr>
                  <w:tcW w:w="633" w:type="dxa"/>
                  <w:tcBorders>
                    <w:tl2br w:val="nil"/>
                    <w:tr2bl w:val="nil"/>
                  </w:tcBorders>
                  <w:noWrap w:val="0"/>
                  <w:tcMar>
                    <w:left w:w="0" w:type="dxa"/>
                    <w:right w:w="0" w:type="dxa"/>
                  </w:tcMar>
                  <w:vAlign w:val="center"/>
                </w:tcPr>
                <w:p w14:paraId="2EEA15ED">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消毒盐酸废液</w:t>
                  </w:r>
                </w:p>
              </w:tc>
              <w:tc>
                <w:tcPr>
                  <w:tcW w:w="370" w:type="pct"/>
                  <w:vMerge w:val="restart"/>
                  <w:tcBorders>
                    <w:tl2br w:val="nil"/>
                    <w:tr2bl w:val="nil"/>
                  </w:tcBorders>
                  <w:noWrap w:val="0"/>
                  <w:tcMar>
                    <w:left w:w="0" w:type="dxa"/>
                    <w:right w:w="0" w:type="dxa"/>
                  </w:tcMar>
                  <w:vAlign w:val="center"/>
                </w:tcPr>
                <w:p w14:paraId="1D207E46">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危险废物</w:t>
                  </w:r>
                </w:p>
              </w:tc>
              <w:tc>
                <w:tcPr>
                  <w:tcW w:w="605" w:type="pct"/>
                  <w:tcBorders>
                    <w:tl2br w:val="nil"/>
                    <w:tr2bl w:val="nil"/>
                  </w:tcBorders>
                  <w:noWrap w:val="0"/>
                  <w:tcMar>
                    <w:left w:w="0" w:type="dxa"/>
                    <w:right w:w="0" w:type="dxa"/>
                  </w:tcMar>
                  <w:vAlign w:val="center"/>
                </w:tcPr>
                <w:p w14:paraId="18BA3E06">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0.021</w:t>
                  </w:r>
                </w:p>
              </w:tc>
              <w:tc>
                <w:tcPr>
                  <w:tcW w:w="430" w:type="pct"/>
                  <w:vMerge w:val="restart"/>
                  <w:tcBorders>
                    <w:tl2br w:val="nil"/>
                    <w:tr2bl w:val="nil"/>
                  </w:tcBorders>
                  <w:noWrap w:val="0"/>
                  <w:tcMar>
                    <w:left w:w="0" w:type="dxa"/>
                    <w:right w:w="0" w:type="dxa"/>
                  </w:tcMar>
                  <w:vAlign w:val="center"/>
                </w:tcPr>
                <w:p w14:paraId="513BFAFC">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危废贮存库</w:t>
                  </w:r>
                </w:p>
              </w:tc>
              <w:tc>
                <w:tcPr>
                  <w:tcW w:w="838" w:type="pct"/>
                  <w:vMerge w:val="restart"/>
                  <w:tcBorders>
                    <w:tl2br w:val="nil"/>
                    <w:tr2bl w:val="nil"/>
                  </w:tcBorders>
                  <w:noWrap w:val="0"/>
                  <w:tcMar>
                    <w:left w:w="0" w:type="dxa"/>
                    <w:right w:w="0" w:type="dxa"/>
                  </w:tcMar>
                  <w:vAlign w:val="center"/>
                </w:tcPr>
                <w:p w14:paraId="40D0084C">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暂存于危废贮存库内，定期交有资质单位处置</w:t>
                  </w:r>
                </w:p>
              </w:tc>
              <w:tc>
                <w:tcPr>
                  <w:tcW w:w="605" w:type="pct"/>
                  <w:tcBorders>
                    <w:tl2br w:val="nil"/>
                    <w:tr2bl w:val="nil"/>
                  </w:tcBorders>
                  <w:noWrap w:val="0"/>
                  <w:tcMar>
                    <w:left w:w="0" w:type="dxa"/>
                    <w:right w:w="0" w:type="dxa"/>
                  </w:tcMar>
                  <w:vAlign w:val="center"/>
                </w:tcPr>
                <w:p w14:paraId="5A6D9507">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0.021</w:t>
                  </w:r>
                </w:p>
              </w:tc>
              <w:tc>
                <w:tcPr>
                  <w:tcW w:w="562" w:type="pct"/>
                  <w:tcBorders>
                    <w:tl2br w:val="nil"/>
                    <w:tr2bl w:val="nil"/>
                  </w:tcBorders>
                  <w:noWrap w:val="0"/>
                  <w:vAlign w:val="center"/>
                </w:tcPr>
                <w:p w14:paraId="332B1CCF">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w:t>
                  </w:r>
                </w:p>
              </w:tc>
              <w:tc>
                <w:tcPr>
                  <w:tcW w:w="654" w:type="pct"/>
                  <w:vMerge w:val="continue"/>
                  <w:tcBorders>
                    <w:tl2br w:val="nil"/>
                    <w:tr2bl w:val="nil"/>
                  </w:tcBorders>
                  <w:noWrap w:val="0"/>
                  <w:vAlign w:val="center"/>
                </w:tcPr>
                <w:p w14:paraId="6349B220">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r>
            <w:tr w14:paraId="519E4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1" w:hRule="atLeast"/>
                <w:jc w:val="center"/>
                <w:hidden/>
              </w:trPr>
              <w:tc>
                <w:tcPr>
                  <w:tcW w:w="210" w:type="pct"/>
                  <w:tcBorders>
                    <w:tl2br w:val="nil"/>
                    <w:tr2bl w:val="nil"/>
                  </w:tcBorders>
                  <w:noWrap w:val="0"/>
                  <w:tcMar>
                    <w:left w:w="0" w:type="dxa"/>
                    <w:right w:w="0" w:type="dxa"/>
                  </w:tcMar>
                  <w:vAlign w:val="center"/>
                </w:tcPr>
                <w:p w14:paraId="720F2A4E">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6</w:t>
                  </w:r>
                </w:p>
              </w:tc>
              <w:tc>
                <w:tcPr>
                  <w:tcW w:w="329" w:type="pct"/>
                  <w:tcBorders>
                    <w:tl2br w:val="nil"/>
                    <w:tr2bl w:val="nil"/>
                  </w:tcBorders>
                  <w:noWrap w:val="0"/>
                  <w:tcMar>
                    <w:left w:w="0" w:type="dxa"/>
                    <w:right w:w="0" w:type="dxa"/>
                  </w:tcMar>
                  <w:vAlign w:val="center"/>
                </w:tcPr>
                <w:p w14:paraId="5033553C">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消毒</w:t>
                  </w:r>
                </w:p>
              </w:tc>
              <w:tc>
                <w:tcPr>
                  <w:tcW w:w="633" w:type="dxa"/>
                  <w:tcBorders>
                    <w:tl2br w:val="nil"/>
                    <w:tr2bl w:val="nil"/>
                  </w:tcBorders>
                  <w:noWrap w:val="0"/>
                  <w:tcMar>
                    <w:left w:w="0" w:type="dxa"/>
                    <w:right w:w="0" w:type="dxa"/>
                  </w:tcMar>
                  <w:vAlign w:val="center"/>
                </w:tcPr>
                <w:p w14:paraId="2159D3CA">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废酸包装桶</w:t>
                  </w:r>
                </w:p>
              </w:tc>
              <w:tc>
                <w:tcPr>
                  <w:tcW w:w="370" w:type="pct"/>
                  <w:vMerge w:val="continue"/>
                  <w:tcBorders>
                    <w:tl2br w:val="nil"/>
                    <w:tr2bl w:val="nil"/>
                  </w:tcBorders>
                  <w:noWrap w:val="0"/>
                  <w:tcMar>
                    <w:left w:w="0" w:type="dxa"/>
                    <w:right w:w="0" w:type="dxa"/>
                  </w:tcMar>
                  <w:vAlign w:val="center"/>
                </w:tcPr>
                <w:p w14:paraId="4CB64E40">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605" w:type="pct"/>
                  <w:tcBorders>
                    <w:tl2br w:val="nil"/>
                    <w:tr2bl w:val="nil"/>
                  </w:tcBorders>
                  <w:noWrap w:val="0"/>
                  <w:tcMar>
                    <w:left w:w="0" w:type="dxa"/>
                    <w:right w:w="0" w:type="dxa"/>
                  </w:tcMar>
                  <w:vAlign w:val="center"/>
                </w:tcPr>
                <w:p w14:paraId="390AEFA6">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0.0012</w:t>
                  </w:r>
                </w:p>
              </w:tc>
              <w:tc>
                <w:tcPr>
                  <w:tcW w:w="430" w:type="pct"/>
                  <w:vMerge w:val="continue"/>
                  <w:tcBorders>
                    <w:tl2br w:val="nil"/>
                    <w:tr2bl w:val="nil"/>
                  </w:tcBorders>
                  <w:noWrap w:val="0"/>
                  <w:tcMar>
                    <w:left w:w="0" w:type="dxa"/>
                    <w:right w:w="0" w:type="dxa"/>
                  </w:tcMar>
                  <w:vAlign w:val="center"/>
                </w:tcPr>
                <w:p w14:paraId="04BF2FA2">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838" w:type="pct"/>
                  <w:vMerge w:val="continue"/>
                  <w:tcBorders>
                    <w:tl2br w:val="nil"/>
                    <w:tr2bl w:val="nil"/>
                  </w:tcBorders>
                  <w:noWrap w:val="0"/>
                  <w:tcMar>
                    <w:left w:w="0" w:type="dxa"/>
                    <w:right w:w="0" w:type="dxa"/>
                  </w:tcMar>
                  <w:vAlign w:val="center"/>
                </w:tcPr>
                <w:p w14:paraId="28BD0D9C">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605" w:type="pct"/>
                  <w:tcBorders>
                    <w:tl2br w:val="nil"/>
                    <w:tr2bl w:val="nil"/>
                  </w:tcBorders>
                  <w:noWrap w:val="0"/>
                  <w:tcMar>
                    <w:left w:w="0" w:type="dxa"/>
                    <w:right w:w="0" w:type="dxa"/>
                  </w:tcMar>
                  <w:vAlign w:val="center"/>
                </w:tcPr>
                <w:p w14:paraId="4719C137">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0.0012</w:t>
                  </w:r>
                </w:p>
              </w:tc>
              <w:tc>
                <w:tcPr>
                  <w:tcW w:w="562" w:type="pct"/>
                  <w:tcBorders>
                    <w:tl2br w:val="nil"/>
                    <w:tr2bl w:val="nil"/>
                  </w:tcBorders>
                  <w:noWrap w:val="0"/>
                  <w:vAlign w:val="center"/>
                </w:tcPr>
                <w:p w14:paraId="623FEB06">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w:t>
                  </w:r>
                </w:p>
              </w:tc>
              <w:tc>
                <w:tcPr>
                  <w:tcW w:w="654" w:type="pct"/>
                  <w:vMerge w:val="continue"/>
                  <w:tcBorders>
                    <w:tl2br w:val="nil"/>
                    <w:tr2bl w:val="nil"/>
                  </w:tcBorders>
                  <w:noWrap w:val="0"/>
                  <w:vAlign w:val="center"/>
                </w:tcPr>
                <w:p w14:paraId="4BCE15E2">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r>
            <w:tr w14:paraId="5DE93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1" w:hRule="atLeast"/>
                <w:jc w:val="center"/>
                <w:hidden/>
              </w:trPr>
              <w:tc>
                <w:tcPr>
                  <w:tcW w:w="210" w:type="pct"/>
                  <w:tcBorders>
                    <w:tl2br w:val="nil"/>
                    <w:tr2bl w:val="nil"/>
                  </w:tcBorders>
                  <w:noWrap w:val="0"/>
                  <w:tcMar>
                    <w:left w:w="0" w:type="dxa"/>
                    <w:right w:w="0" w:type="dxa"/>
                  </w:tcMar>
                  <w:vAlign w:val="center"/>
                </w:tcPr>
                <w:p w14:paraId="3D24CB5C">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7</w:t>
                  </w:r>
                </w:p>
              </w:tc>
              <w:tc>
                <w:tcPr>
                  <w:tcW w:w="329" w:type="pct"/>
                  <w:tcBorders>
                    <w:tl2br w:val="nil"/>
                    <w:tr2bl w:val="nil"/>
                  </w:tcBorders>
                  <w:noWrap w:val="0"/>
                  <w:tcMar>
                    <w:left w:w="0" w:type="dxa"/>
                    <w:right w:w="0" w:type="dxa"/>
                  </w:tcMar>
                  <w:vAlign w:val="center"/>
                </w:tcPr>
                <w:p w14:paraId="4D1FC7C5">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检修</w:t>
                  </w:r>
                </w:p>
              </w:tc>
              <w:tc>
                <w:tcPr>
                  <w:tcW w:w="633" w:type="dxa"/>
                  <w:tcBorders>
                    <w:tl2br w:val="nil"/>
                    <w:tr2bl w:val="nil"/>
                  </w:tcBorders>
                  <w:noWrap w:val="0"/>
                  <w:tcMar>
                    <w:left w:w="0" w:type="dxa"/>
                    <w:right w:w="0" w:type="dxa"/>
                  </w:tcMar>
                  <w:vAlign w:val="center"/>
                </w:tcPr>
                <w:p w14:paraId="631425D2">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废矿物油</w:t>
                  </w:r>
                </w:p>
              </w:tc>
              <w:tc>
                <w:tcPr>
                  <w:tcW w:w="370" w:type="pct"/>
                  <w:vMerge w:val="continue"/>
                  <w:tcBorders>
                    <w:tl2br w:val="nil"/>
                    <w:tr2bl w:val="nil"/>
                  </w:tcBorders>
                  <w:noWrap w:val="0"/>
                  <w:tcMar>
                    <w:left w:w="0" w:type="dxa"/>
                    <w:right w:w="0" w:type="dxa"/>
                  </w:tcMar>
                  <w:vAlign w:val="center"/>
                </w:tcPr>
                <w:p w14:paraId="1C040EA2">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605" w:type="pct"/>
                  <w:tcBorders>
                    <w:tl2br w:val="nil"/>
                    <w:tr2bl w:val="nil"/>
                  </w:tcBorders>
                  <w:noWrap w:val="0"/>
                  <w:tcMar>
                    <w:left w:w="0" w:type="dxa"/>
                    <w:right w:w="0" w:type="dxa"/>
                  </w:tcMar>
                  <w:vAlign w:val="center"/>
                </w:tcPr>
                <w:p w14:paraId="4F8CD847">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0.005</w:t>
                  </w:r>
                </w:p>
              </w:tc>
              <w:tc>
                <w:tcPr>
                  <w:tcW w:w="430" w:type="pct"/>
                  <w:vMerge w:val="continue"/>
                  <w:tcBorders>
                    <w:tl2br w:val="nil"/>
                    <w:tr2bl w:val="nil"/>
                  </w:tcBorders>
                  <w:noWrap w:val="0"/>
                  <w:tcMar>
                    <w:left w:w="0" w:type="dxa"/>
                    <w:right w:w="0" w:type="dxa"/>
                  </w:tcMar>
                  <w:vAlign w:val="center"/>
                </w:tcPr>
                <w:p w14:paraId="3C6D6681">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838" w:type="pct"/>
                  <w:vMerge w:val="continue"/>
                  <w:tcBorders>
                    <w:tl2br w:val="nil"/>
                    <w:tr2bl w:val="nil"/>
                  </w:tcBorders>
                  <w:noWrap w:val="0"/>
                  <w:tcMar>
                    <w:left w:w="0" w:type="dxa"/>
                    <w:right w:w="0" w:type="dxa"/>
                  </w:tcMar>
                  <w:vAlign w:val="center"/>
                </w:tcPr>
                <w:p w14:paraId="6D1F86D3">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c>
                <w:tcPr>
                  <w:tcW w:w="605" w:type="pct"/>
                  <w:tcBorders>
                    <w:tl2br w:val="nil"/>
                    <w:tr2bl w:val="nil"/>
                  </w:tcBorders>
                  <w:noWrap w:val="0"/>
                  <w:tcMar>
                    <w:left w:w="0" w:type="dxa"/>
                    <w:right w:w="0" w:type="dxa"/>
                  </w:tcMar>
                  <w:vAlign w:val="center"/>
                </w:tcPr>
                <w:p w14:paraId="1609B88C">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0.005</w:t>
                  </w:r>
                </w:p>
              </w:tc>
              <w:tc>
                <w:tcPr>
                  <w:tcW w:w="562" w:type="pct"/>
                  <w:tcBorders>
                    <w:tl2br w:val="nil"/>
                    <w:tr2bl w:val="nil"/>
                  </w:tcBorders>
                  <w:noWrap w:val="0"/>
                  <w:vAlign w:val="center"/>
                </w:tcPr>
                <w:p w14:paraId="12303340">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w:t>
                  </w:r>
                </w:p>
              </w:tc>
              <w:tc>
                <w:tcPr>
                  <w:tcW w:w="654" w:type="pct"/>
                  <w:vMerge w:val="continue"/>
                  <w:tcBorders>
                    <w:tl2br w:val="nil"/>
                    <w:tr2bl w:val="nil"/>
                  </w:tcBorders>
                  <w:noWrap w:val="0"/>
                  <w:vAlign w:val="center"/>
                </w:tcPr>
                <w:p w14:paraId="19F7CB87">
                  <w:pPr>
                    <w:keepNext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p>
              </w:tc>
            </w:tr>
          </w:tbl>
          <w:p w14:paraId="55E7832E">
            <w:pPr>
              <w:adjustRightInd w:val="0"/>
              <w:spacing w:line="360" w:lineRule="auto"/>
              <w:ind w:firstLine="420" w:firstLineChars="200"/>
              <w:jc w:val="left"/>
              <w:rPr>
                <w:rFonts w:hint="default" w:ascii="Times New Roman" w:hAnsi="Times New Roman" w:eastAsia="宋体" w:cs="Times New Roman"/>
                <w:b/>
                <w:bCs/>
                <w:vanish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nish w:val="0"/>
                <w:color w:val="000000" w:themeColor="text1"/>
                <w:kern w:val="0"/>
                <w:sz w:val="21"/>
                <w:szCs w:val="21"/>
                <w14:textFill>
                  <w14:solidFill>
                    <w14:schemeClr w14:val="tx1"/>
                  </w14:solidFill>
                </w14:textFill>
              </w:rPr>
              <w:t>2、环境管理要求</w:t>
            </w:r>
          </w:p>
          <w:p w14:paraId="02F8EEF9">
            <w:pPr>
              <w:widowControl/>
              <w:spacing w:line="360" w:lineRule="auto"/>
              <w:ind w:firstLine="48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lang w:bidi="ar"/>
                <w14:textFill>
                  <w14:solidFill>
                    <w14:schemeClr w14:val="tx1"/>
                  </w14:solidFill>
                </w14:textFill>
              </w:rPr>
              <w:t>根据固体废物判别结果可知，本企业产生的固体废物包括生活垃圾、一般工业固废以及危险废物。</w:t>
            </w:r>
            <w:r>
              <w:rPr>
                <w:rFonts w:hint="default" w:ascii="Times New Roman" w:hAnsi="Times New Roman" w:cs="Times New Roman"/>
                <w:vanish w:val="0"/>
                <w:color w:val="000000" w:themeColor="text1"/>
                <w:sz w:val="21"/>
                <w:szCs w:val="21"/>
                <w:lang w:val="en-US" w:eastAsia="zh-CN" w:bidi="ar"/>
                <w14:textFill>
                  <w14:solidFill>
                    <w14:schemeClr w14:val="tx1"/>
                  </w14:solidFill>
                </w14:textFill>
              </w:rPr>
              <w:t>一般固废</w:t>
            </w:r>
            <w:r>
              <w:rPr>
                <w:rFonts w:hint="default" w:ascii="Times New Roman" w:hAnsi="Times New Roman" w:cs="Times New Roman"/>
                <w:vanish w:val="0"/>
                <w:color w:val="000000" w:themeColor="text1"/>
                <w:sz w:val="21"/>
                <w:szCs w:val="21"/>
                <w:lang w:bidi="ar"/>
                <w14:textFill>
                  <w14:solidFill>
                    <w14:schemeClr w14:val="tx1"/>
                  </w14:solidFill>
                </w14:textFill>
              </w:rPr>
              <w:t>集中收集于</w:t>
            </w:r>
            <w:r>
              <w:rPr>
                <w:rFonts w:hint="default" w:ascii="Times New Roman" w:hAnsi="Times New Roman" w:cs="Times New Roman"/>
                <w:vanish w:val="0"/>
                <w:color w:val="000000" w:themeColor="text1"/>
                <w:sz w:val="21"/>
                <w:szCs w:val="21"/>
                <w:lang w:val="en-US" w:eastAsia="zh-CN" w:bidi="ar"/>
                <w14:textFill>
                  <w14:solidFill>
                    <w14:schemeClr w14:val="tx1"/>
                  </w14:solidFill>
                </w14:textFill>
              </w:rPr>
              <w:t>一般</w:t>
            </w:r>
            <w:r>
              <w:rPr>
                <w:rFonts w:hint="default" w:ascii="Times New Roman" w:hAnsi="Times New Roman" w:cs="Times New Roman"/>
                <w:vanish w:val="0"/>
                <w:color w:val="000000" w:themeColor="text1"/>
                <w:sz w:val="21"/>
                <w:szCs w:val="21"/>
                <w:lang w:bidi="ar"/>
                <w14:textFill>
                  <w14:solidFill>
                    <w14:schemeClr w14:val="tx1"/>
                  </w14:solidFill>
                </w14:textFill>
              </w:rPr>
              <w:t>固废暂存</w:t>
            </w:r>
            <w:r>
              <w:rPr>
                <w:rFonts w:hint="default" w:ascii="Times New Roman" w:hAnsi="Times New Roman" w:cs="Times New Roman"/>
                <w:vanish w:val="0"/>
                <w:color w:val="000000" w:themeColor="text1"/>
                <w:sz w:val="21"/>
                <w:szCs w:val="21"/>
                <w:lang w:val="en-US" w:eastAsia="zh-CN" w:bidi="ar"/>
                <w14:textFill>
                  <w14:solidFill>
                    <w14:schemeClr w14:val="tx1"/>
                  </w14:solidFill>
                </w14:textFill>
              </w:rPr>
              <w:t>间</w:t>
            </w:r>
            <w:r>
              <w:rPr>
                <w:rFonts w:hint="default" w:ascii="Times New Roman" w:hAnsi="Times New Roman" w:cs="Times New Roman"/>
                <w:vanish w:val="0"/>
                <w:color w:val="000000" w:themeColor="text1"/>
                <w:sz w:val="21"/>
                <w:szCs w:val="21"/>
                <w:lang w:bidi="ar"/>
                <w14:textFill>
                  <w14:solidFill>
                    <w14:schemeClr w14:val="tx1"/>
                  </w14:solidFill>
                </w14:textFill>
              </w:rPr>
              <w:t>，定期外售处理；生活垃圾</w:t>
            </w:r>
            <w:r>
              <w:rPr>
                <w:rFonts w:hint="default" w:ascii="Times New Roman" w:hAnsi="Times New Roman" w:cs="Times New Roman"/>
                <w:vanish w:val="0"/>
                <w:color w:val="000000" w:themeColor="text1"/>
                <w:sz w:val="21"/>
                <w:szCs w:val="21"/>
                <w:lang w:val="en-US" w:eastAsia="zh-CN" w:bidi="ar"/>
                <w14:textFill>
                  <w14:solidFill>
                    <w14:schemeClr w14:val="tx1"/>
                  </w14:solidFill>
                </w14:textFill>
              </w:rPr>
              <w:t>分类收集</w:t>
            </w:r>
            <w:r>
              <w:rPr>
                <w:rFonts w:hint="default" w:ascii="Times New Roman" w:hAnsi="Times New Roman" w:cs="Times New Roman"/>
                <w:vanish w:val="0"/>
                <w:color w:val="000000" w:themeColor="text1"/>
                <w:sz w:val="21"/>
                <w:szCs w:val="21"/>
                <w:lang w:bidi="ar"/>
                <w14:textFill>
                  <w14:solidFill>
                    <w14:schemeClr w14:val="tx1"/>
                  </w14:solidFill>
                </w14:textFill>
              </w:rPr>
              <w:t>集中定点堆放，由环卫部门定期清运；危险废物暂存于</w:t>
            </w:r>
            <w:r>
              <w:rPr>
                <w:rFonts w:hint="default" w:ascii="Times New Roman" w:hAnsi="Times New Roman" w:cs="Times New Roman"/>
                <w:bCs/>
                <w:vanish w:val="0"/>
                <w:color w:val="000000" w:themeColor="text1"/>
                <w:sz w:val="21"/>
                <w:szCs w:val="21"/>
                <w:lang w:eastAsia="zh-CN" w:bidi="ar"/>
                <w14:textFill>
                  <w14:solidFill>
                    <w14:schemeClr w14:val="tx1"/>
                  </w14:solidFill>
                </w14:textFill>
              </w:rPr>
              <w:t>危险废物贮存库</w:t>
            </w:r>
            <w:r>
              <w:rPr>
                <w:rFonts w:hint="default" w:ascii="Times New Roman" w:hAnsi="Times New Roman" w:cs="Times New Roman"/>
                <w:bCs/>
                <w:vanish w:val="0"/>
                <w:color w:val="000000" w:themeColor="text1"/>
                <w:sz w:val="21"/>
                <w:szCs w:val="21"/>
                <w:lang w:bidi="ar"/>
                <w14:textFill>
                  <w14:solidFill>
                    <w14:schemeClr w14:val="tx1"/>
                  </w14:solidFill>
                </w14:textFill>
              </w:rPr>
              <w:t>，定期交由</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有资质单位</w:t>
            </w:r>
            <w:r>
              <w:rPr>
                <w:rFonts w:hint="default" w:ascii="Times New Roman" w:hAnsi="Times New Roman" w:cs="Times New Roman"/>
                <w:bCs/>
                <w:vanish w:val="0"/>
                <w:color w:val="000000" w:themeColor="text1"/>
                <w:sz w:val="21"/>
                <w:szCs w:val="21"/>
                <w:lang w:bidi="ar"/>
                <w14:textFill>
                  <w14:solidFill>
                    <w14:schemeClr w14:val="tx1"/>
                  </w14:solidFill>
                </w14:textFill>
              </w:rPr>
              <w:t>处理。</w:t>
            </w:r>
          </w:p>
          <w:p w14:paraId="369BA9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vanish w:val="0"/>
                <w:color w:val="000000" w:themeColor="text1"/>
                <w:sz w:val="21"/>
                <w:szCs w:val="21"/>
                <w:lang w:val="en-US" w:eastAsia="zh-CN"/>
                <w14:textFill>
                  <w14:solidFill>
                    <w14:schemeClr w14:val="tx1"/>
                  </w14:solidFill>
                </w14:textFill>
              </w:rPr>
              <w:t>（1）危险废物贮存库建设及管理要求</w:t>
            </w:r>
          </w:p>
          <w:p w14:paraId="3B4EA966">
            <w:pPr>
              <w:widowControl/>
              <w:spacing w:line="360" w:lineRule="auto"/>
              <w:ind w:firstLine="482"/>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建设单位</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拟在净化水厂</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内设置危险废物贮存库1座</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，占地面积10</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vanish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vanish w:val="0"/>
                <w:color w:val="000000" w:themeColor="text1"/>
                <w:sz w:val="21"/>
                <w:szCs w:val="21"/>
                <w:lang w:val="en-US" w:eastAsia="zh-CN" w:bidi="ar"/>
                <w14:textFill>
                  <w14:solidFill>
                    <w14:schemeClr w14:val="tx1"/>
                  </w14:solidFill>
                </w14:textFill>
              </w:rPr>
              <w:t>，</w:t>
            </w:r>
            <w:r>
              <w:rPr>
                <w:rFonts w:hint="eastAsia" w:ascii="Times New Roman" w:hAnsi="Times New Roman" w:eastAsia="宋体" w:cs="Times New Roman"/>
                <w:vanish w:val="0"/>
                <w:color w:val="000000" w:themeColor="text1"/>
                <w:sz w:val="21"/>
                <w:szCs w:val="21"/>
                <w:lang w:val="en-US" w:eastAsia="zh-CN" w:bidi="ar"/>
                <w14:textFill>
                  <w14:solidFill>
                    <w14:schemeClr w14:val="tx1"/>
                  </w14:solidFill>
                </w14:textFill>
              </w:rPr>
              <w:t>设置托盘、专用收集容器以及相关标识，</w:t>
            </w:r>
            <w:r>
              <w:rPr>
                <w:rFonts w:hint="default" w:ascii="Times New Roman" w:hAnsi="Times New Roman" w:eastAsia="宋体" w:cs="Times New Roman"/>
                <w:vanish w:val="0"/>
                <w:color w:val="000000" w:themeColor="text1"/>
                <w:sz w:val="21"/>
                <w:szCs w:val="21"/>
                <w:lang w:val="en-US" w:eastAsia="zh-CN" w:bidi="ar"/>
                <w14:textFill>
                  <w14:solidFill>
                    <w14:schemeClr w14:val="tx1"/>
                  </w14:solidFill>
                </w14:textFill>
              </w:rPr>
              <w:t>专</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用容器分类收集后并委托有资质单位进行处置。危险废物贮存应按危险废物收集、贮存及运输过程，需执行《危险废物收集、贮存、运输过程的技术规范》（HJ2025-2012）及《危险废物贮存污染控制标准》（GB18597-2023）相关规定执行。</w:t>
            </w:r>
          </w:p>
          <w:p w14:paraId="442B163C">
            <w:pPr>
              <w:widowControl/>
              <w:spacing w:line="360" w:lineRule="auto"/>
              <w:ind w:firstLine="482"/>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本项目将产生的危险废物</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分类</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暂存于危险废物贮存库，</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根据</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《中华人民共和国固体废物污染环境防治法</w:t>
            </w:r>
            <w:r>
              <w:rPr>
                <w:rFonts w:hint="eastAsia" w:cs="Times New Roman"/>
                <w:vanish w:val="0"/>
                <w:color w:val="000000" w:themeColor="text1"/>
                <w:sz w:val="21"/>
                <w:szCs w:val="21"/>
                <w:lang w:val="en-US" w:eastAsia="zh-CN"/>
                <w14:textFill>
                  <w14:solidFill>
                    <w14:schemeClr w14:val="tx1"/>
                  </w14:solidFill>
                </w14:textFill>
              </w:rPr>
              <w:t>》和</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《危险废物贮存污染控制标准》（GB18597-2023）中的</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相关</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规定，</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对危险废物的收集、贮存、管理等提出以下要求</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w:t>
            </w:r>
          </w:p>
          <w:p w14:paraId="0C96D9B6">
            <w:pPr>
              <w:widowControl/>
              <w:spacing w:line="360" w:lineRule="auto"/>
              <w:ind w:firstLine="482"/>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A、本项目危废存放间地面与裙角要用坚固、防渗的材料建筑，并必须与危险废物相容；内部有安全照明设施和观察窗口；内部场地要有耐腐蚀的硬化地面且表面无裂隙；不相容的危险废物必须分开存放并设有隔离间隔离；地面应进行防渗（推荐方法：混凝土地面用环氧树脂处理或铺设一层2mm高密度聚乙烯后再铺设厚瓷砖或防渗层至少1m厚</w:t>
            </w:r>
            <w:r>
              <w:rPr>
                <w:rFonts w:hint="eastAsia" w:cs="Times New Roman"/>
                <w:vanish w:val="0"/>
                <w:color w:val="000000" w:themeColor="text1"/>
                <w:sz w:val="21"/>
                <w:szCs w:val="21"/>
                <w:lang w:val="en-US" w:eastAsia="zh-CN"/>
                <w14:textFill>
                  <w14:solidFill>
                    <w14:schemeClr w14:val="tx1"/>
                  </w14:solidFill>
                </w14:textFill>
              </w:rPr>
              <w:t>黏土</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层，渗透系数≦1.0×10</w:t>
            </w:r>
            <w:r>
              <w:rPr>
                <w:rFonts w:hint="eastAsia" w:cs="Times New Roman"/>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cm/s，或至少2mm厚其他人工材料，渗透系数≦1.0×10</w:t>
            </w:r>
            <w:r>
              <w:rPr>
                <w:rFonts w:hint="eastAsia" w:cs="Times New Roman"/>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vanish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cm/s）；不相容的危险废物必须分开存放并设有隔离间隔离，设备维护产生的废润滑油均采用专用容器进行收集，放置危险废物贮存库，设立危险废物标识。</w:t>
            </w:r>
          </w:p>
          <w:p w14:paraId="7AE8D7E8">
            <w:pPr>
              <w:widowControl/>
              <w:spacing w:line="360" w:lineRule="auto"/>
              <w:ind w:firstLine="482"/>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B、装载液体、半固体危险废物的容器内须保留足够空间，容器顶部与液体表面之间保留100毫</w:t>
            </w:r>
            <w:r>
              <w:rPr>
                <w:rFonts w:hint="eastAsia" w:cs="Times New Roman"/>
                <w:vanish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以上的空间。</w:t>
            </w:r>
          </w:p>
          <w:p w14:paraId="133C3CB2">
            <w:pPr>
              <w:widowControl/>
              <w:spacing w:line="360" w:lineRule="auto"/>
              <w:ind w:firstLine="482"/>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C、盛装危险废物的容器上必须粘贴符合标准的标签。</w:t>
            </w:r>
          </w:p>
          <w:p w14:paraId="505E2856">
            <w:pPr>
              <w:widowControl/>
              <w:spacing w:line="360" w:lineRule="auto"/>
              <w:ind w:firstLine="482"/>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D、装载危险废物的容器必须完好无损，材质要满足相应的强度要求，容器材质与衬里要与危险废物相容（不相互反应）。</w:t>
            </w:r>
          </w:p>
          <w:p w14:paraId="0F146D52">
            <w:pPr>
              <w:widowControl/>
              <w:spacing w:line="360" w:lineRule="auto"/>
              <w:ind w:firstLine="482"/>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E、安排专人对危险废物暂存库进行定期检查，制定危险废物事故应急预案并配备相应的应急物资，按要求切实做到</w:t>
            </w:r>
            <w:r>
              <w:rPr>
                <w:rFonts w:hint="default" w:ascii="Times New Roman" w:hAnsi="Times New Roman" w:cs="Times New Roman"/>
                <w:vanish w:val="0"/>
                <w:color w:val="000000" w:themeColor="text1"/>
                <w:szCs w:val="21"/>
                <w14:textFill>
                  <w14:solidFill>
                    <w14:schemeClr w14:val="tx1"/>
                  </w14:solidFill>
                </w14:textFill>
              </w:rPr>
              <w:t>防风、防晒、防雨、防漏、防渗、防腐的</w:t>
            </w:r>
            <w:r>
              <w:rPr>
                <w:rFonts w:hint="eastAsia"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六防</w:t>
            </w:r>
            <w:r>
              <w:rPr>
                <w:rFonts w:hint="eastAsia"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措施</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。切实落实防渗措施，做好地面硬化，</w:t>
            </w:r>
            <w:r>
              <w:rPr>
                <w:rFonts w:hint="eastAsia" w:cs="Times New Roman"/>
                <w:vanish w:val="0"/>
                <w:color w:val="000000" w:themeColor="text1"/>
                <w:sz w:val="21"/>
                <w:szCs w:val="21"/>
                <w:lang w:val="en-US" w:eastAsia="zh-CN"/>
                <w14:textFill>
                  <w14:solidFill>
                    <w14:schemeClr w14:val="tx1"/>
                  </w14:solidFill>
                </w14:textFill>
              </w:rPr>
              <w:t>防止</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危险废物对地下水的影响。除此之外，建设单位还应建立台账，明确标识，委托有资质单位按规范处置。</w:t>
            </w:r>
          </w:p>
          <w:p w14:paraId="7767E4BA">
            <w:pPr>
              <w:widowControl/>
              <w:spacing w:line="360" w:lineRule="auto"/>
              <w:ind w:firstLine="482"/>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F、危险废物贮存设施必须按GB15562.2的规定设置警示标志；管理及运输人员必须采取必要的安全防护措施。定期对所贮存的危险废物包装容器及贮存设施进行检查，发现破损，应及时采取措施清理更换。</w:t>
            </w:r>
          </w:p>
          <w:p w14:paraId="3498D2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outlineLvl w:val="2"/>
              <w:rPr>
                <w:rFonts w:hint="default" w:ascii="Times New Roman" w:hAnsi="Times New Roman" w:eastAsia="宋体" w:cs="Times New Roman"/>
                <w:vanish w:val="0"/>
                <w:color w:val="000000" w:themeColor="text1"/>
                <w:highlight w:val="none"/>
                <w:lang w:val="en-US" w:eastAsia="zh-CN"/>
                <w14:textFill>
                  <w14:solidFill>
                    <w14:schemeClr w14:val="tx1"/>
                  </w14:solidFill>
                </w14:textFill>
              </w:rPr>
            </w:pPr>
            <w:bookmarkStart w:id="2" w:name="_Toc16344"/>
            <w:bookmarkStart w:id="3" w:name="_Toc21232"/>
            <w:bookmarkStart w:id="4" w:name="_Toc833"/>
            <w:bookmarkStart w:id="5" w:name="_Toc11645"/>
            <w:bookmarkStart w:id="6" w:name="_Toc15192"/>
            <w:bookmarkStart w:id="7" w:name="_Toc17323"/>
            <w:bookmarkStart w:id="8" w:name="_Toc19485"/>
            <w:bookmarkStart w:id="9" w:name="_Toc7008"/>
            <w:bookmarkStart w:id="10" w:name="_Toc27545"/>
            <w:r>
              <w:rPr>
                <w:rFonts w:hint="default" w:ascii="Times New Roman" w:hAnsi="Times New Roman" w:cs="Times New Roman"/>
                <w:vanish w:val="0"/>
                <w:color w:val="000000" w:themeColor="text1"/>
                <w:highlight w:val="none"/>
                <w:lang w:eastAsia="zh-CN"/>
                <w14:textFill>
                  <w14:solidFill>
                    <w14:schemeClr w14:val="tx1"/>
                  </w14:solidFill>
                </w14:textFill>
              </w:rPr>
              <w:t>（</w:t>
            </w:r>
            <w:r>
              <w:rPr>
                <w:rFonts w:hint="default" w:ascii="Times New Roman" w:hAnsi="Times New Roman" w:cs="Times New Roman"/>
                <w:vanish w:val="0"/>
                <w:color w:val="000000" w:themeColor="text1"/>
                <w:highlight w:val="none"/>
                <w:lang w:val="en-US" w:eastAsia="zh-CN"/>
                <w14:textFill>
                  <w14:solidFill>
                    <w14:schemeClr w14:val="tx1"/>
                  </w14:solidFill>
                </w14:textFill>
              </w:rPr>
              <w:t>2</w:t>
            </w:r>
            <w:r>
              <w:rPr>
                <w:rFonts w:hint="default" w:ascii="Times New Roman" w:hAnsi="Times New Roman" w:cs="Times New Roman"/>
                <w:vanish w:val="0"/>
                <w:color w:val="000000" w:themeColor="text1"/>
                <w:highlight w:val="none"/>
                <w:lang w:eastAsia="zh-CN"/>
                <w14:textFill>
                  <w14:solidFill>
                    <w14:schemeClr w14:val="tx1"/>
                  </w14:solidFill>
                </w14:textFill>
              </w:rPr>
              <w:t>）</w:t>
            </w:r>
            <w:r>
              <w:rPr>
                <w:rFonts w:hint="default" w:ascii="Times New Roman" w:hAnsi="Times New Roman" w:cs="Times New Roman"/>
                <w:vanish w:val="0"/>
                <w:color w:val="000000" w:themeColor="text1"/>
                <w:highlight w:val="none"/>
                <w14:textFill>
                  <w14:solidFill>
                    <w14:schemeClr w14:val="tx1"/>
                  </w14:solidFill>
                </w14:textFill>
              </w:rPr>
              <w:t>一般固</w:t>
            </w:r>
            <w:bookmarkEnd w:id="2"/>
            <w:bookmarkEnd w:id="3"/>
            <w:bookmarkEnd w:id="4"/>
            <w:bookmarkEnd w:id="5"/>
            <w:bookmarkEnd w:id="6"/>
            <w:bookmarkEnd w:id="7"/>
            <w:bookmarkEnd w:id="8"/>
            <w:bookmarkEnd w:id="9"/>
            <w:bookmarkEnd w:id="10"/>
            <w:r>
              <w:rPr>
                <w:rFonts w:hint="default" w:ascii="Times New Roman" w:hAnsi="Times New Roman" w:cs="Times New Roman"/>
                <w:vanish w:val="0"/>
                <w:color w:val="000000" w:themeColor="text1"/>
                <w:highlight w:val="none"/>
                <w:lang w:val="en-US" w:eastAsia="zh-CN"/>
                <w14:textFill>
                  <w14:solidFill>
                    <w14:schemeClr w14:val="tx1"/>
                  </w14:solidFill>
                </w14:textFill>
              </w:rPr>
              <w:t>废间建设要求</w:t>
            </w:r>
          </w:p>
          <w:p w14:paraId="4100415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建设单位</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拟</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在</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净化水厂</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内设置一般工业固废贮存区1</w:t>
            </w:r>
            <w:r>
              <w:rPr>
                <w:rFonts w:hint="eastAsia"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处，占地面积20</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vanish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，车间地面采用水泥硬化处理，满足一般防渗区等级要求。废砂轮、收尘灰等分类存放，其贮存方式和贮存场所满足防渗漏、防雨淋、防扬尘等环境保护要求。</w:t>
            </w:r>
          </w:p>
          <w:p w14:paraId="2285789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一般固废暂存间的建设要求具体如下：</w:t>
            </w:r>
          </w:p>
          <w:p w14:paraId="1A830E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①一般工业固体废物应分类收集、储存，不能混存；</w:t>
            </w:r>
          </w:p>
          <w:p w14:paraId="40EA825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②一般工业固体废物临时储存地点必须建有天棚，不允许露天堆放，以防雨水冲刷，雨水通过场地四周导流渠流向雨水排放管；临时堆放场地为水泥铺设地面，以防渗漏；暂存场所的选择应便于清理和转运；</w:t>
            </w:r>
          </w:p>
          <w:p w14:paraId="35F55F6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③建立档案制度，将临时储存的一般工业固体废物的种类、数量和外运的一般工业固体废物的种类、数量详细记录在案，长期保存，供随时查阅。</w:t>
            </w:r>
          </w:p>
          <w:p w14:paraId="6F3C3B7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因</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此，从项目采用的固废利用及处置方式来分析，对产生的各类固废、危废按其性质分类分区收集和暂存，并均能得到有效利用或妥善处置。在严格管理下，本项目的一般固体废物及危险废物对周围环境不会产生二次污染。</w:t>
            </w:r>
          </w:p>
          <w:p w14:paraId="199C4CC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通过以上措施，本项目运营期产生的各类固废处置合理可行，去向明确，其处置措施体现了</w:t>
            </w:r>
            <w:r>
              <w:rPr>
                <w:rFonts w:hint="eastAsia"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减量化、资源化、无害化</w:t>
            </w:r>
            <w:r>
              <w:rPr>
                <w:rFonts w:hint="eastAsia" w:cs="Times New Roman"/>
                <w:b w:val="0"/>
                <w:bCs w:val="0"/>
                <w:vanish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的治理原则，对周围环境不会产生明显影响。</w:t>
            </w:r>
          </w:p>
          <w:p w14:paraId="17CCE199">
            <w:pPr>
              <w:widowControl/>
              <w:spacing w:line="360" w:lineRule="auto"/>
              <w:ind w:firstLine="420" w:firstLineChars="200"/>
              <w:jc w:val="both"/>
              <w:rPr>
                <w:rFonts w:hint="default" w:ascii="Times New Roman" w:hAnsi="Times New Roman" w:eastAsia="宋体" w:cs="Times New Roman"/>
                <w:b/>
                <w:vanish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nish w:val="0"/>
                <w:color w:val="000000" w:themeColor="text1"/>
                <w:sz w:val="21"/>
                <w:szCs w:val="21"/>
                <w:lang w:val="en-US" w:eastAsia="zh-CN"/>
                <w14:textFill>
                  <w14:solidFill>
                    <w14:schemeClr w14:val="tx1"/>
                  </w14:solidFill>
                </w14:textFill>
              </w:rPr>
              <w:t>五</w:t>
            </w:r>
            <w:r>
              <w:rPr>
                <w:rFonts w:hint="default" w:ascii="Times New Roman" w:hAnsi="Times New Roman" w:eastAsia="宋体" w:cs="Times New Roman"/>
                <w:b/>
                <w:vanish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nish w:val="0"/>
                <w:color w:val="000000" w:themeColor="text1"/>
                <w:sz w:val="21"/>
                <w:szCs w:val="21"/>
                <w:lang w:val="en-US" w:eastAsia="zh-CN"/>
                <w14:textFill>
                  <w14:solidFill>
                    <w14:schemeClr w14:val="tx1"/>
                  </w14:solidFill>
                </w14:textFill>
              </w:rPr>
              <w:t>土壤、</w:t>
            </w:r>
            <w:r>
              <w:rPr>
                <w:rFonts w:hint="default" w:ascii="Times New Roman" w:hAnsi="Times New Roman" w:eastAsia="宋体" w:cs="Times New Roman"/>
                <w:b/>
                <w:vanish w:val="0"/>
                <w:color w:val="000000" w:themeColor="text1"/>
                <w:sz w:val="21"/>
                <w:szCs w:val="21"/>
                <w:lang w:val="en-US" w:eastAsia="zh-CN"/>
                <w14:textFill>
                  <w14:solidFill>
                    <w14:schemeClr w14:val="tx1"/>
                  </w14:solidFill>
                </w14:textFill>
              </w:rPr>
              <w:t>地下水环境影响分析</w:t>
            </w:r>
          </w:p>
          <w:p w14:paraId="7498A608">
            <w:pPr>
              <w:adjustRightInd w:val="0"/>
              <w:spacing w:line="360" w:lineRule="auto"/>
              <w:ind w:firstLine="420" w:firstLineChars="200"/>
              <w:jc w:val="left"/>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1、</w:t>
            </w:r>
            <w:r>
              <w:rPr>
                <w:rFonts w:hint="default" w:ascii="Times New Roman" w:hAnsi="Times New Roman" w:cs="Times New Roman"/>
                <w:b/>
                <w:bCs/>
                <w:vanish w:val="0"/>
                <w:color w:val="000000" w:themeColor="text1"/>
                <w:sz w:val="21"/>
                <w:szCs w:val="21"/>
                <w14:textFill>
                  <w14:solidFill>
                    <w14:schemeClr w14:val="tx1"/>
                  </w14:solidFill>
                </w14:textFill>
              </w:rPr>
              <w:t>污染源、污染物类型及污染途径</w:t>
            </w:r>
          </w:p>
          <w:p w14:paraId="5CBB85C2">
            <w:pPr>
              <w:adjustRightInd w:val="0"/>
              <w:spacing w:line="360" w:lineRule="auto"/>
              <w:ind w:firstLine="420" w:firstLineChars="200"/>
              <w:jc w:val="left"/>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本项目</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消毒间</w:t>
            </w:r>
            <w:r>
              <w:rPr>
                <w:rFonts w:hint="default" w:ascii="Times New Roman" w:hAnsi="Times New Roman" w:cs="Times New Roman"/>
                <w:vanish w:val="0"/>
                <w:color w:val="000000" w:themeColor="text1"/>
                <w:sz w:val="21"/>
                <w:szCs w:val="21"/>
                <w14:textFill>
                  <w14:solidFill>
                    <w14:schemeClr w14:val="tx1"/>
                  </w14:solidFill>
                </w14:textFill>
              </w:rPr>
              <w:t>存放</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的</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盐酸</w:t>
            </w:r>
            <w:r>
              <w:rPr>
                <w:rFonts w:hint="default" w:ascii="Times New Roman" w:hAnsi="Times New Roman" w:cs="Times New Roman"/>
                <w:vanish w:val="0"/>
                <w:color w:val="000000" w:themeColor="text1"/>
                <w:sz w:val="21"/>
                <w:szCs w:val="21"/>
                <w14:textFill>
                  <w14:solidFill>
                    <w14:schemeClr w14:val="tx1"/>
                  </w14:solidFill>
                </w14:textFill>
              </w:rPr>
              <w:t>，</w:t>
            </w:r>
            <w:r>
              <w:rPr>
                <w:rFonts w:hint="default" w:ascii="Times New Roman" w:hAnsi="Times New Roman" w:cs="Times New Roman"/>
                <w:vanish w:val="0"/>
                <w:color w:val="000000" w:themeColor="text1"/>
                <w:sz w:val="21"/>
                <w:szCs w:val="21"/>
                <w:lang w:eastAsia="zh-CN"/>
                <w14:textFill>
                  <w14:solidFill>
                    <w14:schemeClr w14:val="tx1"/>
                  </w14:solidFill>
                </w14:textFill>
              </w:rPr>
              <w:t>危险废物贮存库</w:t>
            </w:r>
            <w:r>
              <w:rPr>
                <w:rFonts w:hint="default" w:ascii="Times New Roman" w:hAnsi="Times New Roman" w:eastAsia="宋体" w:cs="Times New Roman"/>
                <w:vanish w:val="0"/>
                <w:color w:val="000000" w:themeColor="text1"/>
                <w:sz w:val="21"/>
                <w:szCs w:val="21"/>
                <w14:textFill>
                  <w14:solidFill>
                    <w14:schemeClr w14:val="tx1"/>
                  </w14:solidFill>
                </w14:textFill>
              </w:rPr>
              <w:t>贮存废润滑油</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在</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使用及</w:t>
            </w:r>
            <w:r>
              <w:rPr>
                <w:rFonts w:hint="default" w:ascii="Times New Roman" w:hAnsi="Times New Roman" w:eastAsia="宋体" w:cs="Times New Roman"/>
                <w:vanish w:val="0"/>
                <w:color w:val="000000" w:themeColor="text1"/>
                <w:sz w:val="21"/>
                <w:szCs w:val="21"/>
                <w14:textFill>
                  <w14:solidFill>
                    <w14:schemeClr w14:val="tx1"/>
                  </w14:solidFill>
                </w14:textFill>
              </w:rPr>
              <w:t>贮存场所在不采用防</w:t>
            </w:r>
            <w:r>
              <w:rPr>
                <w:rFonts w:hint="default" w:ascii="Times New Roman" w:hAnsi="Times New Roman" w:cs="Times New Roman"/>
                <w:vanish w:val="0"/>
                <w:color w:val="000000" w:themeColor="text1"/>
                <w:sz w:val="21"/>
                <w:szCs w:val="21"/>
                <w14:textFill>
                  <w14:solidFill>
                    <w14:schemeClr w14:val="tx1"/>
                  </w14:solidFill>
                </w14:textFill>
              </w:rPr>
              <w:t>控措施的情况下，可能发生</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储存容器破损导致</w:t>
            </w:r>
            <w:r>
              <w:rPr>
                <w:rFonts w:hint="default" w:ascii="Times New Roman" w:hAnsi="Times New Roman" w:cs="Times New Roman"/>
                <w:vanish w:val="0"/>
                <w:color w:val="000000" w:themeColor="text1"/>
                <w:sz w:val="21"/>
                <w:szCs w:val="21"/>
                <w14:textFill>
                  <w14:solidFill>
                    <w14:schemeClr w14:val="tx1"/>
                  </w14:solidFill>
                </w14:textFill>
              </w:rPr>
              <w:t>渗漏通过垂直入渗污染</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土壤、</w:t>
            </w:r>
            <w:r>
              <w:rPr>
                <w:rFonts w:hint="default" w:ascii="Times New Roman" w:hAnsi="Times New Roman" w:cs="Times New Roman"/>
                <w:vanish w:val="0"/>
                <w:color w:val="000000" w:themeColor="text1"/>
                <w:sz w:val="21"/>
                <w:szCs w:val="21"/>
                <w14:textFill>
                  <w14:solidFill>
                    <w14:schemeClr w14:val="tx1"/>
                  </w14:solidFill>
                </w14:textFill>
              </w:rPr>
              <w:t>地下水环境。</w:t>
            </w:r>
          </w:p>
          <w:p w14:paraId="25A8EFB7">
            <w:pPr>
              <w:adjustRightInd w:val="0"/>
              <w:spacing w:line="360" w:lineRule="auto"/>
              <w:ind w:firstLine="420" w:firstLineChars="200"/>
              <w:jc w:val="left"/>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2、</w:t>
            </w:r>
            <w:r>
              <w:rPr>
                <w:rFonts w:hint="default" w:ascii="Times New Roman" w:hAnsi="Times New Roman" w:cs="Times New Roman"/>
                <w:b/>
                <w:bCs/>
                <w:vanish w:val="0"/>
                <w:color w:val="000000" w:themeColor="text1"/>
                <w:sz w:val="21"/>
                <w:szCs w:val="21"/>
                <w14:textFill>
                  <w14:solidFill>
                    <w14:schemeClr w14:val="tx1"/>
                  </w14:solidFill>
                </w14:textFill>
              </w:rPr>
              <w:t>防控措施</w:t>
            </w:r>
          </w:p>
          <w:p w14:paraId="156ADC8A">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val="0"/>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消毒间地面</w:t>
            </w:r>
            <w:r>
              <w:rPr>
                <w:rFonts w:hint="default" w:ascii="Times New Roman" w:hAnsi="Times New Roman" w:eastAsia="宋体" w:cs="Times New Roman"/>
                <w:vanish w:val="0"/>
                <w:color w:val="000000" w:themeColor="text1"/>
                <w:sz w:val="21"/>
                <w:szCs w:val="21"/>
                <w14:textFill>
                  <w14:solidFill>
                    <w14:schemeClr w14:val="tx1"/>
                  </w14:solidFill>
                </w14:textFill>
              </w:rPr>
              <w:t>混凝土硬化</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处理</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，消毒设置区域进行重点防渗</w:t>
            </w:r>
            <w:r>
              <w:rPr>
                <w:rFonts w:hint="default" w:ascii="Times New Roman" w:hAnsi="Times New Roman" w:eastAsia="宋体" w:cs="Times New Roman"/>
                <w:vanish w:val="0"/>
                <w:color w:val="000000" w:themeColor="text1"/>
                <w:sz w:val="21"/>
                <w:szCs w:val="21"/>
                <w14:textFill>
                  <w14:solidFill>
                    <w14:schemeClr w14:val="tx1"/>
                  </w14:solidFill>
                </w14:textFill>
              </w:rPr>
              <w:t>；</w:t>
            </w:r>
            <w:r>
              <w:rPr>
                <w:rFonts w:hint="default" w:ascii="Times New Roman" w:hAnsi="Times New Roman" w:eastAsia="宋体" w:cs="Times New Roman"/>
                <w:vanish w:val="0"/>
                <w:color w:val="000000" w:themeColor="text1"/>
                <w:sz w:val="21"/>
                <w:szCs w:val="21"/>
                <w:lang w:eastAsia="zh-CN"/>
                <w14:textFill>
                  <w14:solidFill>
                    <w14:schemeClr w14:val="tx1"/>
                  </w14:solidFill>
                </w14:textFill>
              </w:rPr>
              <w:t>危险废物贮存库</w:t>
            </w:r>
            <w:r>
              <w:rPr>
                <w:rFonts w:hint="eastAsia" w:ascii="Times New Roman" w:hAnsi="Times New Roman" w:eastAsia="宋体" w:cs="Times New Roman"/>
                <w:vanish w:val="0"/>
                <w:color w:val="000000" w:themeColor="text1"/>
                <w:sz w:val="21"/>
                <w:szCs w:val="21"/>
                <w:lang w:val="en-US" w:eastAsia="zh-CN"/>
                <w14:textFill>
                  <w14:solidFill>
                    <w14:schemeClr w14:val="tx1"/>
                  </w14:solidFill>
                </w14:textFill>
              </w:rPr>
              <w:t>等区域</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在建设过程中须按</w:t>
            </w:r>
            <w:r>
              <w:rPr>
                <w:rFonts w:hint="default" w:ascii="Times New Roman" w:hAnsi="Times New Roman" w:eastAsia="宋体" w:cs="Times New Roman"/>
                <w:vanish w:val="0"/>
                <w:color w:val="000000" w:themeColor="text1"/>
                <w:sz w:val="21"/>
                <w:szCs w:val="21"/>
                <w14:textFill>
                  <w14:solidFill>
                    <w14:schemeClr w14:val="tx1"/>
                  </w14:solidFill>
                </w14:textFill>
              </w:rPr>
              <w:t>照重点防渗区等级要求采取防渗处理，废</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矿物油类</w:t>
            </w:r>
            <w:r>
              <w:rPr>
                <w:rFonts w:hint="eastAsia" w:cs="Times New Roman"/>
                <w:vanish w:val="0"/>
                <w:color w:val="000000" w:themeColor="text1"/>
                <w:sz w:val="21"/>
                <w:szCs w:val="21"/>
                <w:lang w:val="en-US" w:eastAsia="zh-CN"/>
                <w14:textFill>
                  <w14:solidFill>
                    <w14:schemeClr w14:val="tx1"/>
                  </w14:solidFill>
                </w14:textFill>
              </w:rPr>
              <w:t>物质</w:t>
            </w:r>
            <w:r>
              <w:rPr>
                <w:rFonts w:hint="default" w:ascii="Times New Roman" w:hAnsi="Times New Roman" w:eastAsia="宋体" w:cs="Times New Roman"/>
                <w:vanish w:val="0"/>
                <w:color w:val="000000" w:themeColor="text1"/>
                <w:sz w:val="21"/>
                <w:szCs w:val="21"/>
                <w14:textFill>
                  <w14:solidFill>
                    <w14:schemeClr w14:val="tx1"/>
                  </w14:solidFill>
                </w14:textFill>
              </w:rPr>
              <w:t>等采用桶装并置于托盘内，即使发生渗漏，也会经托盘收集，不会流入地表，污染土壤、地下水环境，因此，在采取</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上述防控措施情况下，本项目</w:t>
            </w:r>
            <w:r>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t>无对土壤及地下水造成污染的途径，</w:t>
            </w:r>
            <w:r>
              <w:rPr>
                <w:rFonts w:hint="default" w:ascii="Times New Roman" w:hAnsi="Times New Roman" w:eastAsia="宋体" w:cs="Times New Roman"/>
                <w:b w:val="0"/>
                <w:bCs w:val="0"/>
                <w:vanish w:val="0"/>
                <w:color w:val="000000" w:themeColor="text1"/>
                <w:sz w:val="21"/>
                <w:szCs w:val="21"/>
                <w14:textFill>
                  <w14:solidFill>
                    <w14:schemeClr w14:val="tx1"/>
                  </w14:solidFill>
                </w14:textFill>
              </w:rPr>
              <w:t>不会对地下水环境造成污染影响。</w:t>
            </w:r>
          </w:p>
          <w:p w14:paraId="1E02561A">
            <w:pPr>
              <w:pStyle w:val="6"/>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ind w:firstLine="420" w:firstLineChars="200"/>
              <w:jc w:val="both"/>
              <w:textAlignment w:val="auto"/>
              <w:rPr>
                <w:rFonts w:hint="default"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六、环境风险</w:t>
            </w:r>
            <w:r>
              <w:rPr>
                <w:rFonts w:hint="eastAsia" w:ascii="Times New Roman" w:hAnsi="Times New Roman" w:eastAsia="宋体" w:cs="Times New Roman"/>
                <w:b/>
                <w:bCs/>
                <w:vanish w:val="0"/>
                <w:color w:val="000000" w:themeColor="text1"/>
                <w:sz w:val="21"/>
                <w:szCs w:val="21"/>
                <w:highlight w:val="none"/>
                <w:lang w:val="en-US" w:eastAsia="zh-CN"/>
                <w14:textFill>
                  <w14:solidFill>
                    <w14:schemeClr w14:val="tx1"/>
                  </w14:solidFill>
                </w14:textFill>
              </w:rPr>
              <w:t>分析</w:t>
            </w:r>
          </w:p>
          <w:p w14:paraId="4E8459E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eastAsia="宋体" w:cs="Times New Roman"/>
                <w:b/>
                <w:bCs/>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1、风险物质识别</w:t>
            </w:r>
          </w:p>
          <w:p w14:paraId="1CD21CD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根据《建设项目环境风险评价技术导则》</w:t>
            </w:r>
            <w:r>
              <w:rPr>
                <w:rFonts w:hint="default"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HJ169-2018</w:t>
            </w:r>
            <w:r>
              <w:rPr>
                <w:rFonts w:hint="default"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中辨识重大危险源的依据和方法：凡生产、加工运输、使用或贮存危险性物质，且危险性物质的数量等于或超过临界量的功能单元，定为重大危险源。</w:t>
            </w:r>
          </w:p>
          <w:p w14:paraId="440CB3C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对照危险物质名称及临界量表，本项目所涉及的</w:t>
            </w:r>
            <w:r>
              <w:rPr>
                <w:rFonts w:hint="default" w:ascii="Times New Roman" w:hAnsi="Times New Roman" w:cs="Times New Roman"/>
                <w:vanish w:val="0"/>
                <w:color w:val="000000" w:themeColor="text1"/>
                <w:sz w:val="21"/>
                <w:szCs w:val="21"/>
                <w:lang w:eastAsia="zh-CN"/>
                <w14:textFill>
                  <w14:solidFill>
                    <w14:schemeClr w14:val="tx1"/>
                  </w14:solidFill>
                </w14:textFill>
              </w:rPr>
              <w:t>危险物质</w:t>
            </w:r>
            <w:r>
              <w:rPr>
                <w:rFonts w:hint="default" w:ascii="Times New Roman" w:hAnsi="Times New Roman" w:cs="Times New Roman"/>
                <w:vanish w:val="0"/>
                <w:color w:val="000000" w:themeColor="text1"/>
                <w:sz w:val="21"/>
                <w:szCs w:val="21"/>
                <w14:textFill>
                  <w14:solidFill>
                    <w14:schemeClr w14:val="tx1"/>
                  </w14:solidFill>
                </w14:textFill>
              </w:rPr>
              <w:t>最大储存量及临界量见</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下</w:t>
            </w:r>
            <w:r>
              <w:rPr>
                <w:rFonts w:hint="default" w:ascii="Times New Roman" w:hAnsi="Times New Roman" w:cs="Times New Roman"/>
                <w:vanish w:val="0"/>
                <w:color w:val="000000" w:themeColor="text1"/>
                <w:sz w:val="21"/>
                <w:szCs w:val="21"/>
                <w14:textFill>
                  <w14:solidFill>
                    <w14:schemeClr w14:val="tx1"/>
                  </w14:solidFill>
                </w14:textFill>
              </w:rPr>
              <w:t>表。</w:t>
            </w:r>
          </w:p>
          <w:p w14:paraId="7E83033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nish w:val="0"/>
                <w:color w:val="000000" w:themeColor="text1"/>
                <w:sz w:val="21"/>
                <w:szCs w:val="21"/>
                <w14:textFill>
                  <w14:solidFill>
                    <w14:schemeClr w14:val="tx1"/>
                  </w14:solidFill>
                </w14:textFill>
              </w:rPr>
            </w:pPr>
            <w:r>
              <w:rPr>
                <w:rFonts w:hint="default" w:ascii="Times New Roman" w:hAnsi="Times New Roman" w:cs="Times New Roman"/>
                <w:b/>
                <w:vanish w:val="0"/>
                <w:color w:val="000000" w:themeColor="text1"/>
                <w:sz w:val="21"/>
                <w:szCs w:val="21"/>
                <w14:textFill>
                  <w14:solidFill>
                    <w14:schemeClr w14:val="tx1"/>
                  </w14:solidFill>
                </w14:textFill>
              </w:rPr>
              <w:t>表4-</w:t>
            </w:r>
            <w:r>
              <w:rPr>
                <w:rFonts w:hint="default" w:ascii="Times New Roman" w:hAnsi="Times New Roman" w:cs="Times New Roman"/>
                <w:b/>
                <w:vanish w:val="0"/>
                <w:color w:val="000000" w:themeColor="text1"/>
                <w:sz w:val="21"/>
                <w:szCs w:val="21"/>
                <w:lang w:val="en-US" w:eastAsia="zh-CN"/>
                <w14:textFill>
                  <w14:solidFill>
                    <w14:schemeClr w14:val="tx1"/>
                  </w14:solidFill>
                </w14:textFill>
              </w:rPr>
              <w:t>1</w:t>
            </w:r>
            <w:r>
              <w:rPr>
                <w:rFonts w:hint="eastAsia" w:cs="Times New Roman"/>
                <w:b/>
                <w:vanish w:val="0"/>
                <w:color w:val="000000" w:themeColor="text1"/>
                <w:sz w:val="21"/>
                <w:szCs w:val="21"/>
                <w:lang w:val="en-US" w:eastAsia="zh-CN"/>
                <w14:textFill>
                  <w14:solidFill>
                    <w14:schemeClr w14:val="tx1"/>
                  </w14:solidFill>
                </w14:textFill>
              </w:rPr>
              <w:t>6</w:t>
            </w:r>
            <w:r>
              <w:rPr>
                <w:rFonts w:hint="default" w:ascii="Times New Roman" w:hAnsi="Times New Roman" w:cs="Times New Roman"/>
                <w:b/>
                <w:vanish w:val="0"/>
                <w:color w:val="000000" w:themeColor="text1"/>
                <w:sz w:val="21"/>
                <w:szCs w:val="21"/>
                <w14:textFill>
                  <w14:solidFill>
                    <w14:schemeClr w14:val="tx1"/>
                  </w14:solidFill>
                </w14:textFill>
              </w:rPr>
              <w:t xml:space="preserve">  </w:t>
            </w:r>
            <w:r>
              <w:rPr>
                <w:rFonts w:hint="default" w:ascii="Times New Roman" w:hAnsi="Times New Roman" w:cs="Times New Roman"/>
                <w:b/>
                <w:vanish w:val="0"/>
                <w:color w:val="000000" w:themeColor="text1"/>
                <w:sz w:val="21"/>
                <w:szCs w:val="21"/>
                <w:lang w:val="en-US" w:eastAsia="zh-CN"/>
                <w14:textFill>
                  <w14:solidFill>
                    <w14:schemeClr w14:val="tx1"/>
                  </w14:solidFill>
                </w14:textFill>
              </w:rPr>
              <w:t>厂区</w:t>
            </w:r>
            <w:r>
              <w:rPr>
                <w:rFonts w:hint="default" w:ascii="Times New Roman" w:hAnsi="Times New Roman" w:cs="Times New Roman"/>
                <w:b/>
                <w:vanish w:val="0"/>
                <w:color w:val="000000" w:themeColor="text1"/>
                <w:sz w:val="21"/>
                <w:szCs w:val="21"/>
                <w14:textFill>
                  <w14:solidFill>
                    <w14:schemeClr w14:val="tx1"/>
                  </w14:solidFill>
                </w14:textFill>
              </w:rPr>
              <w:t>危险物质的最大储存量和临界量</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822"/>
              <w:gridCol w:w="1787"/>
              <w:gridCol w:w="1719"/>
            </w:tblGrid>
            <w:tr w14:paraId="3BD51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hidden/>
              </w:trPr>
              <w:tc>
                <w:tcPr>
                  <w:tcW w:w="1699" w:type="pct"/>
                  <w:noWrap w:val="0"/>
                  <w:vAlign w:val="center"/>
                </w:tcPr>
                <w:p w14:paraId="38E300D7">
                  <w:pPr>
                    <w:pStyle w:val="71"/>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名称</w:t>
                  </w:r>
                </w:p>
              </w:tc>
              <w:tc>
                <w:tcPr>
                  <w:tcW w:w="1129" w:type="pct"/>
                  <w:noWrap w:val="0"/>
                  <w:vAlign w:val="center"/>
                </w:tcPr>
                <w:p w14:paraId="737BDE05">
                  <w:pPr>
                    <w:pStyle w:val="71"/>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最大</w:t>
                  </w: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存</w:t>
                  </w: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储量qn（t）</w:t>
                  </w:r>
                </w:p>
              </w:tc>
              <w:tc>
                <w:tcPr>
                  <w:tcW w:w="1106" w:type="pct"/>
                  <w:noWrap w:val="0"/>
                  <w:vAlign w:val="center"/>
                </w:tcPr>
                <w:p w14:paraId="6E1968D8">
                  <w:pPr>
                    <w:pStyle w:val="71"/>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临界量Qn（t）</w:t>
                  </w:r>
                </w:p>
              </w:tc>
              <w:tc>
                <w:tcPr>
                  <w:tcW w:w="1064" w:type="pct"/>
                  <w:noWrap w:val="0"/>
                  <w:vAlign w:val="center"/>
                </w:tcPr>
                <w:p w14:paraId="3C974876">
                  <w:pPr>
                    <w:pStyle w:val="71"/>
                    <w:rPr>
                      <w:rFonts w:hint="default" w:ascii="Times New Roman" w:hAnsi="Times New Roman" w:cs="Times New Roman"/>
                      <w:b/>
                      <w:bCs/>
                      <w:vanish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nish w:val="0"/>
                      <w:color w:val="000000" w:themeColor="text1"/>
                      <w:sz w:val="21"/>
                      <w:szCs w:val="21"/>
                      <w:lang w:val="en-US" w:eastAsia="zh-CN"/>
                      <w14:textFill>
                        <w14:solidFill>
                          <w14:schemeClr w14:val="tx1"/>
                        </w14:solidFill>
                      </w14:textFill>
                    </w:rPr>
                    <w:t>qn/Qn</w:t>
                  </w:r>
                </w:p>
              </w:tc>
            </w:tr>
            <w:tr w14:paraId="68ACD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hidden/>
              </w:trPr>
              <w:tc>
                <w:tcPr>
                  <w:tcW w:w="1699" w:type="pct"/>
                  <w:noWrap w:val="0"/>
                  <w:vAlign w:val="center"/>
                </w:tcPr>
                <w:p w14:paraId="6BF55F82">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37%盐酸（10%盐酸折算）</w:t>
                  </w:r>
                </w:p>
              </w:tc>
              <w:tc>
                <w:tcPr>
                  <w:tcW w:w="1129" w:type="pct"/>
                  <w:noWrap w:val="0"/>
                  <w:vAlign w:val="center"/>
                </w:tcPr>
                <w:p w14:paraId="74F1B71E">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0.</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0034</w:t>
                  </w:r>
                </w:p>
              </w:tc>
              <w:tc>
                <w:tcPr>
                  <w:tcW w:w="1106" w:type="pct"/>
                  <w:noWrap w:val="0"/>
                  <w:vAlign w:val="center"/>
                </w:tcPr>
                <w:p w14:paraId="032EE643">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7.5</w:t>
                  </w:r>
                </w:p>
              </w:tc>
              <w:tc>
                <w:tcPr>
                  <w:tcW w:w="1064" w:type="pct"/>
                  <w:noWrap w:val="0"/>
                  <w:vAlign w:val="center"/>
                </w:tcPr>
                <w:p w14:paraId="1C3B7671">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0.00045</w:t>
                  </w:r>
                </w:p>
              </w:tc>
            </w:tr>
            <w:tr w14:paraId="0D946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hidden/>
              </w:trPr>
              <w:tc>
                <w:tcPr>
                  <w:tcW w:w="1699" w:type="pct"/>
                  <w:noWrap w:val="0"/>
                  <w:vAlign w:val="center"/>
                </w:tcPr>
                <w:p w14:paraId="7ACA6217">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危险废物</w:t>
                  </w:r>
                </w:p>
              </w:tc>
              <w:tc>
                <w:tcPr>
                  <w:tcW w:w="1129" w:type="pct"/>
                  <w:noWrap w:val="0"/>
                  <w:vAlign w:val="center"/>
                </w:tcPr>
                <w:p w14:paraId="2597551D">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0.</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01</w:t>
                  </w:r>
                </w:p>
              </w:tc>
              <w:tc>
                <w:tcPr>
                  <w:tcW w:w="1106" w:type="pct"/>
                  <w:noWrap w:val="0"/>
                  <w:vAlign w:val="center"/>
                </w:tcPr>
                <w:p w14:paraId="1507F296">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50</w:t>
                  </w:r>
                </w:p>
              </w:tc>
              <w:tc>
                <w:tcPr>
                  <w:tcW w:w="1064" w:type="pct"/>
                  <w:noWrap w:val="0"/>
                  <w:vAlign w:val="center"/>
                </w:tcPr>
                <w:p w14:paraId="39908822">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0.0002</w:t>
                  </w:r>
                </w:p>
              </w:tc>
            </w:tr>
            <w:tr w14:paraId="738EC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hidden/>
              </w:trPr>
              <w:tc>
                <w:tcPr>
                  <w:tcW w:w="3935" w:type="pct"/>
                  <w:gridSpan w:val="3"/>
                  <w:noWrap w:val="0"/>
                  <w:vAlign w:val="center"/>
                </w:tcPr>
                <w:p w14:paraId="617F8EAF">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lang w:val="en-US" w:eastAsia="zh-CN"/>
                      <w14:textFill>
                        <w14:solidFill>
                          <w14:schemeClr w14:val="tx1"/>
                        </w14:solidFill>
                      </w14:textFill>
                    </w:rPr>
                    <w:t>合计</w:t>
                  </w:r>
                </w:p>
              </w:tc>
              <w:tc>
                <w:tcPr>
                  <w:tcW w:w="1064" w:type="pct"/>
                  <w:noWrap w:val="0"/>
                  <w:vAlign w:val="center"/>
                </w:tcPr>
                <w:p w14:paraId="679E61D8">
                  <w:pPr>
                    <w:pStyle w:val="71"/>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0.00065</w:t>
                  </w:r>
                </w:p>
              </w:tc>
            </w:tr>
            <w:tr w14:paraId="12778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hidden/>
              </w:trPr>
              <w:tc>
                <w:tcPr>
                  <w:tcW w:w="5000" w:type="pct"/>
                  <w:gridSpan w:val="4"/>
                  <w:noWrap w:val="0"/>
                  <w:vAlign w:val="center"/>
                </w:tcPr>
                <w:p w14:paraId="5B520CCF">
                  <w:pPr>
                    <w:pStyle w:val="71"/>
                    <w:jc w:val="both"/>
                    <w:rPr>
                      <w:rFonts w:hint="default" w:ascii="Times New Roman" w:hAnsi="Times New Roman" w:cs="Times New Roman"/>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注：10%盐酸折算成37%盐酸量为3.4kg</w:t>
                  </w:r>
                </w:p>
              </w:tc>
            </w:tr>
          </w:tbl>
          <w:p w14:paraId="78EE508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本项目Q=0.00</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065</w:t>
            </w:r>
            <w:r>
              <w:rPr>
                <w:rFonts w:hint="default" w:ascii="Times New Roman" w:hAnsi="Times New Roman" w:cs="Times New Roman"/>
                <w:vanish w:val="0"/>
                <w:color w:val="000000" w:themeColor="text1"/>
                <w:sz w:val="21"/>
                <w:szCs w:val="21"/>
                <w14:textFill>
                  <w14:solidFill>
                    <w14:schemeClr w14:val="tx1"/>
                  </w14:solidFill>
                </w14:textFill>
              </w:rPr>
              <w:t>＜1，则本项目环境风险潜势为Ⅰ，因此环境风险评价等级为简单分析。</w:t>
            </w:r>
          </w:p>
          <w:p w14:paraId="7A19E79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b/>
                <w:bCs/>
                <w:vanish w:val="0"/>
                <w:color w:val="000000" w:themeColor="text1"/>
                <w:sz w:val="21"/>
                <w:szCs w:val="21"/>
                <w14:textFill>
                  <w14:solidFill>
                    <w14:schemeClr w14:val="tx1"/>
                  </w14:solidFill>
                </w14:textFill>
              </w:rPr>
            </w:pP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2、</w:t>
            </w:r>
            <w:r>
              <w:rPr>
                <w:rFonts w:hint="default" w:ascii="Times New Roman" w:hAnsi="Times New Roman" w:cs="Times New Roman"/>
                <w:b/>
                <w:bCs/>
                <w:vanish w:val="0"/>
                <w:color w:val="000000" w:themeColor="text1"/>
                <w:sz w:val="21"/>
                <w:szCs w:val="21"/>
                <w14:textFill>
                  <w14:solidFill>
                    <w14:schemeClr w14:val="tx1"/>
                  </w14:solidFill>
                </w14:textFill>
              </w:rPr>
              <w:t>潜在风险源及事故情景分析</w:t>
            </w:r>
          </w:p>
          <w:p w14:paraId="63FC02D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b w:val="0"/>
                <w:bCs w:val="0"/>
                <w:vanish w:val="0"/>
                <w:color w:val="000000" w:themeColor="text1"/>
                <w:sz w:val="21"/>
                <w:szCs w:val="21"/>
                <w14:textFill>
                  <w14:solidFill>
                    <w14:schemeClr w14:val="tx1"/>
                  </w14:solidFill>
                </w14:textFill>
              </w:rPr>
            </w:pPr>
            <w:r>
              <w:rPr>
                <w:rFonts w:hint="eastAsia" w:ascii="Times New Roman" w:hAnsi="Times New Roman" w:cs="Times New Roman"/>
                <w:b w:val="0"/>
                <w:bCs w:val="0"/>
                <w:vanish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vanish w:val="0"/>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val="0"/>
                <w:vanish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vanish w:val="0"/>
                <w:color w:val="000000" w:themeColor="text1"/>
                <w:sz w:val="21"/>
                <w:szCs w:val="21"/>
                <w14:textFill>
                  <w14:solidFill>
                    <w14:schemeClr w14:val="tx1"/>
                  </w14:solidFill>
                </w14:textFill>
              </w:rPr>
              <w:t>主要风险源</w:t>
            </w:r>
          </w:p>
          <w:p w14:paraId="455AD41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①加药间酸洗箱、盐酸储存桶：10% 稀盐酸泄漏，腐蚀地面、污染土壤及地下水；挥发少量酸雾污染空气；</w:t>
            </w:r>
          </w:p>
          <w:p w14:paraId="201B153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②危废</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贮存库</w:t>
            </w:r>
            <w:r>
              <w:rPr>
                <w:rFonts w:hint="default" w:ascii="Times New Roman" w:hAnsi="Times New Roman" w:cs="Times New Roman"/>
                <w:vanish w:val="0"/>
                <w:color w:val="000000" w:themeColor="text1"/>
                <w:sz w:val="21"/>
                <w:szCs w:val="21"/>
                <w14:textFill>
                  <w14:solidFill>
                    <w14:schemeClr w14:val="tx1"/>
                  </w14:solidFill>
                </w14:textFill>
              </w:rPr>
              <w:t>：废盐酸废液、废机油容器破损渗漏；</w:t>
            </w:r>
          </w:p>
          <w:p w14:paraId="6ADF4E7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③次氯酸钠电解主机：电解产生微量氢气积聚，遇明火存在爆炸风险；</w:t>
            </w:r>
          </w:p>
          <w:p w14:paraId="22618AA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b/>
                <w:bCs/>
                <w:vanish w:val="0"/>
                <w:color w:val="000000" w:themeColor="text1"/>
                <w:sz w:val="21"/>
                <w:szCs w:val="21"/>
                <w14:textFill>
                  <w14:solidFill>
                    <w14:schemeClr w14:val="tx1"/>
                  </w14:solidFill>
                </w14:textFill>
              </w:rPr>
            </w:pP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3、</w:t>
            </w:r>
            <w:r>
              <w:rPr>
                <w:rFonts w:hint="default" w:ascii="Times New Roman" w:hAnsi="Times New Roman" w:cs="Times New Roman"/>
                <w:b/>
                <w:bCs/>
                <w:vanish w:val="0"/>
                <w:color w:val="000000" w:themeColor="text1"/>
                <w:sz w:val="21"/>
                <w:szCs w:val="21"/>
                <w14:textFill>
                  <w14:solidFill>
                    <w14:schemeClr w14:val="tx1"/>
                  </w14:solidFill>
                </w14:textFill>
              </w:rPr>
              <w:t>典型事故情景危害分析</w:t>
            </w:r>
          </w:p>
          <w:p w14:paraId="0110A9E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1</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盐酸泄漏事故</w:t>
            </w:r>
          </w:p>
          <w:p w14:paraId="77DA563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盐酸为腐蚀性液体，若储存桶破损、管道渗漏，酸液可腐蚀混凝土地面，下渗污染土壤与地下水；挥发氯化氢气体刺激呼吸道，对现场操作人员造成灼伤。项目单次最大储存仅 20L 稀盐酸，泄漏总量极小，风险影响范围局限于加药间内部。</w:t>
            </w:r>
          </w:p>
          <w:p w14:paraId="351FD25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2</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氢气积聚爆炸风险</w:t>
            </w:r>
          </w:p>
          <w:p w14:paraId="4D9313A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次氯酸钠电解过程副产微量氢气，加药间设置防爆轴流风机强制通风，氢气及时外排，无密闭积聚条件，爆炸风险极低。</w:t>
            </w:r>
          </w:p>
          <w:p w14:paraId="2D5415C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3</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危废渗漏风险</w:t>
            </w:r>
          </w:p>
          <w:p w14:paraId="32D332E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危废桶放置于防渗托盘内，暂存区地面做防渗硬化，少量渗漏可被托盘收集，不会外溢至厂区外环境。</w:t>
            </w:r>
          </w:p>
          <w:p w14:paraId="50FA745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4</w:t>
            </w:r>
            <w:r>
              <w:rPr>
                <w:rFonts w:hint="eastAsia" w:ascii="Times New Roman" w:hAnsi="Times New Roman" w:cs="Times New Roman"/>
                <w:b/>
                <w:bCs/>
                <w:vanish w:val="0"/>
                <w:color w:val="000000" w:themeColor="text1"/>
                <w:sz w:val="21"/>
                <w:szCs w:val="21"/>
                <w:lang w:eastAsia="zh-CN"/>
                <w14:textFill>
                  <w14:solidFill>
                    <w14:schemeClr w14:val="tx1"/>
                  </w14:solidFill>
                </w14:textFill>
              </w:rPr>
              <w:t>、</w:t>
            </w:r>
            <w:r>
              <w:rPr>
                <w:rFonts w:hint="default" w:ascii="Times New Roman" w:hAnsi="Times New Roman" w:cs="Times New Roman"/>
                <w:b/>
                <w:bCs/>
                <w:vanish w:val="0"/>
                <w:color w:val="000000" w:themeColor="text1"/>
                <w:sz w:val="21"/>
                <w:szCs w:val="21"/>
                <w14:textFill>
                  <w14:solidFill>
                    <w14:schemeClr w14:val="tx1"/>
                  </w14:solidFill>
                </w14:textFill>
              </w:rPr>
              <w:t>风险防范措施</w:t>
            </w:r>
          </w:p>
          <w:p w14:paraId="722DF4B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1</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储存、加药区域防控措施</w:t>
            </w:r>
          </w:p>
          <w:p w14:paraId="2B06E44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①盐酸单独存放于加药间独立隔间，储存区设置防渗混凝土地面 + 防腐收集托盘，托盘容积不小于单桶盐酸体积；</w:t>
            </w:r>
          </w:p>
          <w:p w14:paraId="64B0952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②加药间配套防爆防腐轴流风机，持续通风，降低氢气、酸雾积聚浓度；配备纯碱、沙土应急吸附材料，用于中和、吸附泄漏盐酸；</w:t>
            </w:r>
          </w:p>
          <w:p w14:paraId="1CBA822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③药剂库房分区存放，固体絮凝剂、食盐与液体盐酸隔离，严禁混存；设置标识牌、防护手套、护目镜等劳保用品。</w:t>
            </w:r>
          </w:p>
          <w:p w14:paraId="52214EA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2</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危险废物管理措施</w:t>
            </w:r>
          </w:p>
          <w:p w14:paraId="317C0BD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①危废分类密闭收集：废盐酸废液、废酸塑料桶、废机油分别装入专用防腐密封桶，张贴 HW34、HW49、HW08危废标签；</w:t>
            </w:r>
          </w:p>
          <w:p w14:paraId="7C4D7AC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②危废暂存间防渗、防雨、上锁，建立危废出入库台账，每年委托具备对应资质单位转运处置，转运执行联单制度，贮存周期不超过 12 个月。</w:t>
            </w:r>
          </w:p>
          <w:p w14:paraId="7031D3C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eastAsia" w:ascii="Times New Roman" w:hAnsi="Times New Roman" w:cs="Times New Roman"/>
                <w:vanish w:val="0"/>
                <w:color w:val="000000" w:themeColor="text1"/>
                <w:sz w:val="21"/>
                <w:szCs w:val="21"/>
                <w:lang w:val="en-US" w:eastAsia="zh-CN"/>
                <w14:textFill>
                  <w14:solidFill>
                    <w14:schemeClr w14:val="tx1"/>
                  </w14:solidFill>
                </w14:textFill>
              </w:rPr>
              <w:t>2</w:t>
            </w:r>
            <w:r>
              <w:rPr>
                <w:rFonts w:hint="eastAsia" w:ascii="Times New Roman" w:hAnsi="Times New Roman" w:cs="Times New Roman"/>
                <w:vanish w:val="0"/>
                <w:color w:val="000000" w:themeColor="text1"/>
                <w:sz w:val="21"/>
                <w:szCs w:val="21"/>
                <w:lang w:eastAsia="zh-CN"/>
                <w14:textFill>
                  <w14:solidFill>
                    <w14:schemeClr w14:val="tx1"/>
                  </w14:solidFill>
                </w14:textFill>
              </w:rPr>
              <w:t>）</w:t>
            </w:r>
            <w:r>
              <w:rPr>
                <w:rFonts w:hint="default" w:ascii="Times New Roman" w:hAnsi="Times New Roman" w:cs="Times New Roman"/>
                <w:vanish w:val="0"/>
                <w:color w:val="000000" w:themeColor="text1"/>
                <w:sz w:val="21"/>
                <w:szCs w:val="21"/>
                <w14:textFill>
                  <w14:solidFill>
                    <w14:schemeClr w14:val="tx1"/>
                  </w14:solidFill>
                </w14:textFill>
              </w:rPr>
              <w:t>设备运维管控</w:t>
            </w:r>
          </w:p>
          <w:p w14:paraId="27E42AF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次氯酸钠发生器、计量泵、酸洗管路定期巡检，更换老化阀门、管道，杜绝跑冒滴漏；</w:t>
            </w:r>
          </w:p>
          <w:p w14:paraId="4702072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操作人员上岗培训，掌握盐酸泄漏应急处置流程，禁止违规拆解电解槽、药剂桶。</w:t>
            </w:r>
          </w:p>
          <w:p w14:paraId="567EA92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b/>
                <w:bCs/>
                <w:vanish w:val="0"/>
                <w:color w:val="000000" w:themeColor="text1"/>
                <w:sz w:val="21"/>
                <w:szCs w:val="21"/>
                <w14:textFill>
                  <w14:solidFill>
                    <w14:schemeClr w14:val="tx1"/>
                  </w14:solidFill>
                </w14:textFill>
              </w:rPr>
            </w:pPr>
            <w:r>
              <w:rPr>
                <w:rFonts w:hint="eastAsia" w:ascii="Times New Roman" w:hAnsi="Times New Roman" w:cs="Times New Roman"/>
                <w:b/>
                <w:bCs/>
                <w:vanish w:val="0"/>
                <w:color w:val="000000" w:themeColor="text1"/>
                <w:sz w:val="21"/>
                <w:szCs w:val="21"/>
                <w:lang w:val="en-US" w:eastAsia="zh-CN"/>
                <w14:textFill>
                  <w14:solidFill>
                    <w14:schemeClr w14:val="tx1"/>
                  </w14:solidFill>
                </w14:textFill>
              </w:rPr>
              <w:t>5、</w:t>
            </w:r>
            <w:r>
              <w:rPr>
                <w:rFonts w:hint="default" w:ascii="Times New Roman" w:hAnsi="Times New Roman" w:cs="Times New Roman"/>
                <w:b/>
                <w:bCs/>
                <w:vanish w:val="0"/>
                <w:color w:val="000000" w:themeColor="text1"/>
                <w:sz w:val="21"/>
                <w:szCs w:val="21"/>
                <w14:textFill>
                  <w14:solidFill>
                    <w14:schemeClr w14:val="tx1"/>
                  </w14:solidFill>
                </w14:textFill>
              </w:rPr>
              <w:t>环境风险应急处置</w:t>
            </w:r>
          </w:p>
          <w:p w14:paraId="66F3FF7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盐酸少量泄漏：立即停止作业，穿戴防护用具，沙土覆盖吸附酸液，纯碱中和后冲洗废水排入厂区综合废水收集池，不得直接外排；</w:t>
            </w:r>
          </w:p>
          <w:p w14:paraId="58219EF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大量泄漏（本项目基本无此情景）：封堵收集围堰，全部废液导入应急桶，委托危废单位处置；</w:t>
            </w:r>
          </w:p>
          <w:p w14:paraId="298727DA">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人员灼伤：立即使用大量清水冲洗接触部位，严重时送医；</w:t>
            </w:r>
          </w:p>
          <w:p w14:paraId="09A2642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厂区配套简易应急物资：纯碱、吸附沙土、防腐收集桶、防护面罩、洗眼器，定期检查物资完好性。</w:t>
            </w:r>
          </w:p>
          <w:p w14:paraId="33570FD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b/>
                <w:bCs/>
                <w:vanish w:val="0"/>
                <w:color w:val="000000" w:themeColor="text1"/>
                <w:sz w:val="21"/>
                <w:szCs w:val="21"/>
                <w14:textFill>
                  <w14:solidFill>
                    <w14:schemeClr w14:val="tx1"/>
                  </w14:solidFill>
                </w14:textFill>
              </w:rPr>
            </w:pPr>
            <w:r>
              <w:rPr>
                <w:rFonts w:hint="default" w:ascii="Times New Roman" w:hAnsi="Times New Roman" w:cs="Times New Roman"/>
                <w:b/>
                <w:bCs/>
                <w:vanish w:val="0"/>
                <w:color w:val="000000" w:themeColor="text1"/>
                <w:sz w:val="21"/>
                <w:szCs w:val="21"/>
                <w14:textFill>
                  <w14:solidFill>
                    <w14:schemeClr w14:val="tx1"/>
                  </w14:solidFill>
                </w14:textFill>
              </w:rPr>
              <w:t>6</w:t>
            </w:r>
            <w:r>
              <w:rPr>
                <w:rFonts w:hint="eastAsia" w:ascii="Times New Roman" w:hAnsi="Times New Roman" w:cs="Times New Roman"/>
                <w:b/>
                <w:bCs/>
                <w:vanish w:val="0"/>
                <w:color w:val="000000" w:themeColor="text1"/>
                <w:sz w:val="21"/>
                <w:szCs w:val="21"/>
                <w:lang w:eastAsia="zh-CN"/>
                <w14:textFill>
                  <w14:solidFill>
                    <w14:schemeClr w14:val="tx1"/>
                  </w14:solidFill>
                </w14:textFill>
              </w:rPr>
              <w:t>、</w:t>
            </w:r>
            <w:r>
              <w:rPr>
                <w:rFonts w:hint="default" w:ascii="Times New Roman" w:hAnsi="Times New Roman" w:cs="Times New Roman"/>
                <w:b/>
                <w:bCs/>
                <w:vanish w:val="0"/>
                <w:color w:val="000000" w:themeColor="text1"/>
                <w:sz w:val="21"/>
                <w:szCs w:val="21"/>
                <w14:textFill>
                  <w14:solidFill>
                    <w14:schemeClr w14:val="tx1"/>
                  </w14:solidFill>
                </w14:textFill>
              </w:rPr>
              <w:t>风险评价结论</w:t>
            </w:r>
          </w:p>
          <w:p w14:paraId="30EE2C7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本项目通过落实盐酸防渗储存、车间通风、危废规范暂存、泄漏应急物资等防控措施后，项目环境风险可控，环境风险可接受。</w:t>
            </w:r>
          </w:p>
          <w:p w14:paraId="482392C7">
            <w:pPr>
              <w:widowControl/>
              <w:numPr>
                <w:ilvl w:val="0"/>
                <w:numId w:val="0"/>
              </w:numPr>
              <w:spacing w:line="360" w:lineRule="auto"/>
              <w:ind w:firstLine="420" w:firstLineChars="200"/>
              <w:jc w:val="both"/>
              <w:rPr>
                <w:rFonts w:hint="default" w:ascii="Times New Roman" w:hAnsi="Times New Roman" w:eastAsia="宋体" w:cs="Times New Roman"/>
                <w:b/>
                <w:vanish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nish w:val="0"/>
                <w:color w:val="000000" w:themeColor="text1"/>
                <w:sz w:val="21"/>
                <w:szCs w:val="21"/>
                <w:lang w:val="en-US" w:eastAsia="zh-CN"/>
                <w14:textFill>
                  <w14:solidFill>
                    <w14:schemeClr w14:val="tx1"/>
                  </w14:solidFill>
                </w14:textFill>
              </w:rPr>
              <w:t>九、环保投资估算</w:t>
            </w:r>
          </w:p>
          <w:p w14:paraId="1091C3D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vanish w:val="0"/>
                <w:color w:val="000000" w:themeColor="text1"/>
                <w:sz w:val="21"/>
                <w:szCs w:val="21"/>
                <w:lang w:eastAsia="zh-CN"/>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建设单位必须落实环保资金，切实用于废气治理、噪声治理、固废处理等，本项目总投资</w:t>
            </w:r>
            <w:r>
              <w:rPr>
                <w:rFonts w:hint="eastAsia" w:ascii="Times New Roman" w:hAnsi="Times New Roman" w:eastAsia="宋体" w:cs="Times New Roman"/>
                <w:vanish w:val="0"/>
                <w:color w:val="000000" w:themeColor="text1"/>
                <w:szCs w:val="21"/>
                <w:lang w:val="en-US" w:eastAsia="zh-CN"/>
                <w14:textFill>
                  <w14:solidFill>
                    <w14:schemeClr w14:val="tx1"/>
                  </w14:solidFill>
                </w14:textFill>
              </w:rPr>
              <w:t>2128.05</w:t>
            </w:r>
            <w:r>
              <w:rPr>
                <w:rFonts w:hint="default" w:ascii="Times New Roman" w:hAnsi="Times New Roman" w:cs="Times New Roman"/>
                <w:vanish w:val="0"/>
                <w:color w:val="000000" w:themeColor="text1"/>
                <w:sz w:val="21"/>
                <w:szCs w:val="21"/>
                <w14:textFill>
                  <w14:solidFill>
                    <w14:schemeClr w14:val="tx1"/>
                  </w14:solidFill>
                </w14:textFill>
              </w:rPr>
              <w:t>万元，</w:t>
            </w:r>
            <w:r>
              <w:rPr>
                <w:rFonts w:hint="default" w:ascii="Times New Roman" w:hAnsi="Times New Roman" w:cs="Times New Roman"/>
                <w:vanish w:val="0"/>
                <w:color w:val="000000" w:themeColor="text1"/>
                <w:sz w:val="21"/>
                <w:szCs w:val="21"/>
                <w:lang w:val="en-US" w:eastAsia="zh-CN"/>
                <w14:textFill>
                  <w14:solidFill>
                    <w14:schemeClr w14:val="tx1"/>
                  </w14:solidFill>
                </w14:textFill>
              </w:rPr>
              <w:t>环保</w:t>
            </w:r>
            <w:r>
              <w:rPr>
                <w:rFonts w:hint="default" w:ascii="Times New Roman" w:hAnsi="Times New Roman" w:cs="Times New Roman"/>
                <w:vanish w:val="0"/>
                <w:color w:val="000000" w:themeColor="text1"/>
                <w:sz w:val="21"/>
                <w:szCs w:val="21"/>
                <w14:textFill>
                  <w14:solidFill>
                    <w14:schemeClr w14:val="tx1"/>
                  </w14:solidFill>
                </w14:textFill>
              </w:rPr>
              <w:t>投资</w:t>
            </w:r>
            <w:r>
              <w:rPr>
                <w:rFonts w:hint="eastAsia" w:cs="Times New Roman"/>
                <w:vanish w:val="0"/>
                <w:color w:val="000000" w:themeColor="text1"/>
                <w:sz w:val="21"/>
                <w:szCs w:val="21"/>
                <w:lang w:val="en-US" w:eastAsia="zh-CN"/>
                <w14:textFill>
                  <w14:solidFill>
                    <w14:schemeClr w14:val="tx1"/>
                  </w14:solidFill>
                </w14:textFill>
              </w:rPr>
              <w:t>73.6</w:t>
            </w:r>
            <w:r>
              <w:rPr>
                <w:rFonts w:hint="default" w:ascii="Times New Roman" w:hAnsi="Times New Roman" w:cs="Times New Roman"/>
                <w:vanish w:val="0"/>
                <w:color w:val="000000" w:themeColor="text1"/>
                <w:sz w:val="21"/>
                <w:szCs w:val="21"/>
                <w14:textFill>
                  <w14:solidFill>
                    <w14:schemeClr w14:val="tx1"/>
                  </w14:solidFill>
                </w14:textFill>
              </w:rPr>
              <w:t>万元，占本项目总投资的</w:t>
            </w:r>
            <w:r>
              <w:rPr>
                <w:rFonts w:hint="eastAsia" w:cs="Times New Roman"/>
                <w:vanish w:val="0"/>
                <w:color w:val="000000" w:themeColor="text1"/>
                <w:sz w:val="21"/>
                <w:szCs w:val="21"/>
                <w:lang w:val="en-US" w:eastAsia="zh-CN"/>
                <w14:textFill>
                  <w14:solidFill>
                    <w14:schemeClr w14:val="tx1"/>
                  </w14:solidFill>
                </w14:textFill>
              </w:rPr>
              <w:t>3.46</w:t>
            </w:r>
            <w:r>
              <w:rPr>
                <w:rFonts w:hint="default" w:ascii="Times New Roman" w:hAnsi="Times New Roman" w:cs="Times New Roman"/>
                <w:vanish w:val="0"/>
                <w:color w:val="000000" w:themeColor="text1"/>
                <w:sz w:val="21"/>
                <w:szCs w:val="21"/>
                <w14:textFill>
                  <w14:solidFill>
                    <w14:schemeClr w14:val="tx1"/>
                  </w14:solidFill>
                </w14:textFill>
              </w:rPr>
              <w:t>%</w:t>
            </w:r>
            <w:r>
              <w:rPr>
                <w:rFonts w:hint="default" w:ascii="Times New Roman" w:hAnsi="Times New Roman" w:cs="Times New Roman"/>
                <w:vanish w:val="0"/>
                <w:color w:val="000000" w:themeColor="text1"/>
                <w:sz w:val="21"/>
                <w:szCs w:val="21"/>
                <w:lang w:eastAsia="zh-CN"/>
                <w14:textFill>
                  <w14:solidFill>
                    <w14:schemeClr w14:val="tx1"/>
                  </w14:solidFill>
                </w14:textFill>
              </w:rPr>
              <w:t>。</w:t>
            </w:r>
          </w:p>
          <w:p w14:paraId="180DA934">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vanish w:val="0"/>
                <w:color w:val="000000" w:themeColor="text1"/>
                <w:sz w:val="21"/>
                <w:szCs w:val="21"/>
                <w14:textFill>
                  <w14:solidFill>
                    <w14:schemeClr w14:val="tx1"/>
                  </w14:solidFill>
                </w14:textFill>
              </w:rPr>
            </w:pPr>
            <w:r>
              <w:rPr>
                <w:rFonts w:hint="default" w:ascii="Times New Roman" w:hAnsi="Times New Roman" w:eastAsia="宋体" w:cs="Times New Roman"/>
                <w:vanish w:val="0"/>
                <w:color w:val="000000" w:themeColor="text1"/>
                <w:sz w:val="21"/>
                <w:szCs w:val="21"/>
                <w14:textFill>
                  <w14:solidFill>
                    <w14:schemeClr w14:val="tx1"/>
                  </w14:solidFill>
                </w14:textFill>
              </w:rPr>
              <w:t>具体见</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下</w:t>
            </w:r>
            <w:r>
              <w:rPr>
                <w:rFonts w:hint="default" w:ascii="Times New Roman" w:hAnsi="Times New Roman" w:eastAsia="宋体" w:cs="Times New Roman"/>
                <w:vanish w:val="0"/>
                <w:color w:val="000000" w:themeColor="text1"/>
                <w:sz w:val="21"/>
                <w:szCs w:val="21"/>
                <w14:textFill>
                  <w14:solidFill>
                    <w14:schemeClr w14:val="tx1"/>
                  </w14:solidFill>
                </w14:textFill>
              </w:rPr>
              <w:t>表。</w:t>
            </w:r>
          </w:p>
          <w:p w14:paraId="06EE8A7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nish w:val="0"/>
                <w:color w:val="000000" w:themeColor="text1"/>
                <w:sz w:val="21"/>
                <w:szCs w:val="21"/>
                <w14:textFill>
                  <w14:solidFill>
                    <w14:schemeClr w14:val="tx1"/>
                  </w14:solidFill>
                </w14:textFill>
              </w:rPr>
            </w:pPr>
            <w:r>
              <w:rPr>
                <w:rFonts w:hint="default" w:ascii="Times New Roman" w:hAnsi="Times New Roman" w:eastAsia="宋体" w:cs="Times New Roman"/>
                <w:b/>
                <w:vanish w:val="0"/>
                <w:color w:val="000000" w:themeColor="text1"/>
                <w:sz w:val="21"/>
                <w:szCs w:val="21"/>
                <w14:textFill>
                  <w14:solidFill>
                    <w14:schemeClr w14:val="tx1"/>
                  </w14:solidFill>
                </w14:textFill>
              </w:rPr>
              <w:t>表4-1</w:t>
            </w:r>
            <w:r>
              <w:rPr>
                <w:rFonts w:hint="eastAsia" w:cs="Times New Roman"/>
                <w:b/>
                <w:vanish w:val="0"/>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vanish w:val="0"/>
                <w:color w:val="000000" w:themeColor="text1"/>
                <w:sz w:val="21"/>
                <w:szCs w:val="21"/>
                <w14:textFill>
                  <w14:solidFill>
                    <w14:schemeClr w14:val="tx1"/>
                  </w14:solidFill>
                </w14:textFill>
              </w:rPr>
              <w:t xml:space="preserve">  环保投资一览表</w:t>
            </w:r>
          </w:p>
          <w:tbl>
            <w:tblPr>
              <w:tblStyle w:val="2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5"/>
              <w:gridCol w:w="715"/>
              <w:gridCol w:w="5495"/>
              <w:gridCol w:w="1195"/>
            </w:tblGrid>
            <w:tr w14:paraId="2AB62D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855" w:type="pct"/>
                  <w:gridSpan w:val="2"/>
                  <w:tcBorders>
                    <w:tl2br w:val="nil"/>
                    <w:tr2bl w:val="nil"/>
                  </w:tcBorders>
                  <w:noWrap w:val="0"/>
                  <w:vAlign w:val="center"/>
                </w:tcPr>
                <w:p w14:paraId="4A0C3241">
                  <w:pPr>
                    <w:pStyle w:val="65"/>
                    <w:bidi w:val="0"/>
                    <w:rPr>
                      <w:b/>
                      <w:bCs/>
                      <w:vanish w:val="0"/>
                      <w:color w:val="000000" w:themeColor="text1"/>
                      <w14:textFill>
                        <w14:solidFill>
                          <w14:schemeClr w14:val="tx1"/>
                        </w14:solidFill>
                      </w14:textFill>
                    </w:rPr>
                  </w:pPr>
                  <w:r>
                    <w:rPr>
                      <w:b/>
                      <w:bCs/>
                      <w:vanish w:val="0"/>
                      <w:color w:val="000000" w:themeColor="text1"/>
                      <w14:textFill>
                        <w14:solidFill>
                          <w14:schemeClr w14:val="tx1"/>
                        </w14:solidFill>
                      </w14:textFill>
                    </w:rPr>
                    <w:t>项目</w:t>
                  </w:r>
                </w:p>
              </w:tc>
              <w:tc>
                <w:tcPr>
                  <w:tcW w:w="3404" w:type="pct"/>
                  <w:tcBorders>
                    <w:tl2br w:val="nil"/>
                    <w:tr2bl w:val="nil"/>
                  </w:tcBorders>
                  <w:noWrap w:val="0"/>
                  <w:vAlign w:val="center"/>
                </w:tcPr>
                <w:p w14:paraId="032313E7">
                  <w:pPr>
                    <w:pStyle w:val="65"/>
                    <w:bidi w:val="0"/>
                    <w:rPr>
                      <w:b/>
                      <w:bCs/>
                      <w:vanish w:val="0"/>
                      <w:color w:val="000000" w:themeColor="text1"/>
                      <w14:textFill>
                        <w14:solidFill>
                          <w14:schemeClr w14:val="tx1"/>
                        </w14:solidFill>
                      </w14:textFill>
                    </w:rPr>
                  </w:pPr>
                  <w:r>
                    <w:rPr>
                      <w:rFonts w:hint="eastAsia"/>
                      <w:b/>
                      <w:bCs/>
                      <w:vanish w:val="0"/>
                      <w:color w:val="000000" w:themeColor="text1"/>
                      <w14:textFill>
                        <w14:solidFill>
                          <w14:schemeClr w14:val="tx1"/>
                        </w14:solidFill>
                      </w14:textFill>
                    </w:rPr>
                    <w:t>主要环保措施</w:t>
                  </w:r>
                </w:p>
              </w:tc>
              <w:tc>
                <w:tcPr>
                  <w:tcW w:w="740" w:type="pct"/>
                  <w:tcBorders>
                    <w:tl2br w:val="nil"/>
                    <w:tr2bl w:val="nil"/>
                  </w:tcBorders>
                  <w:noWrap w:val="0"/>
                  <w:vAlign w:val="center"/>
                </w:tcPr>
                <w:p w14:paraId="0CF885CB">
                  <w:pPr>
                    <w:pStyle w:val="65"/>
                    <w:bidi w:val="0"/>
                    <w:rPr>
                      <w:b/>
                      <w:bCs/>
                      <w:vanish w:val="0"/>
                      <w:color w:val="000000" w:themeColor="text1"/>
                      <w14:textFill>
                        <w14:solidFill>
                          <w14:schemeClr w14:val="tx1"/>
                        </w14:solidFill>
                      </w14:textFill>
                    </w:rPr>
                  </w:pPr>
                  <w:r>
                    <w:rPr>
                      <w:b/>
                      <w:bCs/>
                      <w:vanish w:val="0"/>
                      <w:color w:val="000000" w:themeColor="text1"/>
                      <w14:textFill>
                        <w14:solidFill>
                          <w14:schemeClr w14:val="tx1"/>
                        </w14:solidFill>
                      </w14:textFill>
                    </w:rPr>
                    <w:t>环保投资</w:t>
                  </w:r>
                </w:p>
                <w:p w14:paraId="0913D062">
                  <w:pPr>
                    <w:pStyle w:val="65"/>
                    <w:bidi w:val="0"/>
                    <w:rPr>
                      <w:b/>
                      <w:bCs/>
                      <w:vanish w:val="0"/>
                      <w:color w:val="000000" w:themeColor="text1"/>
                      <w14:textFill>
                        <w14:solidFill>
                          <w14:schemeClr w14:val="tx1"/>
                        </w14:solidFill>
                      </w14:textFill>
                    </w:rPr>
                  </w:pPr>
                  <w:r>
                    <w:rPr>
                      <w:b/>
                      <w:bCs/>
                      <w:vanish w:val="0"/>
                      <w:color w:val="000000" w:themeColor="text1"/>
                      <w14:textFill>
                        <w14:solidFill>
                          <w14:schemeClr w14:val="tx1"/>
                        </w14:solidFill>
                      </w14:textFill>
                    </w:rPr>
                    <w:t>（万元）</w:t>
                  </w:r>
                </w:p>
              </w:tc>
            </w:tr>
            <w:tr w14:paraId="36A05F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restart"/>
                  <w:tcBorders>
                    <w:tl2br w:val="nil"/>
                    <w:tr2bl w:val="nil"/>
                  </w:tcBorders>
                  <w:noWrap w:val="0"/>
                  <w:vAlign w:val="center"/>
                </w:tcPr>
                <w:p w14:paraId="1A52BD7D">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大气污染</w:t>
                  </w:r>
                </w:p>
              </w:tc>
              <w:tc>
                <w:tcPr>
                  <w:tcW w:w="442" w:type="pct"/>
                  <w:vMerge w:val="restart"/>
                  <w:tcBorders>
                    <w:tl2br w:val="nil"/>
                    <w:tr2bl w:val="nil"/>
                  </w:tcBorders>
                  <w:noWrap w:val="0"/>
                  <w:vAlign w:val="center"/>
                </w:tcPr>
                <w:p w14:paraId="6EC05609">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施工期</w:t>
                  </w:r>
                </w:p>
              </w:tc>
              <w:tc>
                <w:tcPr>
                  <w:tcW w:w="3404" w:type="pct"/>
                  <w:tcBorders>
                    <w:tl2br w:val="nil"/>
                    <w:tr2bl w:val="nil"/>
                  </w:tcBorders>
                  <w:noWrap w:val="0"/>
                  <w:vAlign w:val="center"/>
                </w:tcPr>
                <w:p w14:paraId="71A8E84F">
                  <w:pPr>
                    <w:pStyle w:val="65"/>
                    <w:bidi w:val="0"/>
                    <w:ind w:left="0" w:leftChars="0" w:right="0" w:rightChars="0" w:firstLine="0" w:firstLineChars="0"/>
                    <w:jc w:val="center"/>
                    <w:rPr>
                      <w:rFonts w:hint="default" w:eastAsia="宋体"/>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施工人员发放防尘口罩、防尘帽</w:t>
                  </w:r>
                </w:p>
              </w:tc>
              <w:tc>
                <w:tcPr>
                  <w:tcW w:w="740" w:type="pct"/>
                  <w:vMerge w:val="restart"/>
                  <w:tcBorders>
                    <w:tl2br w:val="nil"/>
                    <w:tr2bl w:val="nil"/>
                  </w:tcBorders>
                  <w:noWrap w:val="0"/>
                  <w:vAlign w:val="center"/>
                </w:tcPr>
                <w:p w14:paraId="23D1F0A9">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20.0</w:t>
                  </w:r>
                </w:p>
              </w:tc>
            </w:tr>
            <w:tr w14:paraId="7DB9F9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03A1E8D6">
                  <w:pPr>
                    <w:pStyle w:val="65"/>
                    <w:bidi w:val="0"/>
                    <w:rPr>
                      <w:rFonts w:hint="eastAsia"/>
                      <w:vanish w:val="0"/>
                      <w:color w:val="000000" w:themeColor="text1"/>
                      <w:lang w:val="en-US" w:eastAsia="zh-CN"/>
                      <w14:textFill>
                        <w14:solidFill>
                          <w14:schemeClr w14:val="tx1"/>
                        </w14:solidFill>
                      </w14:textFill>
                    </w:rPr>
                  </w:pPr>
                </w:p>
              </w:tc>
              <w:tc>
                <w:tcPr>
                  <w:tcW w:w="442" w:type="pct"/>
                  <w:vMerge w:val="continue"/>
                  <w:tcBorders>
                    <w:tl2br w:val="nil"/>
                    <w:tr2bl w:val="nil"/>
                  </w:tcBorders>
                  <w:noWrap w:val="0"/>
                  <w:vAlign w:val="center"/>
                </w:tcPr>
                <w:p w14:paraId="413519E4">
                  <w:pPr>
                    <w:pStyle w:val="65"/>
                    <w:bidi w:val="0"/>
                    <w:rPr>
                      <w:rFonts w:hint="eastAsia"/>
                      <w:vanish w:val="0"/>
                      <w:color w:val="000000" w:themeColor="text1"/>
                      <w:lang w:val="en-US" w:eastAsia="zh-CN"/>
                      <w14:textFill>
                        <w14:solidFill>
                          <w14:schemeClr w14:val="tx1"/>
                        </w14:solidFill>
                      </w14:textFill>
                    </w:rPr>
                  </w:pPr>
                </w:p>
              </w:tc>
              <w:tc>
                <w:tcPr>
                  <w:tcW w:w="3404" w:type="pct"/>
                  <w:tcBorders>
                    <w:tl2br w:val="nil"/>
                    <w:tr2bl w:val="nil"/>
                  </w:tcBorders>
                  <w:noWrap w:val="0"/>
                  <w:vAlign w:val="center"/>
                </w:tcPr>
                <w:p w14:paraId="576BB3A5">
                  <w:pPr>
                    <w:pStyle w:val="65"/>
                    <w:bidi w:val="0"/>
                    <w:ind w:left="0" w:leftChars="0" w:right="0" w:rightChars="0" w:firstLine="0" w:firstLineChars="0"/>
                    <w:jc w:val="center"/>
                    <w:rPr>
                      <w:rFonts w:hint="default" w:eastAsia="宋体"/>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配备</w:t>
                  </w:r>
                  <w:r>
                    <w:rPr>
                      <w:rFonts w:hint="eastAsia"/>
                      <w:vanish w:val="0"/>
                      <w:color w:val="000000" w:themeColor="text1"/>
                      <w:lang w:eastAsia="zh-CN"/>
                      <w14:textFill>
                        <w14:solidFill>
                          <w14:schemeClr w14:val="tx1"/>
                        </w14:solidFill>
                      </w14:textFill>
                    </w:rPr>
                    <w:t>洒水车、</w:t>
                  </w:r>
                  <w:r>
                    <w:rPr>
                      <w:rFonts w:hint="eastAsia"/>
                      <w:vanish w:val="0"/>
                      <w:color w:val="000000" w:themeColor="text1"/>
                      <w:lang w:val="en-US" w:eastAsia="zh-CN"/>
                      <w14:textFill>
                        <w14:solidFill>
                          <w14:schemeClr w14:val="tx1"/>
                        </w14:solidFill>
                      </w14:textFill>
                    </w:rPr>
                    <w:t>施工场地洒水降尘</w:t>
                  </w:r>
                </w:p>
              </w:tc>
              <w:tc>
                <w:tcPr>
                  <w:tcW w:w="740" w:type="pct"/>
                  <w:vMerge w:val="continue"/>
                  <w:tcBorders>
                    <w:tl2br w:val="nil"/>
                    <w:tr2bl w:val="nil"/>
                  </w:tcBorders>
                  <w:noWrap w:val="0"/>
                  <w:vAlign w:val="center"/>
                </w:tcPr>
                <w:p w14:paraId="755D4752">
                  <w:pPr>
                    <w:pStyle w:val="65"/>
                    <w:bidi w:val="0"/>
                    <w:rPr>
                      <w:rFonts w:hint="default"/>
                      <w:vanish w:val="0"/>
                      <w:color w:val="000000" w:themeColor="text1"/>
                      <w:lang w:val="en-US" w:eastAsia="zh-CN"/>
                      <w14:textFill>
                        <w14:solidFill>
                          <w14:schemeClr w14:val="tx1"/>
                        </w14:solidFill>
                      </w14:textFill>
                    </w:rPr>
                  </w:pPr>
                </w:p>
              </w:tc>
            </w:tr>
            <w:tr w14:paraId="536A95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272490C3">
                  <w:pPr>
                    <w:pStyle w:val="65"/>
                    <w:bidi w:val="0"/>
                    <w:rPr>
                      <w:rFonts w:hint="eastAsia"/>
                      <w:vanish w:val="0"/>
                      <w:color w:val="000000" w:themeColor="text1"/>
                      <w:lang w:val="en-US" w:eastAsia="zh-CN"/>
                      <w14:textFill>
                        <w14:solidFill>
                          <w14:schemeClr w14:val="tx1"/>
                        </w14:solidFill>
                      </w14:textFill>
                    </w:rPr>
                  </w:pPr>
                </w:p>
              </w:tc>
              <w:tc>
                <w:tcPr>
                  <w:tcW w:w="442" w:type="pct"/>
                  <w:vMerge w:val="continue"/>
                  <w:tcBorders>
                    <w:tl2br w:val="nil"/>
                    <w:tr2bl w:val="nil"/>
                  </w:tcBorders>
                  <w:noWrap w:val="0"/>
                  <w:vAlign w:val="center"/>
                </w:tcPr>
                <w:p w14:paraId="594F0216">
                  <w:pPr>
                    <w:pStyle w:val="65"/>
                    <w:bidi w:val="0"/>
                    <w:rPr>
                      <w:rFonts w:hint="eastAsia"/>
                      <w:vanish w:val="0"/>
                      <w:color w:val="000000" w:themeColor="text1"/>
                      <w:lang w:val="en-US" w:eastAsia="zh-CN"/>
                      <w14:textFill>
                        <w14:solidFill>
                          <w14:schemeClr w14:val="tx1"/>
                        </w14:solidFill>
                      </w14:textFill>
                    </w:rPr>
                  </w:pPr>
                </w:p>
              </w:tc>
              <w:tc>
                <w:tcPr>
                  <w:tcW w:w="3404" w:type="pct"/>
                  <w:tcBorders>
                    <w:tl2br w:val="nil"/>
                    <w:tr2bl w:val="nil"/>
                  </w:tcBorders>
                  <w:noWrap w:val="0"/>
                  <w:vAlign w:val="center"/>
                </w:tcPr>
                <w:p w14:paraId="2F46DF6A">
                  <w:pPr>
                    <w:pStyle w:val="65"/>
                    <w:bidi w:val="0"/>
                    <w:ind w:left="0" w:leftChars="0" w:right="0" w:rightChars="0" w:firstLine="0" w:firstLineChars="0"/>
                    <w:jc w:val="center"/>
                    <w:rPr>
                      <w:rFonts w:hint="default"/>
                      <w:vanish w:val="0"/>
                      <w:color w:val="000000" w:themeColor="text1"/>
                      <w:lang w:val="en-US"/>
                      <w14:textFill>
                        <w14:solidFill>
                          <w14:schemeClr w14:val="tx1"/>
                        </w14:solidFill>
                      </w14:textFill>
                    </w:rPr>
                  </w:pPr>
                  <w:r>
                    <w:rPr>
                      <w:rFonts w:hint="eastAsia"/>
                      <w:vanish w:val="0"/>
                      <w:color w:val="000000" w:themeColor="text1"/>
                      <w:lang w:eastAsia="zh-CN"/>
                      <w14:textFill>
                        <w14:solidFill>
                          <w14:schemeClr w14:val="tx1"/>
                        </w14:solidFill>
                      </w14:textFill>
                    </w:rPr>
                    <w:t>设施工围挡、</w:t>
                  </w:r>
                  <w:r>
                    <w:rPr>
                      <w:rFonts w:hint="eastAsia"/>
                      <w:vanish w:val="0"/>
                      <w:color w:val="000000" w:themeColor="text1"/>
                      <w14:textFill>
                        <w14:solidFill>
                          <w14:schemeClr w14:val="tx1"/>
                        </w14:solidFill>
                      </w14:textFill>
                    </w:rPr>
                    <w:t>土石方设置密目网苫盖</w:t>
                  </w:r>
                  <w:r>
                    <w:rPr>
                      <w:rFonts w:hint="eastAsia"/>
                      <w:vanish w:val="0"/>
                      <w:color w:val="000000" w:themeColor="text1"/>
                      <w:lang w:val="en-US" w:eastAsia="zh-CN"/>
                      <w14:textFill>
                        <w14:solidFill>
                          <w14:schemeClr w14:val="tx1"/>
                        </w14:solidFill>
                      </w14:textFill>
                    </w:rPr>
                    <w:t>等措施</w:t>
                  </w:r>
                </w:p>
              </w:tc>
              <w:tc>
                <w:tcPr>
                  <w:tcW w:w="740" w:type="pct"/>
                  <w:vMerge w:val="continue"/>
                  <w:tcBorders>
                    <w:tl2br w:val="nil"/>
                    <w:tr2bl w:val="nil"/>
                  </w:tcBorders>
                  <w:noWrap w:val="0"/>
                  <w:vAlign w:val="center"/>
                </w:tcPr>
                <w:p w14:paraId="7C357EE4">
                  <w:pPr>
                    <w:pStyle w:val="65"/>
                    <w:bidi w:val="0"/>
                    <w:rPr>
                      <w:rFonts w:hint="default"/>
                      <w:vanish w:val="0"/>
                      <w:color w:val="000000" w:themeColor="text1"/>
                      <w:lang w:val="en-US" w:eastAsia="zh-CN"/>
                      <w14:textFill>
                        <w14:solidFill>
                          <w14:schemeClr w14:val="tx1"/>
                        </w14:solidFill>
                      </w14:textFill>
                    </w:rPr>
                  </w:pPr>
                </w:p>
              </w:tc>
            </w:tr>
            <w:tr w14:paraId="1D0B70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23DC3B7C">
                  <w:pPr>
                    <w:pStyle w:val="65"/>
                    <w:bidi w:val="0"/>
                    <w:rPr>
                      <w:rFonts w:hint="eastAsia"/>
                      <w:vanish w:val="0"/>
                      <w:color w:val="000000" w:themeColor="text1"/>
                      <w:lang w:val="en-US" w:eastAsia="zh-CN"/>
                      <w14:textFill>
                        <w14:solidFill>
                          <w14:schemeClr w14:val="tx1"/>
                        </w14:solidFill>
                      </w14:textFill>
                    </w:rPr>
                  </w:pPr>
                </w:p>
              </w:tc>
              <w:tc>
                <w:tcPr>
                  <w:tcW w:w="442" w:type="pct"/>
                  <w:vMerge w:val="continue"/>
                  <w:tcBorders>
                    <w:tl2br w:val="nil"/>
                    <w:tr2bl w:val="nil"/>
                  </w:tcBorders>
                  <w:noWrap w:val="0"/>
                  <w:vAlign w:val="center"/>
                </w:tcPr>
                <w:p w14:paraId="0264CCFE">
                  <w:pPr>
                    <w:pStyle w:val="65"/>
                    <w:bidi w:val="0"/>
                    <w:rPr>
                      <w:rFonts w:hint="eastAsia"/>
                      <w:vanish w:val="0"/>
                      <w:color w:val="000000" w:themeColor="text1"/>
                      <w:lang w:val="en-US" w:eastAsia="zh-CN"/>
                      <w14:textFill>
                        <w14:solidFill>
                          <w14:schemeClr w14:val="tx1"/>
                        </w14:solidFill>
                      </w14:textFill>
                    </w:rPr>
                  </w:pPr>
                </w:p>
              </w:tc>
              <w:tc>
                <w:tcPr>
                  <w:tcW w:w="3404" w:type="pct"/>
                  <w:tcBorders>
                    <w:tl2br w:val="nil"/>
                    <w:tr2bl w:val="nil"/>
                  </w:tcBorders>
                  <w:noWrap w:val="0"/>
                  <w:vAlign w:val="center"/>
                </w:tcPr>
                <w:p w14:paraId="763C88A5">
                  <w:pPr>
                    <w:pStyle w:val="65"/>
                    <w:bidi w:val="0"/>
                    <w:ind w:left="0" w:leftChars="0" w:right="0" w:rightChars="0" w:firstLine="0" w:firstLineChars="0"/>
                    <w:jc w:val="center"/>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设置</w:t>
                  </w:r>
                  <w:r>
                    <w:rPr>
                      <w:rFonts w:hint="eastAsia"/>
                      <w:vanish w:val="0"/>
                      <w:color w:val="000000" w:themeColor="text1"/>
                      <w:lang w:eastAsia="zh-CN"/>
                      <w14:textFill>
                        <w14:solidFill>
                          <w14:schemeClr w14:val="tx1"/>
                        </w14:solidFill>
                      </w14:textFill>
                    </w:rPr>
                    <w:t>车轮冲洗平台</w:t>
                  </w:r>
                </w:p>
              </w:tc>
              <w:tc>
                <w:tcPr>
                  <w:tcW w:w="740" w:type="pct"/>
                  <w:vMerge w:val="continue"/>
                  <w:tcBorders>
                    <w:tl2br w:val="nil"/>
                    <w:tr2bl w:val="nil"/>
                  </w:tcBorders>
                  <w:noWrap w:val="0"/>
                  <w:vAlign w:val="center"/>
                </w:tcPr>
                <w:p w14:paraId="4C2D4270">
                  <w:pPr>
                    <w:pStyle w:val="65"/>
                    <w:bidi w:val="0"/>
                    <w:rPr>
                      <w:rFonts w:hint="default"/>
                      <w:vanish w:val="0"/>
                      <w:color w:val="000000" w:themeColor="text1"/>
                      <w:lang w:val="en-US" w:eastAsia="zh-CN"/>
                      <w14:textFill>
                        <w14:solidFill>
                          <w14:schemeClr w14:val="tx1"/>
                        </w14:solidFill>
                      </w14:textFill>
                    </w:rPr>
                  </w:pPr>
                </w:p>
              </w:tc>
            </w:tr>
            <w:tr w14:paraId="28059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6AA8A3B6">
                  <w:pPr>
                    <w:pStyle w:val="65"/>
                    <w:bidi w:val="0"/>
                    <w:rPr>
                      <w:rFonts w:hint="eastAsia"/>
                      <w:vanish w:val="0"/>
                      <w:color w:val="000000" w:themeColor="text1"/>
                      <w:lang w:val="en-US" w:eastAsia="zh-CN"/>
                      <w14:textFill>
                        <w14:solidFill>
                          <w14:schemeClr w14:val="tx1"/>
                        </w14:solidFill>
                      </w14:textFill>
                    </w:rPr>
                  </w:pPr>
                </w:p>
              </w:tc>
              <w:tc>
                <w:tcPr>
                  <w:tcW w:w="442" w:type="pct"/>
                  <w:tcBorders>
                    <w:tl2br w:val="nil"/>
                    <w:tr2bl w:val="nil"/>
                  </w:tcBorders>
                  <w:noWrap w:val="0"/>
                  <w:vAlign w:val="center"/>
                </w:tcPr>
                <w:p w14:paraId="588D2762">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运营期</w:t>
                  </w:r>
                </w:p>
              </w:tc>
              <w:tc>
                <w:tcPr>
                  <w:tcW w:w="3404" w:type="pct"/>
                  <w:tcBorders>
                    <w:tl2br w:val="nil"/>
                    <w:tr2bl w:val="nil"/>
                  </w:tcBorders>
                  <w:noWrap w:val="0"/>
                  <w:vAlign w:val="center"/>
                </w:tcPr>
                <w:p w14:paraId="2F0B3502">
                  <w:pPr>
                    <w:pStyle w:val="65"/>
                    <w:bidi w:val="0"/>
                    <w:ind w:left="0" w:leftChars="0" w:right="0" w:rightChars="0" w:firstLine="0" w:firstLineChars="0"/>
                    <w:jc w:val="center"/>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w:t>
                  </w:r>
                </w:p>
              </w:tc>
              <w:tc>
                <w:tcPr>
                  <w:tcW w:w="740" w:type="pct"/>
                  <w:tcBorders>
                    <w:tl2br w:val="nil"/>
                    <w:tr2bl w:val="nil"/>
                  </w:tcBorders>
                  <w:noWrap w:val="0"/>
                  <w:vAlign w:val="center"/>
                </w:tcPr>
                <w:p w14:paraId="733A215E">
                  <w:pPr>
                    <w:pStyle w:val="65"/>
                    <w:bidi w:val="0"/>
                    <w:rPr>
                      <w:rFonts w:hint="eastAsia"/>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w:t>
                  </w:r>
                </w:p>
              </w:tc>
            </w:tr>
            <w:tr w14:paraId="4E3D38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restart"/>
                  <w:tcBorders>
                    <w:tl2br w:val="nil"/>
                    <w:tr2bl w:val="nil"/>
                  </w:tcBorders>
                  <w:noWrap w:val="0"/>
                  <w:vAlign w:val="center"/>
                </w:tcPr>
                <w:p w14:paraId="709E2A5B">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水污染</w:t>
                  </w:r>
                </w:p>
              </w:tc>
              <w:tc>
                <w:tcPr>
                  <w:tcW w:w="442" w:type="pct"/>
                  <w:tcBorders>
                    <w:tl2br w:val="nil"/>
                    <w:tr2bl w:val="nil"/>
                  </w:tcBorders>
                  <w:noWrap w:val="0"/>
                  <w:vAlign w:val="center"/>
                </w:tcPr>
                <w:p w14:paraId="1DA6E7C5">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施工期</w:t>
                  </w:r>
                </w:p>
              </w:tc>
              <w:tc>
                <w:tcPr>
                  <w:tcW w:w="3404" w:type="pct"/>
                  <w:tcBorders>
                    <w:tl2br w:val="nil"/>
                    <w:tr2bl w:val="nil"/>
                  </w:tcBorders>
                  <w:noWrap w:val="0"/>
                  <w:vAlign w:val="center"/>
                </w:tcPr>
                <w:p w14:paraId="64C451B9">
                  <w:pPr>
                    <w:pStyle w:val="65"/>
                    <w:bidi w:val="0"/>
                    <w:ind w:left="0" w:leftChars="0" w:right="0" w:rightChars="0" w:firstLine="0" w:firstLineChars="0"/>
                    <w:jc w:val="center"/>
                    <w:rPr>
                      <w:rFonts w:hint="default"/>
                      <w:vanish w:val="0"/>
                      <w:color w:val="000000" w:themeColor="text1"/>
                      <w:lang w:val="en-US" w:eastAsia="zh-CN"/>
                      <w14:textFill>
                        <w14:solidFill>
                          <w14:schemeClr w14:val="tx1"/>
                        </w14:solidFill>
                      </w14:textFill>
                    </w:rPr>
                  </w:pPr>
                  <w:r>
                    <w:rPr>
                      <w:rFonts w:hint="eastAsia" w:eastAsia="宋体" w:cs="Times New Roman"/>
                      <w:vanish w:val="0"/>
                      <w:color w:val="000000" w:themeColor="text1"/>
                      <w:lang w:val="en-US" w:eastAsia="zh-CN"/>
                      <w14:textFill>
                        <w14:solidFill>
                          <w14:schemeClr w14:val="tx1"/>
                        </w14:solidFill>
                      </w14:textFill>
                    </w:rPr>
                    <w:t>临时沉淀池5座</w:t>
                  </w:r>
                </w:p>
              </w:tc>
              <w:tc>
                <w:tcPr>
                  <w:tcW w:w="740" w:type="pct"/>
                  <w:tcBorders>
                    <w:tl2br w:val="nil"/>
                    <w:tr2bl w:val="nil"/>
                  </w:tcBorders>
                  <w:noWrap w:val="0"/>
                  <w:vAlign w:val="center"/>
                </w:tcPr>
                <w:p w14:paraId="04876373">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8.0</w:t>
                  </w:r>
                </w:p>
              </w:tc>
            </w:tr>
            <w:tr w14:paraId="1D86C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06FDF59A">
                  <w:pPr>
                    <w:pStyle w:val="65"/>
                    <w:bidi w:val="0"/>
                    <w:rPr>
                      <w:rFonts w:hint="eastAsia"/>
                      <w:vanish w:val="0"/>
                      <w:color w:val="000000" w:themeColor="text1"/>
                      <w:lang w:val="en-US" w:eastAsia="zh-CN"/>
                      <w14:textFill>
                        <w14:solidFill>
                          <w14:schemeClr w14:val="tx1"/>
                        </w14:solidFill>
                      </w14:textFill>
                    </w:rPr>
                  </w:pPr>
                </w:p>
              </w:tc>
              <w:tc>
                <w:tcPr>
                  <w:tcW w:w="442" w:type="pct"/>
                  <w:tcBorders>
                    <w:tl2br w:val="nil"/>
                    <w:tr2bl w:val="nil"/>
                  </w:tcBorders>
                  <w:noWrap w:val="0"/>
                  <w:vAlign w:val="center"/>
                </w:tcPr>
                <w:p w14:paraId="6C940C50">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运营期</w:t>
                  </w:r>
                </w:p>
              </w:tc>
              <w:tc>
                <w:tcPr>
                  <w:tcW w:w="3404" w:type="pct"/>
                  <w:tcBorders>
                    <w:tl2br w:val="nil"/>
                    <w:tr2bl w:val="nil"/>
                  </w:tcBorders>
                  <w:noWrap w:val="0"/>
                  <w:vAlign w:val="center"/>
                </w:tcPr>
                <w:p w14:paraId="682ABEA1">
                  <w:pPr>
                    <w:pStyle w:val="65"/>
                    <w:bidi w:val="0"/>
                    <w:ind w:firstLine="0" w:firstLineChars="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化粪池1座，容积2m</w:t>
                  </w:r>
                  <w:r>
                    <w:rPr>
                      <w:rFonts w:hint="eastAsia"/>
                      <w:vanish w:val="0"/>
                      <w:color w:val="000000" w:themeColor="text1"/>
                      <w:vertAlign w:val="superscript"/>
                      <w:lang w:val="en-US" w:eastAsia="zh-CN"/>
                      <w14:textFill>
                        <w14:solidFill>
                          <w14:schemeClr w14:val="tx1"/>
                        </w14:solidFill>
                      </w14:textFill>
                    </w:rPr>
                    <w:t>3</w:t>
                  </w:r>
                </w:p>
              </w:tc>
              <w:tc>
                <w:tcPr>
                  <w:tcW w:w="740" w:type="pct"/>
                  <w:tcBorders>
                    <w:tl2br w:val="nil"/>
                    <w:tr2bl w:val="nil"/>
                  </w:tcBorders>
                  <w:noWrap w:val="0"/>
                  <w:vAlign w:val="center"/>
                </w:tcPr>
                <w:p w14:paraId="3D468243">
                  <w:pPr>
                    <w:pStyle w:val="65"/>
                    <w:bidi w:val="0"/>
                    <w:ind w:firstLine="0" w:firstLineChars="0"/>
                    <w:rPr>
                      <w:rFonts w:hint="default" w:ascii="Times New Roman" w:hAnsi="Times New Roman" w:eastAsia="宋体" w:cs="Times New Roman"/>
                      <w:vanish w:val="0"/>
                      <w:color w:val="000000" w:themeColor="text1"/>
                      <w:spacing w:val="-1"/>
                      <w:sz w:val="20"/>
                      <w:szCs w:val="20"/>
                      <w:lang w:val="en-US" w:eastAsia="zh-CN"/>
                      <w14:textFill>
                        <w14:solidFill>
                          <w14:schemeClr w14:val="tx1"/>
                        </w14:solidFill>
                      </w14:textFill>
                    </w:rPr>
                  </w:pPr>
                  <w:r>
                    <w:rPr>
                      <w:rFonts w:hint="eastAsia" w:ascii="Times New Roman" w:hAnsi="Times New Roman" w:cs="Times New Roman"/>
                      <w:vanish w:val="0"/>
                      <w:color w:val="000000" w:themeColor="text1"/>
                      <w:spacing w:val="-1"/>
                      <w:sz w:val="20"/>
                      <w:szCs w:val="20"/>
                      <w:lang w:val="en-US" w:eastAsia="zh-CN"/>
                      <w14:textFill>
                        <w14:solidFill>
                          <w14:schemeClr w14:val="tx1"/>
                        </w14:solidFill>
                      </w14:textFill>
                    </w:rPr>
                    <w:t>0.5</w:t>
                  </w:r>
                </w:p>
              </w:tc>
            </w:tr>
            <w:tr w14:paraId="05AA05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restart"/>
                  <w:tcBorders>
                    <w:tl2br w:val="nil"/>
                    <w:tr2bl w:val="nil"/>
                  </w:tcBorders>
                  <w:noWrap w:val="0"/>
                  <w:vAlign w:val="center"/>
                </w:tcPr>
                <w:p w14:paraId="248F1016">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固废</w:t>
                  </w:r>
                </w:p>
              </w:tc>
              <w:tc>
                <w:tcPr>
                  <w:tcW w:w="442" w:type="pct"/>
                  <w:vMerge w:val="restart"/>
                  <w:tcBorders>
                    <w:tl2br w:val="nil"/>
                    <w:tr2bl w:val="nil"/>
                  </w:tcBorders>
                  <w:noWrap w:val="0"/>
                  <w:vAlign w:val="center"/>
                </w:tcPr>
                <w:p w14:paraId="5B438507">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施工期</w:t>
                  </w:r>
                </w:p>
              </w:tc>
              <w:tc>
                <w:tcPr>
                  <w:tcW w:w="3404" w:type="pct"/>
                  <w:tcBorders>
                    <w:tl2br w:val="nil"/>
                    <w:tr2bl w:val="nil"/>
                  </w:tcBorders>
                  <w:noWrap w:val="0"/>
                  <w:vAlign w:val="center"/>
                </w:tcPr>
                <w:p w14:paraId="5B5AA75B">
                  <w:pPr>
                    <w:pStyle w:val="65"/>
                    <w:bidi w:val="0"/>
                    <w:ind w:left="0" w:leftChars="0" w:right="0" w:rightChars="0" w:firstLine="0" w:firstLineChars="0"/>
                    <w:jc w:val="center"/>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设置垃圾桶18个</w:t>
                  </w:r>
                </w:p>
              </w:tc>
              <w:tc>
                <w:tcPr>
                  <w:tcW w:w="740" w:type="pct"/>
                  <w:tcBorders>
                    <w:tl2br w:val="nil"/>
                    <w:tr2bl w:val="nil"/>
                  </w:tcBorders>
                  <w:noWrap w:val="0"/>
                  <w:vAlign w:val="center"/>
                </w:tcPr>
                <w:p w14:paraId="5E72FDED">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0.5</w:t>
                  </w:r>
                </w:p>
              </w:tc>
            </w:tr>
            <w:tr w14:paraId="53B033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32D9A159">
                  <w:pPr>
                    <w:pStyle w:val="65"/>
                    <w:bidi w:val="0"/>
                    <w:rPr>
                      <w:rFonts w:hint="eastAsia"/>
                      <w:vanish w:val="0"/>
                      <w:color w:val="000000" w:themeColor="text1"/>
                      <w:lang w:val="en-US" w:eastAsia="zh-CN"/>
                      <w14:textFill>
                        <w14:solidFill>
                          <w14:schemeClr w14:val="tx1"/>
                        </w14:solidFill>
                      </w14:textFill>
                    </w:rPr>
                  </w:pPr>
                </w:p>
              </w:tc>
              <w:tc>
                <w:tcPr>
                  <w:tcW w:w="442" w:type="pct"/>
                  <w:vMerge w:val="continue"/>
                  <w:tcBorders>
                    <w:tl2br w:val="nil"/>
                    <w:tr2bl w:val="nil"/>
                  </w:tcBorders>
                  <w:noWrap w:val="0"/>
                  <w:vAlign w:val="center"/>
                </w:tcPr>
                <w:p w14:paraId="67B977DE">
                  <w:pPr>
                    <w:pStyle w:val="65"/>
                    <w:bidi w:val="0"/>
                    <w:rPr>
                      <w:rFonts w:hint="eastAsia"/>
                      <w:vanish w:val="0"/>
                      <w:color w:val="000000" w:themeColor="text1"/>
                      <w:lang w:val="en-US" w:eastAsia="zh-CN"/>
                      <w14:textFill>
                        <w14:solidFill>
                          <w14:schemeClr w14:val="tx1"/>
                        </w14:solidFill>
                      </w14:textFill>
                    </w:rPr>
                  </w:pPr>
                </w:p>
              </w:tc>
              <w:tc>
                <w:tcPr>
                  <w:tcW w:w="3404" w:type="pct"/>
                  <w:tcBorders>
                    <w:tl2br w:val="nil"/>
                    <w:tr2bl w:val="nil"/>
                  </w:tcBorders>
                  <w:noWrap w:val="0"/>
                  <w:vAlign w:val="center"/>
                </w:tcPr>
                <w:p w14:paraId="5FDC874E">
                  <w:pPr>
                    <w:pStyle w:val="65"/>
                    <w:bidi w:val="0"/>
                    <w:ind w:left="0" w:leftChars="0" w:right="0" w:rightChars="0" w:firstLine="0" w:firstLineChars="0"/>
                    <w:jc w:val="center"/>
                    <w:rPr>
                      <w:rFonts w:hint="default" w:eastAsia="宋体"/>
                      <w:vanish w:val="0"/>
                      <w:color w:val="000000" w:themeColor="text1"/>
                      <w:lang w:val="en-US" w:eastAsia="zh-CN"/>
                      <w14:textFill>
                        <w14:solidFill>
                          <w14:schemeClr w14:val="tx1"/>
                        </w14:solidFill>
                      </w14:textFill>
                    </w:rPr>
                  </w:pPr>
                  <w:r>
                    <w:rPr>
                      <w:rFonts w:hint="eastAsia" w:ascii="Times New Roman" w:hAnsi="Times New Roman" w:eastAsia="宋体" w:cs="宋体"/>
                      <w:vanish w:val="0"/>
                      <w:color w:val="000000" w:themeColor="text1"/>
                      <w:lang w:val="en-US" w:eastAsia="zh-CN"/>
                      <w14:textFill>
                        <w14:solidFill>
                          <w14:schemeClr w14:val="tx1"/>
                        </w14:solidFill>
                      </w14:textFill>
                    </w:rPr>
                    <w:t>垃圾清运综合利用</w:t>
                  </w:r>
                </w:p>
              </w:tc>
              <w:tc>
                <w:tcPr>
                  <w:tcW w:w="740" w:type="pct"/>
                  <w:tcBorders>
                    <w:tl2br w:val="nil"/>
                    <w:tr2bl w:val="nil"/>
                  </w:tcBorders>
                  <w:noWrap w:val="0"/>
                  <w:vAlign w:val="center"/>
                </w:tcPr>
                <w:p w14:paraId="59678A36">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3.0</w:t>
                  </w:r>
                </w:p>
              </w:tc>
            </w:tr>
            <w:tr w14:paraId="1BD1C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68A762E9">
                  <w:pPr>
                    <w:pStyle w:val="65"/>
                    <w:bidi w:val="0"/>
                    <w:rPr>
                      <w:rFonts w:hint="eastAsia"/>
                      <w:vanish w:val="0"/>
                      <w:color w:val="000000" w:themeColor="text1"/>
                      <w:lang w:val="en-US" w:eastAsia="zh-CN"/>
                      <w14:textFill>
                        <w14:solidFill>
                          <w14:schemeClr w14:val="tx1"/>
                        </w14:solidFill>
                      </w14:textFill>
                    </w:rPr>
                  </w:pPr>
                </w:p>
              </w:tc>
              <w:tc>
                <w:tcPr>
                  <w:tcW w:w="442" w:type="pct"/>
                  <w:vMerge w:val="restart"/>
                  <w:tcBorders>
                    <w:tl2br w:val="nil"/>
                    <w:tr2bl w:val="nil"/>
                  </w:tcBorders>
                  <w:noWrap w:val="0"/>
                  <w:vAlign w:val="center"/>
                </w:tcPr>
                <w:p w14:paraId="022CB8EE">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运营期</w:t>
                  </w:r>
                </w:p>
              </w:tc>
              <w:tc>
                <w:tcPr>
                  <w:tcW w:w="3404" w:type="pct"/>
                  <w:tcBorders>
                    <w:tl2br w:val="nil"/>
                    <w:tr2bl w:val="nil"/>
                  </w:tcBorders>
                  <w:noWrap w:val="0"/>
                  <w:vAlign w:val="center"/>
                </w:tcPr>
                <w:p w14:paraId="6C5B910E">
                  <w:pPr>
                    <w:pStyle w:val="65"/>
                    <w:bidi w:val="0"/>
                    <w:ind w:left="0" w:leftChars="0" w:right="0" w:rightChars="0" w:firstLine="0" w:firstLineChars="0"/>
                    <w:jc w:val="center"/>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设置生活垃圾收集桶若干</w:t>
                  </w:r>
                </w:p>
              </w:tc>
              <w:tc>
                <w:tcPr>
                  <w:tcW w:w="740" w:type="pct"/>
                  <w:tcBorders>
                    <w:tl2br w:val="nil"/>
                    <w:tr2bl w:val="nil"/>
                  </w:tcBorders>
                  <w:noWrap w:val="0"/>
                  <w:vAlign w:val="center"/>
                </w:tcPr>
                <w:p w14:paraId="5D2ECDA9">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0.1</w:t>
                  </w:r>
                </w:p>
              </w:tc>
            </w:tr>
            <w:tr w14:paraId="6D66B9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6C051873">
                  <w:pPr>
                    <w:pStyle w:val="65"/>
                    <w:bidi w:val="0"/>
                    <w:rPr>
                      <w:rFonts w:hint="eastAsia"/>
                      <w:vanish w:val="0"/>
                      <w:color w:val="000000" w:themeColor="text1"/>
                      <w:lang w:val="en-US" w:eastAsia="zh-CN"/>
                      <w14:textFill>
                        <w14:solidFill>
                          <w14:schemeClr w14:val="tx1"/>
                        </w14:solidFill>
                      </w14:textFill>
                    </w:rPr>
                  </w:pPr>
                </w:p>
              </w:tc>
              <w:tc>
                <w:tcPr>
                  <w:tcW w:w="442" w:type="pct"/>
                  <w:vMerge w:val="continue"/>
                  <w:tcBorders>
                    <w:tl2br w:val="nil"/>
                    <w:tr2bl w:val="nil"/>
                  </w:tcBorders>
                  <w:noWrap w:val="0"/>
                  <w:vAlign w:val="center"/>
                </w:tcPr>
                <w:p w14:paraId="423EDFE0">
                  <w:pPr>
                    <w:pStyle w:val="65"/>
                    <w:bidi w:val="0"/>
                    <w:rPr>
                      <w:rFonts w:hint="eastAsia"/>
                      <w:vanish w:val="0"/>
                      <w:color w:val="000000" w:themeColor="text1"/>
                      <w:lang w:val="en-US" w:eastAsia="zh-CN"/>
                      <w14:textFill>
                        <w14:solidFill>
                          <w14:schemeClr w14:val="tx1"/>
                        </w14:solidFill>
                      </w14:textFill>
                    </w:rPr>
                  </w:pPr>
                </w:p>
              </w:tc>
              <w:tc>
                <w:tcPr>
                  <w:tcW w:w="3404" w:type="pct"/>
                  <w:tcBorders>
                    <w:tl2br w:val="nil"/>
                    <w:tr2bl w:val="nil"/>
                  </w:tcBorders>
                  <w:noWrap w:val="0"/>
                  <w:vAlign w:val="center"/>
                </w:tcPr>
                <w:p w14:paraId="7C9EAAF8">
                  <w:pPr>
                    <w:pStyle w:val="65"/>
                    <w:bidi w:val="0"/>
                    <w:ind w:left="0" w:leftChars="0" w:right="0" w:rightChars="0" w:firstLine="0" w:firstLineChars="0"/>
                    <w:jc w:val="center"/>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规范建设一般固废暂存处，占地面积20m</w:t>
                  </w:r>
                  <w:r>
                    <w:rPr>
                      <w:rFonts w:hint="eastAsia"/>
                      <w:vanish w:val="0"/>
                      <w:color w:val="000000" w:themeColor="text1"/>
                      <w:vertAlign w:val="superscript"/>
                      <w:lang w:val="en-US" w:eastAsia="zh-CN"/>
                      <w14:textFill>
                        <w14:solidFill>
                          <w14:schemeClr w14:val="tx1"/>
                        </w14:solidFill>
                      </w14:textFill>
                    </w:rPr>
                    <w:t>2</w:t>
                  </w:r>
                </w:p>
              </w:tc>
              <w:tc>
                <w:tcPr>
                  <w:tcW w:w="740" w:type="pct"/>
                  <w:tcBorders>
                    <w:tl2br w:val="nil"/>
                    <w:tr2bl w:val="nil"/>
                  </w:tcBorders>
                  <w:noWrap w:val="0"/>
                  <w:vAlign w:val="center"/>
                </w:tcPr>
                <w:p w14:paraId="4696524F">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2.0</w:t>
                  </w:r>
                </w:p>
              </w:tc>
            </w:tr>
            <w:tr w14:paraId="2307A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436A085C">
                  <w:pPr>
                    <w:pStyle w:val="65"/>
                    <w:bidi w:val="0"/>
                    <w:rPr>
                      <w:rFonts w:hint="eastAsia"/>
                      <w:vanish w:val="0"/>
                      <w:color w:val="000000" w:themeColor="text1"/>
                      <w:lang w:val="en-US" w:eastAsia="zh-CN"/>
                      <w14:textFill>
                        <w14:solidFill>
                          <w14:schemeClr w14:val="tx1"/>
                        </w14:solidFill>
                      </w14:textFill>
                    </w:rPr>
                  </w:pPr>
                </w:p>
              </w:tc>
              <w:tc>
                <w:tcPr>
                  <w:tcW w:w="442" w:type="pct"/>
                  <w:vMerge w:val="continue"/>
                  <w:tcBorders>
                    <w:tl2br w:val="nil"/>
                    <w:tr2bl w:val="nil"/>
                  </w:tcBorders>
                  <w:noWrap w:val="0"/>
                  <w:vAlign w:val="center"/>
                </w:tcPr>
                <w:p w14:paraId="01274507">
                  <w:pPr>
                    <w:pStyle w:val="65"/>
                    <w:bidi w:val="0"/>
                    <w:rPr>
                      <w:rFonts w:hint="eastAsia"/>
                      <w:vanish w:val="0"/>
                      <w:color w:val="000000" w:themeColor="text1"/>
                      <w:lang w:val="en-US" w:eastAsia="zh-CN"/>
                      <w14:textFill>
                        <w14:solidFill>
                          <w14:schemeClr w14:val="tx1"/>
                        </w14:solidFill>
                      </w14:textFill>
                    </w:rPr>
                  </w:pPr>
                </w:p>
              </w:tc>
              <w:tc>
                <w:tcPr>
                  <w:tcW w:w="3404" w:type="pct"/>
                  <w:tcBorders>
                    <w:tl2br w:val="nil"/>
                    <w:tr2bl w:val="nil"/>
                  </w:tcBorders>
                  <w:noWrap w:val="0"/>
                  <w:vAlign w:val="center"/>
                </w:tcPr>
                <w:p w14:paraId="0AFFAEA7">
                  <w:pPr>
                    <w:pStyle w:val="65"/>
                    <w:bidi w:val="0"/>
                    <w:ind w:left="0" w:leftChars="0" w:right="0" w:rightChars="0" w:firstLine="0" w:firstLineChars="0"/>
                    <w:jc w:val="center"/>
                    <w:rPr>
                      <w:rFonts w:hint="eastAsia"/>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规范建设危险废物贮存库1座，占地面积20m</w:t>
                  </w:r>
                  <w:r>
                    <w:rPr>
                      <w:rFonts w:hint="eastAsia"/>
                      <w:vanish w:val="0"/>
                      <w:color w:val="000000" w:themeColor="text1"/>
                      <w:vertAlign w:val="superscript"/>
                      <w:lang w:val="en-US" w:eastAsia="zh-CN"/>
                      <w14:textFill>
                        <w14:solidFill>
                          <w14:schemeClr w14:val="tx1"/>
                        </w14:solidFill>
                      </w14:textFill>
                    </w:rPr>
                    <w:t>2</w:t>
                  </w:r>
                  <w:r>
                    <w:rPr>
                      <w:rFonts w:hint="eastAsia"/>
                      <w:vanish w:val="0"/>
                      <w:color w:val="000000" w:themeColor="text1"/>
                      <w:vertAlign w:val="baseline"/>
                      <w:lang w:val="en-US" w:eastAsia="zh-CN"/>
                      <w14:textFill>
                        <w14:solidFill>
                          <w14:schemeClr w14:val="tx1"/>
                        </w14:solidFill>
                      </w14:textFill>
                    </w:rPr>
                    <w:t>，</w:t>
                  </w:r>
                  <w:r>
                    <w:rPr>
                      <w:rFonts w:hint="eastAsia"/>
                      <w:vanish w:val="0"/>
                      <w:color w:val="000000" w:themeColor="text1"/>
                      <w:lang w:val="en-US" w:eastAsia="zh-CN"/>
                      <w14:textFill>
                        <w14:solidFill>
                          <w14:schemeClr w14:val="tx1"/>
                        </w14:solidFill>
                      </w14:textFill>
                    </w:rPr>
                    <w:t>设置托盘、专用收集容器，张贴标识</w:t>
                  </w:r>
                </w:p>
              </w:tc>
              <w:tc>
                <w:tcPr>
                  <w:tcW w:w="740" w:type="pct"/>
                  <w:tcBorders>
                    <w:tl2br w:val="nil"/>
                    <w:tr2bl w:val="nil"/>
                  </w:tcBorders>
                  <w:noWrap w:val="0"/>
                  <w:vAlign w:val="center"/>
                </w:tcPr>
                <w:p w14:paraId="4F30E0A5">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5.0</w:t>
                  </w:r>
                </w:p>
              </w:tc>
            </w:tr>
            <w:tr w14:paraId="659ABB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restart"/>
                  <w:tcBorders>
                    <w:tl2br w:val="nil"/>
                    <w:tr2bl w:val="nil"/>
                  </w:tcBorders>
                  <w:noWrap w:val="0"/>
                  <w:vAlign w:val="center"/>
                </w:tcPr>
                <w:p w14:paraId="154C038D">
                  <w:pPr>
                    <w:pStyle w:val="65"/>
                    <w:bidi w:val="0"/>
                    <w:rPr>
                      <w:rFonts w:hint="eastAsia"/>
                      <w:vanish w:val="0"/>
                      <w:color w:val="000000" w:themeColor="text1"/>
                      <w:lang w:eastAsia="zh-CN"/>
                      <w14:textFill>
                        <w14:solidFill>
                          <w14:schemeClr w14:val="tx1"/>
                        </w14:solidFill>
                      </w14:textFill>
                    </w:rPr>
                  </w:pPr>
                  <w:r>
                    <w:rPr>
                      <w:rFonts w:hint="eastAsia"/>
                      <w:vanish w:val="0"/>
                      <w:color w:val="000000" w:themeColor="text1"/>
                      <w:lang w:eastAsia="zh-CN"/>
                      <w14:textFill>
                        <w14:solidFill>
                          <w14:schemeClr w14:val="tx1"/>
                        </w14:solidFill>
                      </w14:textFill>
                    </w:rPr>
                    <w:t>噪声</w:t>
                  </w:r>
                </w:p>
              </w:tc>
              <w:tc>
                <w:tcPr>
                  <w:tcW w:w="442" w:type="pct"/>
                  <w:tcBorders>
                    <w:tl2br w:val="nil"/>
                    <w:tr2bl w:val="nil"/>
                  </w:tcBorders>
                  <w:noWrap w:val="0"/>
                  <w:vAlign w:val="center"/>
                </w:tcPr>
                <w:p w14:paraId="74D8459E">
                  <w:pPr>
                    <w:pStyle w:val="65"/>
                    <w:bidi w:val="0"/>
                    <w:ind w:left="0" w:leftChars="0" w:firstLine="0" w:firstLineChars="0"/>
                    <w:rPr>
                      <w:rFonts w:hint="eastAsia"/>
                      <w:vanish w:val="0"/>
                      <w:color w:val="000000" w:themeColor="text1"/>
                      <w:lang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施工期</w:t>
                  </w:r>
                </w:p>
              </w:tc>
              <w:tc>
                <w:tcPr>
                  <w:tcW w:w="3404" w:type="pct"/>
                  <w:tcBorders>
                    <w:tl2br w:val="nil"/>
                    <w:tr2bl w:val="nil"/>
                  </w:tcBorders>
                  <w:noWrap w:val="0"/>
                  <w:vAlign w:val="center"/>
                </w:tcPr>
                <w:p w14:paraId="3EF265AC">
                  <w:pPr>
                    <w:pStyle w:val="65"/>
                    <w:bidi w:val="0"/>
                    <w:ind w:left="0" w:leftChars="0" w:right="0" w:rightChars="0" w:firstLine="0" w:firstLineChars="0"/>
                    <w:jc w:val="center"/>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较大的机械设备基础</w:t>
                  </w:r>
                  <w:r>
                    <w:rPr>
                      <w:rFonts w:hint="eastAsia" w:cs="Times New Roman"/>
                      <w:vanish w:val="0"/>
                      <w:color w:val="000000" w:themeColor="text1"/>
                      <w:lang w:val="en-US" w:eastAsia="zh-CN"/>
                      <w14:textFill>
                        <w14:solidFill>
                          <w14:schemeClr w14:val="tx1"/>
                        </w14:solidFill>
                      </w14:textFill>
                    </w:rPr>
                    <w:t>减振</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p>
                <w:p w14:paraId="0990431A">
                  <w:pPr>
                    <w:pStyle w:val="65"/>
                    <w:bidi w:val="0"/>
                    <w:ind w:left="0" w:leftChars="0" w:right="0" w:rightChars="0" w:firstLine="0" w:firstLineChars="0"/>
                    <w:jc w:val="center"/>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在开挖管槽侧设置</w:t>
                  </w:r>
                  <w:r>
                    <w:rPr>
                      <w:rFonts w:hint="default" w:ascii="Times New Roman" w:hAnsi="Times New Roman" w:eastAsia="宋体" w:cs="Times New Roman"/>
                      <w:vanish w:val="0"/>
                      <w:color w:val="000000" w:themeColor="text1"/>
                      <w:lang w:val="en-US" w:eastAsia="zh-CN"/>
                      <w14:textFill>
                        <w14:solidFill>
                          <w14:schemeClr w14:val="tx1"/>
                        </w14:solidFill>
                      </w14:textFill>
                    </w:rPr>
                    <w:t>隔声板2km</w:t>
                  </w:r>
                  <w:r>
                    <w:rPr>
                      <w:rFonts w:hint="eastAsia" w:ascii="Times New Roman" w:hAnsi="Times New Roman" w:eastAsia="宋体" w:cs="Times New Roman"/>
                      <w:vanish w:val="0"/>
                      <w:color w:val="000000" w:themeColor="text1"/>
                      <w:lang w:val="en-US" w:eastAsia="zh-CN"/>
                      <w14:textFill>
                        <w14:solidFill>
                          <w14:schemeClr w14:val="tx1"/>
                        </w14:solidFill>
                      </w14:textFill>
                    </w:rPr>
                    <w:t>；</w:t>
                  </w:r>
                </w:p>
                <w:p w14:paraId="6266317A">
                  <w:pPr>
                    <w:pStyle w:val="65"/>
                    <w:bidi w:val="0"/>
                    <w:ind w:left="0" w:leftChars="0" w:right="0" w:rightChars="0" w:firstLine="0" w:firstLineChars="0"/>
                    <w:jc w:val="center"/>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发放防声耳塞等劳保用具210副、</w:t>
                  </w:r>
                </w:p>
                <w:p w14:paraId="68D573C5">
                  <w:pPr>
                    <w:pStyle w:val="65"/>
                    <w:bidi w:val="0"/>
                    <w:ind w:left="0" w:leftChars="0" w:right="0" w:rightChars="0" w:firstLine="0" w:firstLineChars="0"/>
                    <w:jc w:val="center"/>
                    <w:rPr>
                      <w:rFonts w:hint="eastAsia" w:eastAsia="宋体"/>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设置限速标志2个、禁鸣牌2个</w:t>
                  </w:r>
                </w:p>
              </w:tc>
              <w:tc>
                <w:tcPr>
                  <w:tcW w:w="740" w:type="pct"/>
                  <w:tcBorders>
                    <w:tl2br w:val="nil"/>
                    <w:tr2bl w:val="nil"/>
                  </w:tcBorders>
                  <w:noWrap w:val="0"/>
                  <w:vAlign w:val="center"/>
                </w:tcPr>
                <w:p w14:paraId="56D84F01">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4.5</w:t>
                  </w:r>
                </w:p>
              </w:tc>
            </w:tr>
            <w:tr w14:paraId="319126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12" w:type="pct"/>
                  <w:vMerge w:val="continue"/>
                  <w:tcBorders>
                    <w:tl2br w:val="nil"/>
                    <w:tr2bl w:val="nil"/>
                  </w:tcBorders>
                  <w:noWrap w:val="0"/>
                  <w:vAlign w:val="center"/>
                </w:tcPr>
                <w:p w14:paraId="5B6180F7">
                  <w:pPr>
                    <w:pStyle w:val="65"/>
                    <w:bidi w:val="0"/>
                    <w:rPr>
                      <w:rFonts w:hint="eastAsia"/>
                      <w:vanish w:val="0"/>
                      <w:color w:val="000000" w:themeColor="text1"/>
                      <w:lang w:eastAsia="zh-CN"/>
                      <w14:textFill>
                        <w14:solidFill>
                          <w14:schemeClr w14:val="tx1"/>
                        </w14:solidFill>
                      </w14:textFill>
                    </w:rPr>
                  </w:pPr>
                </w:p>
              </w:tc>
              <w:tc>
                <w:tcPr>
                  <w:tcW w:w="442" w:type="pct"/>
                  <w:tcBorders>
                    <w:tl2br w:val="nil"/>
                    <w:tr2bl w:val="nil"/>
                  </w:tcBorders>
                  <w:noWrap w:val="0"/>
                  <w:vAlign w:val="center"/>
                </w:tcPr>
                <w:p w14:paraId="1F3A3D3F">
                  <w:pPr>
                    <w:pStyle w:val="65"/>
                    <w:bidi w:val="0"/>
                    <w:ind w:left="0" w:leftChars="0" w:firstLine="0" w:firstLineChars="0"/>
                    <w:rPr>
                      <w:rFonts w:hint="eastAsia"/>
                      <w:vanish w:val="0"/>
                      <w:color w:val="000000" w:themeColor="text1"/>
                      <w:lang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运营期</w:t>
                  </w:r>
                </w:p>
              </w:tc>
              <w:tc>
                <w:tcPr>
                  <w:tcW w:w="3404" w:type="pct"/>
                  <w:tcBorders>
                    <w:tl2br w:val="nil"/>
                    <w:tr2bl w:val="nil"/>
                  </w:tcBorders>
                  <w:noWrap w:val="0"/>
                  <w:vAlign w:val="center"/>
                </w:tcPr>
                <w:p w14:paraId="41D7C925">
                  <w:pPr>
                    <w:keepNext w:val="0"/>
                    <w:keepLines w:val="0"/>
                    <w:widowControl/>
                    <w:suppressLineNumbers w:val="0"/>
                    <w:jc w:val="center"/>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2"/>
                      <w:lang w:val="en-US" w:eastAsia="zh-CN" w:bidi="zh-CN"/>
                      <w14:textFill>
                        <w14:solidFill>
                          <w14:schemeClr w14:val="tx1"/>
                        </w14:solidFill>
                      </w14:textFill>
                    </w:rPr>
                    <w:t>低噪声设备，墙体隔声、减振、水泵柔性连接等</w:t>
                  </w:r>
                </w:p>
              </w:tc>
              <w:tc>
                <w:tcPr>
                  <w:tcW w:w="740" w:type="pct"/>
                  <w:tcBorders>
                    <w:tl2br w:val="nil"/>
                    <w:tr2bl w:val="nil"/>
                  </w:tcBorders>
                  <w:noWrap w:val="0"/>
                  <w:vAlign w:val="center"/>
                </w:tcPr>
                <w:p w14:paraId="6921C83D">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计入工程投资</w:t>
                  </w:r>
                </w:p>
              </w:tc>
            </w:tr>
            <w:tr w14:paraId="7D7001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855" w:type="pct"/>
                  <w:gridSpan w:val="2"/>
                  <w:tcBorders>
                    <w:tl2br w:val="nil"/>
                    <w:tr2bl w:val="nil"/>
                  </w:tcBorders>
                  <w:noWrap w:val="0"/>
                  <w:vAlign w:val="center"/>
                </w:tcPr>
                <w:p w14:paraId="29C97CE6">
                  <w:pPr>
                    <w:pStyle w:val="65"/>
                    <w:bidi w:val="0"/>
                    <w:rPr>
                      <w:vanish w:val="0"/>
                      <w:color w:val="000000" w:themeColor="text1"/>
                      <w14:textFill>
                        <w14:solidFill>
                          <w14:schemeClr w14:val="tx1"/>
                        </w14:solidFill>
                      </w14:textFill>
                    </w:rPr>
                  </w:pPr>
                  <w:r>
                    <w:rPr>
                      <w:vanish w:val="0"/>
                      <w:color w:val="000000" w:themeColor="text1"/>
                      <w14:textFill>
                        <w14:solidFill>
                          <w14:schemeClr w14:val="tx1"/>
                        </w14:solidFill>
                      </w14:textFill>
                    </w:rPr>
                    <w:t>生态保护</w:t>
                  </w:r>
                </w:p>
              </w:tc>
              <w:tc>
                <w:tcPr>
                  <w:tcW w:w="3404" w:type="pct"/>
                  <w:tcBorders>
                    <w:tl2br w:val="nil"/>
                    <w:tr2bl w:val="nil"/>
                  </w:tcBorders>
                  <w:noWrap w:val="0"/>
                  <w:vAlign w:val="center"/>
                </w:tcPr>
                <w:p w14:paraId="3D68E3F8">
                  <w:pPr>
                    <w:pStyle w:val="65"/>
                    <w:bidi w:val="0"/>
                    <w:ind w:left="0" w:leftChars="0" w:right="0" w:rightChars="0" w:firstLine="0" w:firstLineChars="0"/>
                    <w:jc w:val="center"/>
                    <w:rPr>
                      <w:rFonts w:hint="default"/>
                      <w:vanish w:val="0"/>
                      <w:color w:val="000000" w:themeColor="text1"/>
                      <w:lang w:val="en-US" w:eastAsia="zh-CN"/>
                      <w14:textFill>
                        <w14:solidFill>
                          <w14:schemeClr w14:val="tx1"/>
                        </w14:solidFill>
                      </w14:textFill>
                    </w:rPr>
                  </w:pPr>
                  <w:r>
                    <w:rPr>
                      <w:rFonts w:hint="eastAsia"/>
                      <w:vanish w:val="0"/>
                      <w:color w:val="000000" w:themeColor="text1"/>
                      <w:lang w:eastAsia="zh-CN"/>
                      <w14:textFill>
                        <w14:solidFill>
                          <w14:schemeClr w14:val="tx1"/>
                        </w14:solidFill>
                      </w14:textFill>
                    </w:rPr>
                    <w:t>表土剥离、表土回覆利用、</w:t>
                  </w:r>
                  <w:r>
                    <w:rPr>
                      <w:vanish w:val="0"/>
                      <w:color w:val="000000" w:themeColor="text1"/>
                      <w14:textFill>
                        <w14:solidFill>
                          <w14:schemeClr w14:val="tx1"/>
                        </w14:solidFill>
                      </w14:textFill>
                    </w:rPr>
                    <w:t>临时占地</w:t>
                  </w:r>
                  <w:r>
                    <w:rPr>
                      <w:rFonts w:hint="eastAsia"/>
                      <w:vanish w:val="0"/>
                      <w:color w:val="000000" w:themeColor="text1"/>
                      <w:lang w:val="en-US" w:eastAsia="zh-CN"/>
                      <w14:textFill>
                        <w14:solidFill>
                          <w14:schemeClr w14:val="tx1"/>
                        </w14:solidFill>
                      </w14:textFill>
                    </w:rPr>
                    <w:t>恢复等</w:t>
                  </w:r>
                </w:p>
              </w:tc>
              <w:tc>
                <w:tcPr>
                  <w:tcW w:w="740" w:type="pct"/>
                  <w:vMerge w:val="restart"/>
                  <w:tcBorders>
                    <w:tl2br w:val="nil"/>
                    <w:tr2bl w:val="nil"/>
                  </w:tcBorders>
                  <w:noWrap w:val="0"/>
                  <w:vAlign w:val="center"/>
                </w:tcPr>
                <w:p w14:paraId="33B88833">
                  <w:pPr>
                    <w:pStyle w:val="65"/>
                    <w:bidi w:val="0"/>
                    <w:rPr>
                      <w:rFonts w:hint="default"/>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30.0</w:t>
                  </w:r>
                </w:p>
              </w:tc>
            </w:tr>
            <w:tr w14:paraId="2FF1A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855" w:type="pct"/>
                  <w:gridSpan w:val="2"/>
                  <w:tcBorders>
                    <w:tl2br w:val="nil"/>
                    <w:tr2bl w:val="nil"/>
                  </w:tcBorders>
                  <w:noWrap w:val="0"/>
                  <w:vAlign w:val="center"/>
                </w:tcPr>
                <w:p w14:paraId="40908B7A">
                  <w:pPr>
                    <w:pStyle w:val="65"/>
                    <w:bidi w:val="0"/>
                    <w:ind w:firstLine="0" w:firstLineChars="0"/>
                    <w:rPr>
                      <w:rFonts w:hint="default" w:ascii="Times New Roman" w:hAnsi="Times New Roman" w:eastAsia="宋体"/>
                      <w:b w:val="0"/>
                      <w:bCs w:val="0"/>
                      <w:vanish w:val="0"/>
                      <w:color w:val="000000" w:themeColor="text1"/>
                      <w:sz w:val="21"/>
                      <w:szCs w:val="24"/>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水土保持</w:t>
                  </w:r>
                </w:p>
              </w:tc>
              <w:tc>
                <w:tcPr>
                  <w:tcW w:w="3404" w:type="pct"/>
                  <w:tcBorders>
                    <w:tl2br w:val="nil"/>
                    <w:tr2bl w:val="nil"/>
                  </w:tcBorders>
                  <w:noWrap w:val="0"/>
                  <w:vAlign w:val="center"/>
                </w:tcPr>
                <w:p w14:paraId="6AE13580">
                  <w:pPr>
                    <w:pStyle w:val="65"/>
                    <w:bidi w:val="0"/>
                    <w:ind w:left="0" w:leftChars="0" w:right="0" w:rightChars="0" w:firstLine="0" w:firstLineChars="0"/>
                    <w:jc w:val="center"/>
                    <w:rPr>
                      <w:rFonts w:hint="eastAsia" w:ascii="Times New Roman" w:hAnsi="Times New Roman" w:eastAsia="宋体"/>
                      <w:b w:val="0"/>
                      <w:bCs w:val="0"/>
                      <w:vanish w:val="0"/>
                      <w:color w:val="000000" w:themeColor="text1"/>
                      <w:sz w:val="21"/>
                      <w:szCs w:val="24"/>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土地整治、植草绿化等</w:t>
                  </w:r>
                </w:p>
              </w:tc>
              <w:tc>
                <w:tcPr>
                  <w:tcW w:w="740" w:type="pct"/>
                  <w:vMerge w:val="continue"/>
                  <w:tcBorders>
                    <w:tl2br w:val="nil"/>
                    <w:tr2bl w:val="nil"/>
                  </w:tcBorders>
                  <w:noWrap w:val="0"/>
                  <w:vAlign w:val="center"/>
                </w:tcPr>
                <w:p w14:paraId="7B427F6A">
                  <w:pPr>
                    <w:pStyle w:val="65"/>
                    <w:bidi w:val="0"/>
                    <w:ind w:firstLine="0" w:firstLineChars="0"/>
                    <w:rPr>
                      <w:rFonts w:hint="eastAsia" w:ascii="Times New Roman" w:hAnsi="Times New Roman" w:eastAsia="宋体"/>
                      <w:b w:val="0"/>
                      <w:bCs w:val="0"/>
                      <w:vanish w:val="0"/>
                      <w:color w:val="000000" w:themeColor="text1"/>
                      <w:sz w:val="21"/>
                      <w:szCs w:val="24"/>
                      <w:lang w:val="en-US" w:eastAsia="zh-CN"/>
                      <w14:textFill>
                        <w14:solidFill>
                          <w14:schemeClr w14:val="tx1"/>
                        </w14:solidFill>
                      </w14:textFill>
                    </w:rPr>
                  </w:pPr>
                </w:p>
              </w:tc>
            </w:tr>
            <w:tr w14:paraId="42F98A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hidden/>
              </w:trPr>
              <w:tc>
                <w:tcPr>
                  <w:tcW w:w="4259" w:type="pct"/>
                  <w:gridSpan w:val="3"/>
                  <w:tcBorders>
                    <w:tl2br w:val="nil"/>
                    <w:tr2bl w:val="nil"/>
                  </w:tcBorders>
                  <w:noWrap w:val="0"/>
                  <w:vAlign w:val="center"/>
                </w:tcPr>
                <w:p w14:paraId="709D4E6E">
                  <w:pPr>
                    <w:pStyle w:val="65"/>
                    <w:bidi w:val="0"/>
                    <w:rPr>
                      <w:b/>
                      <w:bCs/>
                      <w:vanish w:val="0"/>
                      <w:color w:val="000000" w:themeColor="text1"/>
                      <w:lang w:eastAsia="zh-CN"/>
                      <w14:textFill>
                        <w14:solidFill>
                          <w14:schemeClr w14:val="tx1"/>
                        </w14:solidFill>
                      </w14:textFill>
                    </w:rPr>
                  </w:pPr>
                  <w:r>
                    <w:rPr>
                      <w:rFonts w:hint="eastAsia"/>
                      <w:b/>
                      <w:bCs/>
                      <w:vanish w:val="0"/>
                      <w:color w:val="000000" w:themeColor="text1"/>
                      <w:lang w:eastAsia="zh-CN"/>
                      <w14:textFill>
                        <w14:solidFill>
                          <w14:schemeClr w14:val="tx1"/>
                        </w14:solidFill>
                      </w14:textFill>
                    </w:rPr>
                    <w:t>合计</w:t>
                  </w:r>
                </w:p>
              </w:tc>
              <w:tc>
                <w:tcPr>
                  <w:tcW w:w="740" w:type="pct"/>
                  <w:tcBorders>
                    <w:tl2br w:val="nil"/>
                    <w:tr2bl w:val="nil"/>
                  </w:tcBorders>
                  <w:noWrap w:val="0"/>
                  <w:vAlign w:val="center"/>
                </w:tcPr>
                <w:p w14:paraId="562C6A5F">
                  <w:pPr>
                    <w:pStyle w:val="65"/>
                    <w:bidi w:val="0"/>
                    <w:rPr>
                      <w:rFonts w:hint="default"/>
                      <w:b/>
                      <w:bCs/>
                      <w:vanish w:val="0"/>
                      <w:color w:val="000000" w:themeColor="text1"/>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73.6</w:t>
                  </w:r>
                </w:p>
              </w:tc>
            </w:tr>
          </w:tbl>
          <w:p w14:paraId="27DC2A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nish w:val="0"/>
                <w:color w:val="000000" w:themeColor="text1"/>
                <w:sz w:val="21"/>
                <w:szCs w:val="21"/>
                <w14:textFill>
                  <w14:solidFill>
                    <w14:schemeClr w14:val="tx1"/>
                  </w14:solidFill>
                </w14:textFill>
              </w:rPr>
            </w:pPr>
          </w:p>
          <w:p w14:paraId="55156234">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p>
        </w:tc>
      </w:tr>
    </w:tbl>
    <w:p w14:paraId="2AB2556C">
      <w:pPr>
        <w:adjustRightInd w:val="0"/>
        <w:snapToGrid w:val="0"/>
        <w:spacing w:line="360" w:lineRule="auto"/>
        <w:rPr>
          <w:rFonts w:hint="default" w:ascii="Times New Roman" w:hAnsi="Times New Roman" w:cs="Times New Roman"/>
          <w:b/>
          <w:vanish w:val="0"/>
          <w:color w:val="000000" w:themeColor="text1"/>
          <w:kern w:val="0"/>
          <w:sz w:val="28"/>
          <w:szCs w:val="28"/>
          <w14:textFill>
            <w14:solidFill>
              <w14:schemeClr w14:val="tx1"/>
            </w14:solidFill>
          </w14:textFill>
        </w:rPr>
        <w:sectPr>
          <w:pgSz w:w="11907" w:h="16840"/>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p w14:paraId="2265F5F1">
      <w:pPr>
        <w:pStyle w:val="20"/>
        <w:jc w:val="center"/>
        <w:outlineLvl w:val="0"/>
        <w:rPr>
          <w:rFonts w:hint="default" w:ascii="Times New Roman" w:hAnsi="Times New Roman" w:eastAsia="黑体" w:cs="Times New Roman"/>
          <w:snapToGrid w:val="0"/>
          <w:vanish w:val="0"/>
          <w:color w:val="000000" w:themeColor="text1"/>
          <w:sz w:val="30"/>
          <w:szCs w:val="30"/>
          <w14:textFill>
            <w14:solidFill>
              <w14:schemeClr w14:val="tx1"/>
            </w14:solidFill>
          </w14:textFill>
        </w:rPr>
      </w:pPr>
      <w:r>
        <w:rPr>
          <w:rFonts w:hint="default" w:ascii="Times New Roman" w:hAnsi="Times New Roman" w:eastAsia="黑体" w:cs="Times New Roman"/>
          <w:snapToGrid w:val="0"/>
          <w:vanish w:val="0"/>
          <w:color w:val="000000" w:themeColor="text1"/>
          <w:sz w:val="30"/>
          <w:szCs w:val="30"/>
          <w14:textFill>
            <w14:solidFill>
              <w14:schemeClr w14:val="tx1"/>
            </w14:solidFill>
          </w14:textFill>
        </w:rPr>
        <w:t>五、</w:t>
      </w:r>
      <w:bookmarkStart w:id="11" w:name="_Hlk54167917"/>
      <w:r>
        <w:rPr>
          <w:rFonts w:hint="default" w:ascii="Times New Roman" w:hAnsi="Times New Roman" w:eastAsia="黑体" w:cs="Times New Roman"/>
          <w:snapToGrid w:val="0"/>
          <w:vanish w:val="0"/>
          <w:color w:val="000000" w:themeColor="text1"/>
          <w:sz w:val="30"/>
          <w:szCs w:val="30"/>
          <w14:textFill>
            <w14:solidFill>
              <w14:schemeClr w14:val="tx1"/>
            </w14:solidFill>
          </w14:textFill>
        </w:rPr>
        <w:t>环境保护措施监督检查清单</w:t>
      </w:r>
      <w:bookmarkEnd w:id="1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590"/>
        <w:gridCol w:w="1301"/>
        <w:gridCol w:w="2392"/>
        <w:gridCol w:w="1955"/>
      </w:tblGrid>
      <w:tr w14:paraId="72220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tcBorders>
              <w:tl2br w:val="single" w:color="auto" w:sz="4" w:space="0"/>
            </w:tcBorders>
            <w:noWrap w:val="0"/>
            <w:vAlign w:val="top"/>
          </w:tcPr>
          <w:p w14:paraId="00A45912">
            <w:pPr>
              <w:adjustRightInd w:val="0"/>
              <w:snapToGrid w:val="0"/>
              <w:ind w:firstLine="840"/>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内容</w:t>
            </w:r>
          </w:p>
          <w:p w14:paraId="597FE550">
            <w:pPr>
              <w:adjustRightInd w:val="0"/>
              <w:snapToGrid w:val="0"/>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要素</w:t>
            </w:r>
          </w:p>
        </w:tc>
        <w:tc>
          <w:tcPr>
            <w:tcW w:w="1590" w:type="dxa"/>
            <w:noWrap w:val="0"/>
            <w:vAlign w:val="center"/>
          </w:tcPr>
          <w:p w14:paraId="54E51E22">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排放口</w:t>
            </w: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编号、</w:t>
            </w:r>
          </w:p>
          <w:p w14:paraId="03A00A91">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名称</w:t>
            </w:r>
            <w:r>
              <w:rPr>
                <w:rFonts w:hint="eastAsia" w:ascii="Times New Roman" w:hAnsi="Times New Roman" w:cs="Times New Roman"/>
                <w:vanish w:val="0"/>
                <w:color w:val="000000" w:themeColor="text1"/>
                <w:szCs w:val="21"/>
                <w:lang w:eastAsia="zh-CN"/>
                <w14:textFill>
                  <w14:solidFill>
                    <w14:schemeClr w14:val="tx1"/>
                  </w14:solidFill>
                </w14:textFill>
              </w:rPr>
              <w:t>）</w:t>
            </w:r>
            <w:r>
              <w:rPr>
                <w:rFonts w:hint="default" w:ascii="Times New Roman" w:hAnsi="Times New Roman" w:cs="Times New Roman"/>
                <w:vanish w:val="0"/>
                <w:color w:val="000000" w:themeColor="text1"/>
                <w:szCs w:val="21"/>
                <w14:textFill>
                  <w14:solidFill>
                    <w14:schemeClr w14:val="tx1"/>
                  </w14:solidFill>
                </w14:textFill>
              </w:rPr>
              <w:t>/污染源</w:t>
            </w:r>
          </w:p>
        </w:tc>
        <w:tc>
          <w:tcPr>
            <w:tcW w:w="1301" w:type="dxa"/>
            <w:noWrap w:val="0"/>
            <w:vAlign w:val="center"/>
          </w:tcPr>
          <w:p w14:paraId="55780BE9">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污染物项目</w:t>
            </w:r>
          </w:p>
        </w:tc>
        <w:tc>
          <w:tcPr>
            <w:tcW w:w="2392" w:type="dxa"/>
            <w:noWrap w:val="0"/>
            <w:vAlign w:val="center"/>
          </w:tcPr>
          <w:p w14:paraId="1A15D512">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环境保护措施</w:t>
            </w:r>
          </w:p>
        </w:tc>
        <w:tc>
          <w:tcPr>
            <w:tcW w:w="1955" w:type="dxa"/>
            <w:noWrap w:val="0"/>
            <w:vAlign w:val="center"/>
          </w:tcPr>
          <w:p w14:paraId="2A414165">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执行标准</w:t>
            </w:r>
          </w:p>
        </w:tc>
      </w:tr>
      <w:tr w14:paraId="64022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 w:hRule="atLeast"/>
          <w:jc w:val="center"/>
          <w:hidden/>
        </w:trPr>
        <w:tc>
          <w:tcPr>
            <w:tcW w:w="1562" w:type="dxa"/>
            <w:noWrap w:val="0"/>
            <w:vAlign w:val="center"/>
          </w:tcPr>
          <w:p w14:paraId="68EB5B80">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大气环境</w:t>
            </w:r>
          </w:p>
        </w:tc>
        <w:tc>
          <w:tcPr>
            <w:tcW w:w="1590" w:type="dxa"/>
            <w:noWrap w:val="0"/>
            <w:vAlign w:val="center"/>
          </w:tcPr>
          <w:p w14:paraId="744DD2F7">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w:t>
            </w:r>
          </w:p>
        </w:tc>
        <w:tc>
          <w:tcPr>
            <w:tcW w:w="1301" w:type="dxa"/>
            <w:noWrap w:val="0"/>
            <w:vAlign w:val="center"/>
          </w:tcPr>
          <w:p w14:paraId="071CF86A">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w:t>
            </w:r>
          </w:p>
        </w:tc>
        <w:tc>
          <w:tcPr>
            <w:tcW w:w="2392" w:type="dxa"/>
            <w:noWrap w:val="0"/>
            <w:vAlign w:val="center"/>
          </w:tcPr>
          <w:p w14:paraId="26FD4BE0">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w:t>
            </w:r>
          </w:p>
        </w:tc>
        <w:tc>
          <w:tcPr>
            <w:tcW w:w="1955" w:type="dxa"/>
            <w:noWrap w:val="0"/>
            <w:vAlign w:val="center"/>
          </w:tcPr>
          <w:p w14:paraId="0FA41449">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w:t>
            </w:r>
          </w:p>
        </w:tc>
      </w:tr>
      <w:tr w14:paraId="63590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hidden/>
        </w:trPr>
        <w:tc>
          <w:tcPr>
            <w:tcW w:w="1562" w:type="dxa"/>
            <w:vMerge w:val="restart"/>
            <w:noWrap w:val="0"/>
            <w:vAlign w:val="center"/>
          </w:tcPr>
          <w:p w14:paraId="3E0F57FB">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地表水环境</w:t>
            </w:r>
          </w:p>
        </w:tc>
        <w:tc>
          <w:tcPr>
            <w:tcW w:w="1590" w:type="dxa"/>
            <w:noWrap w:val="0"/>
            <w:vAlign w:val="center"/>
          </w:tcPr>
          <w:p w14:paraId="0F2ACD7C">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生活污水</w:t>
            </w:r>
          </w:p>
        </w:tc>
        <w:tc>
          <w:tcPr>
            <w:tcW w:w="1301" w:type="dxa"/>
            <w:noWrap w:val="0"/>
            <w:vAlign w:val="center"/>
          </w:tcPr>
          <w:p w14:paraId="62353382">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CODCr</w:t>
            </w:r>
          </w:p>
          <w:p w14:paraId="33C838B8">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BOD</w:t>
            </w:r>
            <w:r>
              <w:rPr>
                <w:rFonts w:hint="default" w:ascii="Times New Roman" w:hAnsi="Times New Roman" w:eastAsia="宋体" w:cs="Times New Roman"/>
                <w:vanish w:val="0"/>
                <w:color w:val="000000" w:themeColor="text1"/>
                <w:spacing w:val="0"/>
                <w:kern w:val="2"/>
                <w:sz w:val="21"/>
                <w:szCs w:val="21"/>
                <w:vertAlign w:val="subscript"/>
                <w:lang w:val="en-US" w:eastAsia="zh-CN" w:bidi="ar-SA"/>
                <w14:textFill>
                  <w14:solidFill>
                    <w14:schemeClr w14:val="tx1"/>
                  </w14:solidFill>
                </w14:textFill>
              </w:rPr>
              <w:t>5</w:t>
            </w:r>
          </w:p>
          <w:p w14:paraId="11A6B18A">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SS</w:t>
            </w:r>
          </w:p>
          <w:p w14:paraId="47559354">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NH3-N 、</w:t>
            </w:r>
          </w:p>
          <w:p w14:paraId="30EC524C">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石油类</w:t>
            </w:r>
          </w:p>
        </w:tc>
        <w:tc>
          <w:tcPr>
            <w:tcW w:w="2392" w:type="dxa"/>
            <w:noWrap w:val="0"/>
            <w:vAlign w:val="center"/>
          </w:tcPr>
          <w:p w14:paraId="1D166122">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净化水厂设置</w:t>
            </w:r>
            <w:r>
              <w:rPr>
                <w:rFonts w:hint="eastAsia"/>
                <w:vanish w:val="0"/>
                <w:color w:val="000000" w:themeColor="text1"/>
                <w:lang w:val="en-US" w:eastAsia="zh-CN"/>
                <w14:textFill>
                  <w14:solidFill>
                    <w14:schemeClr w14:val="tx1"/>
                  </w14:solidFill>
                </w14:textFill>
              </w:rPr>
              <w:t>化粪池</w:t>
            </w:r>
          </w:p>
          <w:p w14:paraId="76A8BDAE">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vanish w:val="0"/>
                <w:color w:val="000000" w:themeColor="text1"/>
                <w:vertAlign w:val="baseline"/>
                <w:lang w:val="en-US" w:eastAsia="zh-CN"/>
                <w14:textFill>
                  <w14:solidFill>
                    <w14:schemeClr w14:val="tx1"/>
                  </w14:solidFill>
                </w14:textFill>
              </w:rPr>
            </w:pPr>
            <w:r>
              <w:rPr>
                <w:rFonts w:hint="eastAsia"/>
                <w:vanish w:val="0"/>
                <w:color w:val="000000" w:themeColor="text1"/>
                <w:lang w:val="en-US" w:eastAsia="zh-CN"/>
                <w14:textFill>
                  <w14:solidFill>
                    <w14:schemeClr w14:val="tx1"/>
                  </w14:solidFill>
                </w14:textFill>
              </w:rPr>
              <w:t>1座，容积2m</w:t>
            </w:r>
            <w:r>
              <w:rPr>
                <w:rFonts w:hint="eastAsia"/>
                <w:vanish w:val="0"/>
                <w:color w:val="000000" w:themeColor="text1"/>
                <w:vertAlign w:val="superscript"/>
                <w:lang w:val="en-US" w:eastAsia="zh-CN"/>
                <w14:textFill>
                  <w14:solidFill>
                    <w14:schemeClr w14:val="tx1"/>
                  </w14:solidFill>
                </w14:textFill>
              </w:rPr>
              <w:t>3</w:t>
            </w:r>
            <w:r>
              <w:rPr>
                <w:rFonts w:hint="eastAsia"/>
                <w:vanish w:val="0"/>
                <w:color w:val="000000" w:themeColor="text1"/>
                <w:vertAlign w:val="baseline"/>
                <w:lang w:val="en-US" w:eastAsia="zh-CN"/>
                <w14:textFill>
                  <w14:solidFill>
                    <w14:schemeClr w14:val="tx1"/>
                  </w14:solidFill>
                </w14:textFill>
              </w:rPr>
              <w:t>，</w:t>
            </w:r>
          </w:p>
          <w:p w14:paraId="73F281C4">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vanish w:val="0"/>
                <w:color w:val="000000" w:themeColor="text1"/>
                <w:vertAlign w:val="baseline"/>
                <w:lang w:val="en-US" w:eastAsia="zh-CN"/>
                <w14:textFill>
                  <w14:solidFill>
                    <w14:schemeClr w14:val="tx1"/>
                  </w14:solidFill>
                </w14:textFill>
              </w:rPr>
              <w:t>定期清掏施肥</w:t>
            </w:r>
          </w:p>
        </w:tc>
        <w:tc>
          <w:tcPr>
            <w:tcW w:w="1955" w:type="dxa"/>
            <w:noWrap w:val="0"/>
            <w:vAlign w:val="center"/>
          </w:tcPr>
          <w:p w14:paraId="6C6BD1F4">
            <w:pPr>
              <w:adjustRightInd w:val="0"/>
              <w:snapToGrid w:val="0"/>
              <w:jc w:val="center"/>
              <w:rPr>
                <w:rFonts w:hint="eastAsia"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不外排</w:t>
            </w:r>
          </w:p>
        </w:tc>
      </w:tr>
      <w:tr w14:paraId="76B84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hidden/>
        </w:trPr>
        <w:tc>
          <w:tcPr>
            <w:tcW w:w="1562" w:type="dxa"/>
            <w:vMerge w:val="continue"/>
            <w:noWrap w:val="0"/>
            <w:vAlign w:val="center"/>
          </w:tcPr>
          <w:p w14:paraId="452DE1B8">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p>
        </w:tc>
        <w:tc>
          <w:tcPr>
            <w:tcW w:w="1590" w:type="dxa"/>
            <w:noWrap w:val="0"/>
            <w:vAlign w:val="center"/>
          </w:tcPr>
          <w:p w14:paraId="77709AA4">
            <w:pPr>
              <w:jc w:val="center"/>
              <w:rPr>
                <w:vanish w:val="0"/>
                <w:color w:val="000000" w:themeColor="text1"/>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絮凝沉淀池排污水</w:t>
            </w:r>
          </w:p>
          <w:p w14:paraId="5D2E4445">
            <w:pPr>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4"/>
                <w:lang w:val="en-US" w:eastAsia="zh-CN" w:bidi="ar-SA"/>
                <w14:textFill>
                  <w14:solidFill>
                    <w14:schemeClr w14:val="tx1"/>
                  </w14:solidFill>
                </w14:textFill>
              </w:rPr>
              <w:t>V型滤池反冲洗水</w:t>
            </w:r>
          </w:p>
        </w:tc>
        <w:tc>
          <w:tcPr>
            <w:tcW w:w="1301" w:type="dxa"/>
            <w:noWrap w:val="0"/>
            <w:vAlign w:val="center"/>
          </w:tcPr>
          <w:p w14:paraId="48F2E40B">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SS</w:t>
            </w:r>
          </w:p>
        </w:tc>
        <w:tc>
          <w:tcPr>
            <w:tcW w:w="2392" w:type="dxa"/>
            <w:noWrap w:val="0"/>
            <w:vAlign w:val="center"/>
          </w:tcPr>
          <w:p w14:paraId="1FE1077E">
            <w:pPr>
              <w:pStyle w:val="50"/>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经处理</w:t>
            </w: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后回用</w:t>
            </w:r>
          </w:p>
        </w:tc>
        <w:tc>
          <w:tcPr>
            <w:tcW w:w="1955" w:type="dxa"/>
            <w:noWrap w:val="0"/>
            <w:vAlign w:val="center"/>
          </w:tcPr>
          <w:p w14:paraId="199AB730">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不外排</w:t>
            </w:r>
          </w:p>
        </w:tc>
      </w:tr>
      <w:tr w14:paraId="6A686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9" w:hRule="atLeast"/>
          <w:jc w:val="center"/>
          <w:hidden/>
        </w:trPr>
        <w:tc>
          <w:tcPr>
            <w:tcW w:w="1562" w:type="dxa"/>
            <w:noWrap w:val="0"/>
            <w:vAlign w:val="center"/>
          </w:tcPr>
          <w:p w14:paraId="03E94CAE">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声环境</w:t>
            </w:r>
          </w:p>
        </w:tc>
        <w:tc>
          <w:tcPr>
            <w:tcW w:w="1590" w:type="dxa"/>
            <w:noWrap w:val="0"/>
            <w:vAlign w:val="center"/>
          </w:tcPr>
          <w:p w14:paraId="2174265D">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 xml:space="preserve">潜污泵 </w:t>
            </w:r>
          </w:p>
          <w:p w14:paraId="27D1D11D">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水泵等</w:t>
            </w:r>
          </w:p>
        </w:tc>
        <w:tc>
          <w:tcPr>
            <w:tcW w:w="1301" w:type="dxa"/>
            <w:noWrap w:val="0"/>
            <w:vAlign w:val="center"/>
          </w:tcPr>
          <w:p w14:paraId="38F3ACC2">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等效A声级</w:t>
            </w:r>
          </w:p>
        </w:tc>
        <w:tc>
          <w:tcPr>
            <w:tcW w:w="2392" w:type="dxa"/>
            <w:noWrap w:val="0"/>
            <w:vAlign w:val="center"/>
          </w:tcPr>
          <w:p w14:paraId="67861469">
            <w:pPr>
              <w:adjustRightInd w:val="0"/>
              <w:snapToGrid w:val="0"/>
              <w:jc w:val="both"/>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vanish w:val="0"/>
                <w:color w:val="000000" w:themeColor="text1"/>
                <w:kern w:val="0"/>
                <w:sz w:val="21"/>
                <w:szCs w:val="22"/>
                <w:lang w:val="en-US" w:eastAsia="zh-CN" w:bidi="zh-CN"/>
                <w14:textFill>
                  <w14:solidFill>
                    <w14:schemeClr w14:val="tx1"/>
                  </w14:solidFill>
                </w14:textFill>
              </w:rPr>
              <w:t>低噪声设备，墙体隔声、减振、水泵柔性连接等</w:t>
            </w:r>
          </w:p>
        </w:tc>
        <w:tc>
          <w:tcPr>
            <w:tcW w:w="1955" w:type="dxa"/>
            <w:noWrap w:val="0"/>
            <w:vAlign w:val="center"/>
          </w:tcPr>
          <w:p w14:paraId="6B4A9522">
            <w:pPr>
              <w:adjustRightInd w:val="0"/>
              <w:snapToGrid w:val="0"/>
              <w:jc w:val="cente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《工业企业厂界环境噪声排放标准》</w:t>
            </w: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GB12348-2008</w:t>
            </w:r>
            <w:r>
              <w:rPr>
                <w:rFonts w:hint="eastAsia"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vanish w:val="0"/>
                <w:color w:val="000000" w:themeColor="text1"/>
                <w:spacing w:val="0"/>
                <w:kern w:val="2"/>
                <w:sz w:val="21"/>
                <w:szCs w:val="21"/>
                <w:lang w:val="en-US" w:eastAsia="zh-CN" w:bidi="ar-SA"/>
                <w14:textFill>
                  <w14:solidFill>
                    <w14:schemeClr w14:val="tx1"/>
                  </w14:solidFill>
                </w14:textFill>
              </w:rPr>
              <w:t>中的2类标准</w:t>
            </w:r>
          </w:p>
        </w:tc>
      </w:tr>
      <w:tr w14:paraId="789D1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noWrap w:val="0"/>
            <w:vAlign w:val="center"/>
          </w:tcPr>
          <w:p w14:paraId="1C0BF2C7">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电磁辐射</w:t>
            </w:r>
          </w:p>
        </w:tc>
        <w:tc>
          <w:tcPr>
            <w:tcW w:w="1590" w:type="dxa"/>
            <w:noWrap w:val="0"/>
            <w:vAlign w:val="center"/>
          </w:tcPr>
          <w:p w14:paraId="6AE103E9">
            <w:pPr>
              <w:adjustRightInd w:val="0"/>
              <w:snapToGrid w:val="0"/>
              <w:jc w:val="center"/>
              <w:rPr>
                <w:rFonts w:hint="eastAsia" w:ascii="Times New Roman" w:hAnsi="Times New Roman" w:eastAsia="宋体"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w:t>
            </w:r>
          </w:p>
        </w:tc>
        <w:tc>
          <w:tcPr>
            <w:tcW w:w="1301" w:type="dxa"/>
            <w:noWrap w:val="0"/>
            <w:vAlign w:val="center"/>
          </w:tcPr>
          <w:p w14:paraId="5E2DB22A">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w:t>
            </w:r>
          </w:p>
        </w:tc>
        <w:tc>
          <w:tcPr>
            <w:tcW w:w="2392" w:type="dxa"/>
            <w:noWrap w:val="0"/>
            <w:vAlign w:val="center"/>
          </w:tcPr>
          <w:p w14:paraId="3DC8FF4D">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w:t>
            </w:r>
          </w:p>
        </w:tc>
        <w:tc>
          <w:tcPr>
            <w:tcW w:w="1955" w:type="dxa"/>
            <w:noWrap w:val="0"/>
            <w:vAlign w:val="center"/>
          </w:tcPr>
          <w:p w14:paraId="0D07471E">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w:t>
            </w:r>
          </w:p>
        </w:tc>
      </w:tr>
      <w:tr w14:paraId="77163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vMerge w:val="restart"/>
            <w:noWrap w:val="0"/>
            <w:vAlign w:val="center"/>
          </w:tcPr>
          <w:p w14:paraId="5ECEA570">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固体废物</w:t>
            </w:r>
          </w:p>
        </w:tc>
        <w:tc>
          <w:tcPr>
            <w:tcW w:w="1590" w:type="dxa"/>
            <w:noWrap w:val="0"/>
            <w:vAlign w:val="center"/>
          </w:tcPr>
          <w:p w14:paraId="5BD32712">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sz w:val="21"/>
                <w:szCs w:val="21"/>
                <w:highlight w:val="none"/>
                <w:lang w:eastAsia="zh-CN"/>
                <w14:textFill>
                  <w14:solidFill>
                    <w14:schemeClr w14:val="tx1"/>
                  </w14:solidFill>
                </w14:textFill>
              </w:rPr>
              <w:t>员工生活</w:t>
            </w:r>
          </w:p>
        </w:tc>
        <w:tc>
          <w:tcPr>
            <w:tcW w:w="1301" w:type="dxa"/>
            <w:noWrap w:val="0"/>
            <w:vAlign w:val="center"/>
          </w:tcPr>
          <w:p w14:paraId="0FF2511C">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生活垃圾</w:t>
            </w:r>
          </w:p>
        </w:tc>
        <w:tc>
          <w:tcPr>
            <w:tcW w:w="2392" w:type="dxa"/>
            <w:noWrap w:val="0"/>
            <w:vAlign w:val="center"/>
          </w:tcPr>
          <w:p w14:paraId="607D92ED">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垃圾桶收集，</w:t>
            </w:r>
          </w:p>
          <w:p w14:paraId="0ED90875">
            <w:pPr>
              <w:adjustRightInd w:val="0"/>
              <w:snapToGrid w:val="0"/>
              <w:jc w:val="center"/>
              <w:rPr>
                <w:rFonts w:hint="default"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环卫部门处置</w:t>
            </w:r>
          </w:p>
        </w:tc>
        <w:tc>
          <w:tcPr>
            <w:tcW w:w="1955" w:type="dxa"/>
            <w:vMerge w:val="restart"/>
            <w:noWrap w:val="0"/>
            <w:vAlign w:val="center"/>
          </w:tcPr>
          <w:p w14:paraId="13C0C9C5">
            <w:pPr>
              <w:adjustRightInd w:val="0"/>
              <w:snapToGrid w:val="0"/>
              <w:jc w:val="center"/>
              <w:rPr>
                <w:rFonts w:hint="default"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100%处置</w:t>
            </w:r>
          </w:p>
        </w:tc>
      </w:tr>
      <w:tr w14:paraId="41CD3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vMerge w:val="continue"/>
            <w:noWrap w:val="0"/>
            <w:vAlign w:val="center"/>
          </w:tcPr>
          <w:p w14:paraId="5F0BC290">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p>
        </w:tc>
        <w:tc>
          <w:tcPr>
            <w:tcW w:w="1590" w:type="dxa"/>
            <w:noWrap w:val="0"/>
            <w:vAlign w:val="center"/>
          </w:tcPr>
          <w:p w14:paraId="1DD250D3">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sz w:val="21"/>
                <w:szCs w:val="21"/>
                <w:highlight w:val="none"/>
                <w:lang w:val="en-US" w:eastAsia="zh-CN"/>
                <w14:textFill>
                  <w14:solidFill>
                    <w14:schemeClr w14:val="tx1"/>
                  </w14:solidFill>
                </w14:textFill>
              </w:rPr>
              <w:t>净化</w:t>
            </w:r>
          </w:p>
        </w:tc>
        <w:tc>
          <w:tcPr>
            <w:tcW w:w="1301" w:type="dxa"/>
            <w:noWrap w:val="0"/>
            <w:vAlign w:val="center"/>
          </w:tcPr>
          <w:p w14:paraId="6F737E90">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污泥（干基）</w:t>
            </w:r>
          </w:p>
        </w:tc>
        <w:tc>
          <w:tcPr>
            <w:tcW w:w="2392" w:type="dxa"/>
            <w:noWrap w:val="0"/>
            <w:vAlign w:val="center"/>
          </w:tcPr>
          <w:p w14:paraId="03A49BB9">
            <w:pPr>
              <w:adjustRightInd w:val="0"/>
              <w:snapToGrid w:val="0"/>
              <w:jc w:val="center"/>
              <w:rPr>
                <w:rFonts w:hint="default"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外运综合利用</w:t>
            </w:r>
          </w:p>
        </w:tc>
        <w:tc>
          <w:tcPr>
            <w:tcW w:w="1955" w:type="dxa"/>
            <w:vMerge w:val="continue"/>
            <w:noWrap w:val="0"/>
            <w:vAlign w:val="center"/>
          </w:tcPr>
          <w:p w14:paraId="1233F4D8">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p>
        </w:tc>
      </w:tr>
      <w:tr w14:paraId="42178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vMerge w:val="continue"/>
            <w:noWrap w:val="0"/>
            <w:vAlign w:val="center"/>
          </w:tcPr>
          <w:p w14:paraId="7CC62FD4">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p>
        </w:tc>
        <w:tc>
          <w:tcPr>
            <w:tcW w:w="1590" w:type="dxa"/>
            <w:noWrap w:val="0"/>
            <w:vAlign w:val="center"/>
          </w:tcPr>
          <w:p w14:paraId="57EB36D0">
            <w:pPr>
              <w:keepNext w:val="0"/>
              <w:keepLines w:val="0"/>
              <w:pageBreakBefore w:val="0"/>
              <w:widowControl w:val="0"/>
              <w:numPr>
                <w:ilvl w:val="0"/>
                <w:numId w:val="0"/>
              </w:numPr>
              <w:tabs>
                <w:tab w:val="left" w:pos="0"/>
              </w:tabs>
              <w:kinsoku/>
              <w:wordWrap/>
              <w:overflowPunct/>
              <w:topLinePunct/>
              <w:autoSpaceDE/>
              <w:autoSpaceDN/>
              <w:bidi w:val="0"/>
              <w:adjustRightInd w:val="0"/>
              <w:snapToGrid w:val="0"/>
              <w:spacing w:beforeAutospacing="0" w:afterAutospacing="0" w:line="240" w:lineRule="auto"/>
              <w:ind w:left="0" w:lef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药剂废包装物</w:t>
            </w:r>
          </w:p>
        </w:tc>
        <w:tc>
          <w:tcPr>
            <w:tcW w:w="1301" w:type="dxa"/>
            <w:noWrap w:val="0"/>
            <w:vAlign w:val="center"/>
          </w:tcPr>
          <w:p w14:paraId="69851A6A">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净水原料包装</w:t>
            </w:r>
          </w:p>
        </w:tc>
        <w:tc>
          <w:tcPr>
            <w:tcW w:w="2392" w:type="dxa"/>
            <w:noWrap w:val="0"/>
            <w:vAlign w:val="center"/>
          </w:tcPr>
          <w:p w14:paraId="67681764">
            <w:pPr>
              <w:adjustRightInd w:val="0"/>
              <w:snapToGrid w:val="0"/>
              <w:jc w:val="center"/>
              <w:rPr>
                <w:rFonts w:hint="default"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统一收集外售</w:t>
            </w:r>
          </w:p>
        </w:tc>
        <w:tc>
          <w:tcPr>
            <w:tcW w:w="1955" w:type="dxa"/>
            <w:vMerge w:val="continue"/>
            <w:noWrap w:val="0"/>
            <w:vAlign w:val="center"/>
          </w:tcPr>
          <w:p w14:paraId="39E0E891">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p>
        </w:tc>
      </w:tr>
      <w:tr w14:paraId="56F34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vMerge w:val="continue"/>
            <w:noWrap w:val="0"/>
            <w:vAlign w:val="center"/>
          </w:tcPr>
          <w:p w14:paraId="3D1AAEE8">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p>
        </w:tc>
        <w:tc>
          <w:tcPr>
            <w:tcW w:w="1590" w:type="dxa"/>
            <w:noWrap w:val="0"/>
            <w:vAlign w:val="center"/>
          </w:tcPr>
          <w:p w14:paraId="6ADA00A2">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净水</w:t>
            </w:r>
          </w:p>
        </w:tc>
        <w:tc>
          <w:tcPr>
            <w:tcW w:w="1301" w:type="dxa"/>
            <w:noWrap w:val="0"/>
            <w:vAlign w:val="center"/>
          </w:tcPr>
          <w:p w14:paraId="430F5CB7">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废滤料</w:t>
            </w:r>
          </w:p>
        </w:tc>
        <w:tc>
          <w:tcPr>
            <w:tcW w:w="2392" w:type="dxa"/>
            <w:noWrap w:val="0"/>
            <w:vAlign w:val="center"/>
          </w:tcPr>
          <w:p w14:paraId="582690DC">
            <w:pPr>
              <w:adjustRightInd w:val="0"/>
              <w:snapToGrid w:val="0"/>
              <w:jc w:val="center"/>
              <w:rPr>
                <w:rFonts w:hint="default"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厂界回收更换</w:t>
            </w:r>
          </w:p>
        </w:tc>
        <w:tc>
          <w:tcPr>
            <w:tcW w:w="1955" w:type="dxa"/>
            <w:vMerge w:val="continue"/>
            <w:noWrap w:val="0"/>
            <w:vAlign w:val="center"/>
          </w:tcPr>
          <w:p w14:paraId="3910D283">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p>
        </w:tc>
      </w:tr>
      <w:tr w14:paraId="1A466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vMerge w:val="continue"/>
            <w:noWrap w:val="0"/>
            <w:vAlign w:val="center"/>
          </w:tcPr>
          <w:p w14:paraId="4AC619DC">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p>
        </w:tc>
        <w:tc>
          <w:tcPr>
            <w:tcW w:w="1590" w:type="dxa"/>
            <w:noWrap w:val="0"/>
            <w:vAlign w:val="center"/>
          </w:tcPr>
          <w:p w14:paraId="27A89485">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消毒</w:t>
            </w:r>
          </w:p>
        </w:tc>
        <w:tc>
          <w:tcPr>
            <w:tcW w:w="1301" w:type="dxa"/>
            <w:noWrap w:val="0"/>
            <w:vAlign w:val="center"/>
          </w:tcPr>
          <w:p w14:paraId="5C25A93E">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消毒盐酸废液</w:t>
            </w:r>
          </w:p>
        </w:tc>
        <w:tc>
          <w:tcPr>
            <w:tcW w:w="2392" w:type="dxa"/>
            <w:vMerge w:val="restart"/>
            <w:noWrap w:val="0"/>
            <w:vAlign w:val="center"/>
          </w:tcPr>
          <w:p w14:paraId="131A2170">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暂存于危废贮存库，</w:t>
            </w:r>
          </w:p>
          <w:p w14:paraId="17AB6878">
            <w:pPr>
              <w:adjustRightInd w:val="0"/>
              <w:snapToGrid w:val="0"/>
              <w:jc w:val="center"/>
              <w:rPr>
                <w:rFonts w:hint="default"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cs="Times New Roman"/>
                <w:vanish w:val="0"/>
                <w:color w:val="000000" w:themeColor="text1"/>
                <w:szCs w:val="21"/>
                <w:lang w:val="en-US" w:eastAsia="zh-CN"/>
                <w14:textFill>
                  <w14:solidFill>
                    <w14:schemeClr w14:val="tx1"/>
                  </w14:solidFill>
                </w14:textFill>
              </w:rPr>
              <w:t>定期交有资质单位处置</w:t>
            </w:r>
          </w:p>
        </w:tc>
        <w:tc>
          <w:tcPr>
            <w:tcW w:w="1955" w:type="dxa"/>
            <w:vMerge w:val="continue"/>
            <w:noWrap w:val="0"/>
            <w:vAlign w:val="center"/>
          </w:tcPr>
          <w:p w14:paraId="07D2D60D">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p>
        </w:tc>
      </w:tr>
      <w:tr w14:paraId="45BB7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vMerge w:val="continue"/>
            <w:noWrap w:val="0"/>
            <w:vAlign w:val="center"/>
          </w:tcPr>
          <w:p w14:paraId="75E68640">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p>
        </w:tc>
        <w:tc>
          <w:tcPr>
            <w:tcW w:w="1590" w:type="dxa"/>
            <w:noWrap w:val="0"/>
            <w:vAlign w:val="center"/>
          </w:tcPr>
          <w:p w14:paraId="25C679AE">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消毒</w:t>
            </w:r>
          </w:p>
        </w:tc>
        <w:tc>
          <w:tcPr>
            <w:tcW w:w="1301" w:type="dxa"/>
            <w:noWrap w:val="0"/>
            <w:vAlign w:val="center"/>
          </w:tcPr>
          <w:p w14:paraId="6AFD1D3D">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废酸包装桶</w:t>
            </w:r>
          </w:p>
        </w:tc>
        <w:tc>
          <w:tcPr>
            <w:tcW w:w="2392" w:type="dxa"/>
            <w:vMerge w:val="continue"/>
            <w:noWrap w:val="0"/>
            <w:vAlign w:val="center"/>
          </w:tcPr>
          <w:p w14:paraId="0BFF8A91">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p>
        </w:tc>
        <w:tc>
          <w:tcPr>
            <w:tcW w:w="1955" w:type="dxa"/>
            <w:vMerge w:val="continue"/>
            <w:noWrap w:val="0"/>
            <w:vAlign w:val="center"/>
          </w:tcPr>
          <w:p w14:paraId="47069C35">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p>
        </w:tc>
      </w:tr>
      <w:tr w14:paraId="7065D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hidden/>
        </w:trPr>
        <w:tc>
          <w:tcPr>
            <w:tcW w:w="1562" w:type="dxa"/>
            <w:vMerge w:val="continue"/>
            <w:noWrap w:val="0"/>
            <w:vAlign w:val="center"/>
          </w:tcPr>
          <w:p w14:paraId="72989F12">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p>
        </w:tc>
        <w:tc>
          <w:tcPr>
            <w:tcW w:w="1590" w:type="dxa"/>
            <w:noWrap w:val="0"/>
            <w:vAlign w:val="center"/>
          </w:tcPr>
          <w:p w14:paraId="61F4C74F">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检修</w:t>
            </w:r>
          </w:p>
        </w:tc>
        <w:tc>
          <w:tcPr>
            <w:tcW w:w="1301" w:type="dxa"/>
            <w:noWrap w:val="0"/>
            <w:vAlign w:val="center"/>
          </w:tcPr>
          <w:p w14:paraId="273ACBC1">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vanish w:val="0"/>
                <w:color w:val="000000" w:themeColor="text1"/>
                <w:szCs w:val="2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废矿物油</w:t>
            </w:r>
          </w:p>
        </w:tc>
        <w:tc>
          <w:tcPr>
            <w:tcW w:w="2392" w:type="dxa"/>
            <w:vMerge w:val="continue"/>
            <w:noWrap w:val="0"/>
            <w:vAlign w:val="center"/>
          </w:tcPr>
          <w:p w14:paraId="34E66C21">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p>
        </w:tc>
        <w:tc>
          <w:tcPr>
            <w:tcW w:w="1955" w:type="dxa"/>
            <w:vMerge w:val="continue"/>
            <w:noWrap w:val="0"/>
            <w:vAlign w:val="center"/>
          </w:tcPr>
          <w:p w14:paraId="49D0A80A">
            <w:pPr>
              <w:adjustRightInd w:val="0"/>
              <w:snapToGrid w:val="0"/>
              <w:jc w:val="center"/>
              <w:rPr>
                <w:rFonts w:hint="eastAsia" w:ascii="Times New Roman" w:hAnsi="Times New Roman" w:cs="Times New Roman"/>
                <w:vanish w:val="0"/>
                <w:color w:val="000000" w:themeColor="text1"/>
                <w:szCs w:val="21"/>
                <w:lang w:val="en-US" w:eastAsia="zh-CN"/>
                <w14:textFill>
                  <w14:solidFill>
                    <w14:schemeClr w14:val="tx1"/>
                  </w14:solidFill>
                </w14:textFill>
              </w:rPr>
            </w:pPr>
          </w:p>
        </w:tc>
      </w:tr>
      <w:tr w14:paraId="7C080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8" w:hRule="atLeast"/>
          <w:jc w:val="center"/>
          <w:hidden/>
        </w:trPr>
        <w:tc>
          <w:tcPr>
            <w:tcW w:w="1562" w:type="dxa"/>
            <w:noWrap w:val="0"/>
            <w:vAlign w:val="center"/>
          </w:tcPr>
          <w:p w14:paraId="5A6A6C2E">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土壤及地下水</w:t>
            </w:r>
          </w:p>
          <w:p w14:paraId="0A01682E">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污染防治措施</w:t>
            </w:r>
          </w:p>
        </w:tc>
        <w:tc>
          <w:tcPr>
            <w:tcW w:w="7238" w:type="dxa"/>
            <w:gridSpan w:val="4"/>
            <w:noWrap w:val="0"/>
            <w:vAlign w:val="center"/>
          </w:tcPr>
          <w:p w14:paraId="212EFE73">
            <w:pPr>
              <w:numPr>
                <w:ilvl w:val="0"/>
                <w:numId w:val="0"/>
              </w:numPr>
              <w:spacing w:line="240" w:lineRule="auto"/>
              <w:jc w:val="both"/>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地面除绿化用地外，全部进行水泥硬化处理。</w:t>
            </w:r>
            <w:r>
              <w:rPr>
                <w:rFonts w:hint="eastAsia" w:ascii="Times New Roman" w:hAnsi="Times New Roman" w:eastAsia="宋体" w:cs="Times New Roman"/>
                <w:vanish w:val="0"/>
                <w:color w:val="000000" w:themeColor="text1"/>
                <w:lang w:val="en-US" w:eastAsia="zh-CN"/>
                <w14:textFill>
                  <w14:solidFill>
                    <w14:schemeClr w14:val="tx1"/>
                  </w14:solidFill>
                </w14:textFill>
              </w:rPr>
              <w:t>消毒设施所在区域、危废贮存库</w:t>
            </w:r>
            <w:r>
              <w:rPr>
                <w:rFonts w:hint="default" w:ascii="Times New Roman" w:hAnsi="Times New Roman" w:eastAsia="宋体" w:cs="Times New Roman"/>
                <w:vanish w:val="0"/>
                <w:color w:val="000000" w:themeColor="text1"/>
                <w:sz w:val="21"/>
                <w:szCs w:val="21"/>
                <w:lang w:val="en-US" w:eastAsia="zh-CN"/>
                <w14:textFill>
                  <w14:solidFill>
                    <w14:schemeClr w14:val="tx1"/>
                  </w14:solidFill>
                </w14:textFill>
              </w:rPr>
              <w:t>按</w:t>
            </w:r>
            <w:r>
              <w:rPr>
                <w:rFonts w:hint="default" w:ascii="Times New Roman" w:hAnsi="Times New Roman" w:eastAsia="宋体" w:cs="Times New Roman"/>
                <w:vanish w:val="0"/>
                <w:color w:val="000000" w:themeColor="text1"/>
                <w:sz w:val="21"/>
                <w:szCs w:val="21"/>
                <w14:textFill>
                  <w14:solidFill>
                    <w14:schemeClr w14:val="tx1"/>
                  </w14:solidFill>
                </w14:textFill>
              </w:rPr>
              <w:t>照重点防渗区等级要求采取防渗处理</w:t>
            </w:r>
            <w:r>
              <w:rPr>
                <w:rFonts w:hint="default" w:ascii="Times New Roman" w:hAnsi="Times New Roman" w:eastAsia="宋体" w:cs="Times New Roman"/>
                <w:vanish w:val="0"/>
                <w:color w:val="000000" w:themeColor="text1"/>
                <w:lang w:val="en-US" w:eastAsia="zh-CN"/>
                <w14:textFill>
                  <w14:solidFill>
                    <w14:schemeClr w14:val="tx1"/>
                  </w14:solidFill>
                </w14:textFill>
              </w:rPr>
              <w:t>。</w:t>
            </w:r>
          </w:p>
        </w:tc>
      </w:tr>
      <w:tr w14:paraId="2FC88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hidden/>
        </w:trPr>
        <w:tc>
          <w:tcPr>
            <w:tcW w:w="1562" w:type="dxa"/>
            <w:noWrap w:val="0"/>
            <w:vAlign w:val="center"/>
          </w:tcPr>
          <w:p w14:paraId="53D8D210">
            <w:pPr>
              <w:adjustRightInd w:val="0"/>
              <w:snapToGrid w:val="0"/>
              <w:jc w:val="center"/>
              <w:rPr>
                <w:rFonts w:hint="default" w:ascii="Times New Roman" w:hAnsi="Times New Roman" w:cs="Times New Roman"/>
                <w:vanish w:val="0"/>
                <w:color w:val="000000" w:themeColor="text1"/>
                <w:szCs w:val="21"/>
                <w14:textFill>
                  <w14:solidFill>
                    <w14:schemeClr w14:val="tx1"/>
                  </w14:solidFill>
                </w14:textFill>
              </w:rPr>
            </w:pPr>
            <w:r>
              <w:rPr>
                <w:rFonts w:hint="default" w:ascii="Times New Roman" w:hAnsi="Times New Roman" w:cs="Times New Roman"/>
                <w:vanish w:val="0"/>
                <w:color w:val="000000" w:themeColor="text1"/>
                <w:szCs w:val="21"/>
                <w14:textFill>
                  <w14:solidFill>
                    <w14:schemeClr w14:val="tx1"/>
                  </w14:solidFill>
                </w14:textFill>
              </w:rPr>
              <w:t>生态保护措施</w:t>
            </w:r>
          </w:p>
        </w:tc>
        <w:tc>
          <w:tcPr>
            <w:tcW w:w="7238" w:type="dxa"/>
            <w:gridSpan w:val="4"/>
            <w:noWrap w:val="0"/>
            <w:vAlign w:val="center"/>
          </w:tcPr>
          <w:p w14:paraId="40D8821E">
            <w:pPr>
              <w:numPr>
                <w:ilvl w:val="0"/>
                <w:numId w:val="0"/>
              </w:numPr>
              <w:spacing w:line="240" w:lineRule="auto"/>
              <w:jc w:val="both"/>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净化水厂的建设</w:t>
            </w:r>
            <w:r>
              <w:rPr>
                <w:rFonts w:hint="default" w:ascii="Times New Roman" w:hAnsi="Times New Roman" w:eastAsia="宋体" w:cs="Times New Roman"/>
                <w:vanish w:val="0"/>
                <w:color w:val="000000" w:themeColor="text1"/>
                <w:lang w:val="en-US" w:eastAsia="zh-CN"/>
                <w14:textFill>
                  <w14:solidFill>
                    <w14:schemeClr w14:val="tx1"/>
                  </w14:solidFill>
                </w14:textFill>
              </w:rPr>
              <w:t>以及管道占用新的占地，施工期场地开挖过程中应尽量减少对区域的植被破坏， 注意挖填方的同步性，避免土石方随意堆放的情况发生。对弃土的临时堆放应设置挡墙，尽量减少水土流失的发生。多余的弃方运输至当地住建部门指定的堆放场。施工结束后应对占用区域进行</w:t>
            </w:r>
            <w:r>
              <w:rPr>
                <w:rFonts w:hint="eastAsia" w:ascii="Times New Roman" w:hAnsi="Times New Roman" w:eastAsia="宋体" w:cs="Times New Roman"/>
                <w:vanish w:val="0"/>
                <w:color w:val="000000" w:themeColor="text1"/>
                <w:lang w:val="en-US" w:eastAsia="zh-CN"/>
                <w14:textFill>
                  <w14:solidFill>
                    <w14:schemeClr w14:val="tx1"/>
                  </w14:solidFill>
                </w14:textFill>
              </w:rPr>
              <w:t>覆土回填、</w:t>
            </w:r>
            <w:r>
              <w:rPr>
                <w:rFonts w:hint="default" w:ascii="Times New Roman" w:hAnsi="Times New Roman" w:eastAsia="宋体" w:cs="Times New Roman"/>
                <w:vanish w:val="0"/>
                <w:color w:val="000000" w:themeColor="text1"/>
                <w:lang w:val="en-US" w:eastAsia="zh-CN"/>
                <w14:textFill>
                  <w14:solidFill>
                    <w14:schemeClr w14:val="tx1"/>
                  </w14:solidFill>
                </w14:textFill>
              </w:rPr>
              <w:t>绿化，将水土流失的影响降到最低。</w:t>
            </w:r>
          </w:p>
        </w:tc>
      </w:tr>
      <w:tr w14:paraId="50764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hidden/>
        </w:trPr>
        <w:tc>
          <w:tcPr>
            <w:tcW w:w="1562" w:type="dxa"/>
            <w:noWrap w:val="0"/>
            <w:vAlign w:val="center"/>
          </w:tcPr>
          <w:p w14:paraId="02C2864B">
            <w:pPr>
              <w:adjustRightInd w:val="0"/>
              <w:snapToGrid w:val="0"/>
              <w:jc w:val="center"/>
              <w:rPr>
                <w:rFonts w:hint="default" w:ascii="Times New Roman" w:hAnsi="Times New Roman" w:cs="Times New Roman"/>
                <w:vanish w:val="0"/>
                <w:color w:val="000000" w:themeColor="text1"/>
                <w:spacing w:val="-8"/>
                <w:szCs w:val="21"/>
                <w14:textFill>
                  <w14:solidFill>
                    <w14:schemeClr w14:val="tx1"/>
                  </w14:solidFill>
                </w14:textFill>
              </w:rPr>
            </w:pPr>
            <w:r>
              <w:rPr>
                <w:rFonts w:hint="default" w:ascii="Times New Roman" w:hAnsi="Times New Roman" w:cs="Times New Roman"/>
                <w:vanish w:val="0"/>
                <w:color w:val="000000" w:themeColor="text1"/>
                <w:spacing w:val="-8"/>
                <w:szCs w:val="21"/>
                <w14:textFill>
                  <w14:solidFill>
                    <w14:schemeClr w14:val="tx1"/>
                  </w14:solidFill>
                </w14:textFill>
              </w:rPr>
              <w:t>环境风险</w:t>
            </w:r>
          </w:p>
          <w:p w14:paraId="37FBF709">
            <w:pPr>
              <w:adjustRightInd w:val="0"/>
              <w:snapToGrid w:val="0"/>
              <w:jc w:val="center"/>
              <w:rPr>
                <w:rFonts w:hint="default" w:ascii="Times New Roman" w:hAnsi="Times New Roman" w:cs="Times New Roman"/>
                <w:vanish w:val="0"/>
                <w:color w:val="000000" w:themeColor="text1"/>
                <w:spacing w:val="-8"/>
                <w:szCs w:val="21"/>
                <w14:textFill>
                  <w14:solidFill>
                    <w14:schemeClr w14:val="tx1"/>
                  </w14:solidFill>
                </w14:textFill>
              </w:rPr>
            </w:pPr>
            <w:r>
              <w:rPr>
                <w:rFonts w:hint="default" w:ascii="Times New Roman" w:hAnsi="Times New Roman" w:cs="Times New Roman"/>
                <w:vanish w:val="0"/>
                <w:color w:val="000000" w:themeColor="text1"/>
                <w:spacing w:val="-8"/>
                <w:szCs w:val="21"/>
                <w14:textFill>
                  <w14:solidFill>
                    <w14:schemeClr w14:val="tx1"/>
                  </w14:solidFill>
                </w14:textFill>
              </w:rPr>
              <w:t>防范措施</w:t>
            </w:r>
          </w:p>
        </w:tc>
        <w:tc>
          <w:tcPr>
            <w:tcW w:w="7238" w:type="dxa"/>
            <w:gridSpan w:val="4"/>
            <w:noWrap w:val="0"/>
            <w:vAlign w:val="center"/>
          </w:tcPr>
          <w:p w14:paraId="15F29027">
            <w:pPr>
              <w:numPr>
                <w:ilvl w:val="0"/>
                <w:numId w:val="0"/>
              </w:numPr>
              <w:spacing w:line="240" w:lineRule="auto"/>
              <w:jc w:val="both"/>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编制突发环境事件应急预案、建立环境风险防控和应急措施制度，落实环境风险防控重点岗位责任人，落实定期巡检和维护制度、废水处理设施排泥池、污泥</w:t>
            </w:r>
            <w:r>
              <w:rPr>
                <w:rFonts w:hint="eastAsia" w:ascii="Times New Roman" w:hAnsi="Times New Roman" w:eastAsia="宋体" w:cs="Times New Roman"/>
                <w:vanish w:val="0"/>
                <w:color w:val="000000" w:themeColor="text1"/>
                <w:lang w:val="en-US" w:eastAsia="zh-CN"/>
                <w14:textFill>
                  <w14:solidFill>
                    <w14:schemeClr w14:val="tx1"/>
                  </w14:solidFill>
                </w14:textFill>
              </w:rPr>
              <w:t>固化</w:t>
            </w:r>
            <w:r>
              <w:rPr>
                <w:rFonts w:hint="default" w:ascii="Times New Roman" w:hAnsi="Times New Roman" w:eastAsia="宋体" w:cs="Times New Roman"/>
                <w:vanish w:val="0"/>
                <w:color w:val="000000" w:themeColor="text1"/>
                <w:lang w:val="en-US" w:eastAsia="zh-CN"/>
                <w14:textFill>
                  <w14:solidFill>
                    <w14:schemeClr w14:val="tx1"/>
                  </w14:solidFill>
                </w14:textFill>
              </w:rPr>
              <w:t>池均采用地上式，设置PLC控制系统与液位计，便于泄漏检测与预警、废水处理设施排泥池、污泥平衡池、污泥浓缩池均采用防渗混凝土结构，废水处理区设置监控措施、雨水排口设置切断阀与监控措施、突发水环境污染事件时，关闭雨水排口阀门。</w:t>
            </w:r>
          </w:p>
        </w:tc>
      </w:tr>
      <w:tr w14:paraId="6BE91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hidden/>
        </w:trPr>
        <w:tc>
          <w:tcPr>
            <w:tcW w:w="1562" w:type="dxa"/>
            <w:noWrap w:val="0"/>
            <w:vAlign w:val="center"/>
          </w:tcPr>
          <w:p w14:paraId="784B1563">
            <w:pPr>
              <w:adjustRightInd w:val="0"/>
              <w:snapToGrid w:val="0"/>
              <w:jc w:val="center"/>
              <w:rPr>
                <w:rFonts w:hint="default" w:ascii="Times New Roman" w:hAnsi="Times New Roman" w:cs="Times New Roman"/>
                <w:vanish w:val="0"/>
                <w:color w:val="000000" w:themeColor="text1"/>
                <w:spacing w:val="-8"/>
                <w:szCs w:val="21"/>
                <w14:textFill>
                  <w14:solidFill>
                    <w14:schemeClr w14:val="tx1"/>
                  </w14:solidFill>
                </w14:textFill>
              </w:rPr>
            </w:pPr>
            <w:r>
              <w:rPr>
                <w:rFonts w:hint="default" w:ascii="Times New Roman" w:hAnsi="Times New Roman" w:cs="Times New Roman"/>
                <w:vanish w:val="0"/>
                <w:color w:val="000000" w:themeColor="text1"/>
                <w:spacing w:val="-8"/>
                <w:szCs w:val="21"/>
                <w14:textFill>
                  <w14:solidFill>
                    <w14:schemeClr w14:val="tx1"/>
                  </w14:solidFill>
                </w14:textFill>
              </w:rPr>
              <w:t>其他环境</w:t>
            </w:r>
          </w:p>
          <w:p w14:paraId="636B018C">
            <w:pPr>
              <w:adjustRightInd w:val="0"/>
              <w:snapToGrid w:val="0"/>
              <w:jc w:val="center"/>
              <w:rPr>
                <w:rFonts w:hint="default" w:ascii="Times New Roman" w:hAnsi="Times New Roman" w:cs="Times New Roman"/>
                <w:vanish w:val="0"/>
                <w:color w:val="000000" w:themeColor="text1"/>
                <w:spacing w:val="-8"/>
                <w:szCs w:val="21"/>
                <w14:textFill>
                  <w14:solidFill>
                    <w14:schemeClr w14:val="tx1"/>
                  </w14:solidFill>
                </w14:textFill>
              </w:rPr>
            </w:pPr>
            <w:r>
              <w:rPr>
                <w:rFonts w:hint="default" w:ascii="Times New Roman" w:hAnsi="Times New Roman" w:cs="Times New Roman"/>
                <w:vanish w:val="0"/>
                <w:color w:val="000000" w:themeColor="text1"/>
                <w:spacing w:val="-8"/>
                <w:szCs w:val="21"/>
                <w14:textFill>
                  <w14:solidFill>
                    <w14:schemeClr w14:val="tx1"/>
                  </w14:solidFill>
                </w14:textFill>
              </w:rPr>
              <w:t>管理要求</w:t>
            </w:r>
          </w:p>
        </w:tc>
        <w:tc>
          <w:tcPr>
            <w:tcW w:w="7238" w:type="dxa"/>
            <w:gridSpan w:val="4"/>
            <w:noWrap w:val="0"/>
            <w:vAlign w:val="center"/>
          </w:tcPr>
          <w:p w14:paraId="45271D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严格遵照《中华人民共和国环境保护法》《排污许可证申请与核发技术规范 总则》（HJ942—2018）、《排污单位自行监测技术指南 总则》（HJ 819-2017）、《危险废物贮存污染控制标准》（GB18597-2023）等法律法规、行业标准，建立全流程厂区环境管理制度，落实台账、排污口、环保设施、应急、监测、排污许可等管控要求。</w:t>
            </w:r>
          </w:p>
          <w:p w14:paraId="4EFCE560">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运行期环境管理要求 </w:t>
            </w:r>
          </w:p>
          <w:p w14:paraId="190B8DBB">
            <w:pPr>
              <w:keepNext w:val="0"/>
              <w:keepLines w:val="0"/>
              <w:pageBreakBefore w:val="0"/>
              <w:widowControl w:val="0"/>
              <w:numPr>
                <w:ilvl w:val="0"/>
                <w:numId w:val="1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环境管理台账记录要求 </w:t>
            </w:r>
          </w:p>
          <w:p w14:paraId="5C47652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1.</w:t>
            </w:r>
            <w:r>
              <w:rPr>
                <w:rFonts w:hint="default" w:ascii="Times New Roman" w:hAnsi="Times New Roman" w:cs="Times New Roman"/>
                <w:vanish w:val="0"/>
                <w:color w:val="000000" w:themeColor="text1"/>
                <w:sz w:val="21"/>
                <w:szCs w:val="21"/>
                <w14:textFill>
                  <w14:solidFill>
                    <w14:schemeClr w14:val="tx1"/>
                  </w14:solidFill>
                </w14:textFill>
              </w:rPr>
              <w:t>一般原则水厂设立专职环境管理人员，明确环保岗位职责，建立厂区环境保护责任制，由供水管理站负责人对环境管理台账的真实性、完整性、规范性全权负责。厂区生产、治污设施日常运行按日记录；药剂投加、污泥清运、危废转运等按批次记录；设备检修、酸洗、故障、停水等非正常工况单独建立专项记录。同步建立电子台账+纸质台账两套记录体系，做到数据双向一致、可追溯。</w:t>
            </w:r>
          </w:p>
          <w:p w14:paraId="00C03A4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2.记录内容台账涵盖五大板块基础信息：</w:t>
            </w:r>
          </w:p>
          <w:p w14:paraId="7D10D26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①厂区基础信息（供水规模、工艺、药剂清单、环保设施配置）；</w:t>
            </w:r>
          </w:p>
          <w:p w14:paraId="67C154D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②生产设施运行信息（大口取水泵、一体化净水设备、次氯酸钠发生器启停、运行时长、取水量、供水量）；</w:t>
            </w:r>
          </w:p>
          <w:p w14:paraId="1EB8F61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③污染防治设施运行信息（PAC/PAM 加药系统、次氯酸钠消毒设备、污泥排放、氢气排风、化粪池运行参数）；</w:t>
            </w:r>
          </w:p>
          <w:p w14:paraId="4922FCE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④监测记录（进水 / 出水浊度、pH、余氯、厂界噪声、污泥检测、危废鉴别等）；</w:t>
            </w:r>
          </w:p>
          <w:p w14:paraId="3B60BDA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⑤其他环境管理信息（药剂出入库、固废 / 危废转运台账、设备检修记录、环保培训、应急演练等）。 </w:t>
            </w:r>
          </w:p>
          <w:p w14:paraId="2D8CB7F6">
            <w:pPr>
              <w:keepNext w:val="0"/>
              <w:keepLines w:val="0"/>
              <w:pageBreakBefore w:val="0"/>
              <w:widowControl w:val="0"/>
              <w:numPr>
                <w:ilvl w:val="0"/>
                <w:numId w:val="11"/>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记录频次</w:t>
            </w:r>
          </w:p>
          <w:p w14:paraId="4F19A4D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（1）生产设施：一体化净水设备、取水水泵、次氯酸钠发生器正常工况每日记录 1 次；设备停机、故障、反洗、酸洗等非正常工况，每段工况单独记录 1 次。</w:t>
            </w:r>
          </w:p>
          <w:p w14:paraId="79D9DEF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（2）污染防治设施：加药装置、消毒设备、通风系统、化粪池正常运行每日记录；污泥排泥、危废转运、设备故障等非正常工况逐次记录。</w:t>
            </w:r>
          </w:p>
          <w:p w14:paraId="180D39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（3）监测记录：水质、噪声监测严格按照 HJ1086 要求执行，每次监测同步记录当日水厂进水水量、设备运行负荷等生产工况。 </w:t>
            </w:r>
          </w:p>
          <w:p w14:paraId="6C447A0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4. 记录存储及保存纸质台账统一收纳环保档案盒，专人定点锁存存放，做好避光、防潮、防尘防护；台账涂改、破损及时补录修补，纸质资料留存不少于 5 年。电子台账存储于厂区专用工控电脑，定期云端 / 硬盘双备份，同步在全国排污许可管理信息平台填报上传，由环保管理员每月维护核对，防止数据丢失。  </w:t>
            </w:r>
          </w:p>
          <w:p w14:paraId="737877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（二）污染治理设施专项管理 </w:t>
            </w:r>
          </w:p>
          <w:p w14:paraId="713EA5A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1.噪声排放管理 </w:t>
            </w:r>
          </w:p>
          <w:p w14:paraId="72A441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厂区噪声源主要为取水泵、一体化净水设备、加药计量泵、排风风机、消毒主机。</w:t>
            </w:r>
          </w:p>
          <w:p w14:paraId="2BF681C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① 建立设备季度保养制度，定期更换轴承、减震垫，减少机械振动噪声；</w:t>
            </w:r>
          </w:p>
          <w:p w14:paraId="215A63C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② 风机、水泵等高噪声设备底部配套橡胶减振基础，厂房墙体做简易吸音处理；</w:t>
            </w:r>
          </w:p>
          <w:p w14:paraId="55DCB73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③ 每年委托第三方检测机构开展1次厂界噪声监测，留存监测报告，噪声超标立即检修设备、增设降噪措施。</w:t>
            </w:r>
          </w:p>
          <w:p w14:paraId="76DE639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2.固体废物全过程管理厂区固废分为一般工业固废、危险废物、生活垃圾三类，实行分类分区、台账化管理：</w:t>
            </w:r>
          </w:p>
          <w:p w14:paraId="189DB47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① 每日记录沉淀池污泥、废滤料、药剂废包装袋、废机油、酸洗危废的产生量、贮存量、外运处置量，各类固废外运量之和与产生量保持平衡；</w:t>
            </w:r>
          </w:p>
          <w:p w14:paraId="09DAC0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② 一般固废（水厂污泥、废石英砂、药剂编织袋）分区堆放，防雨抑尘；危险废物（废盐酸废液、沾染酸塑料桶、废机油）密闭防渗贮存，执行危废联单转运；</w:t>
            </w:r>
          </w:p>
          <w:p w14:paraId="3FDF9A5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③ 生活垃圾单独收集，定期移交村镇环卫统一清运，台账记录清运频次、清运量。 </w:t>
            </w:r>
          </w:p>
          <w:p w14:paraId="1A03AFA8">
            <w:pPr>
              <w:keepNext w:val="0"/>
              <w:keepLines w:val="0"/>
              <w:pageBreakBefore w:val="0"/>
              <w:widowControl w:val="0"/>
              <w:numPr>
                <w:ilvl w:val="0"/>
                <w:numId w:val="0"/>
              </w:numPr>
              <w:suppressLineNumbers w:val="0"/>
              <w:tabs>
                <w:tab w:val="center" w:pos="3511"/>
              </w:tabs>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eastAsia" w:ascii="Times New Roman" w:hAnsi="Times New Roman" w:eastAsia="宋体" w:cs="Times New Roman"/>
                <w:vanish w:val="0"/>
                <w:color w:val="000000" w:themeColor="text1"/>
                <w:sz w:val="21"/>
                <w:szCs w:val="21"/>
                <w:lang w:eastAsia="zh-CN"/>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二、排污口规范化整治 </w:t>
            </w:r>
          </w:p>
          <w:p w14:paraId="7A2E31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严格依据《排污口规范化整治技术要求（试行）》（环监〔1996〕470 号）、《固定源废气监测技术规范》（HJ/T397-2007）、《排污单位污染物排放口监测点位设置技术规范》（HJ1405-2024）开展排污口标准化建设，所有废水、废气、噪声、固废贮存点位统一设置环保图形标志牌，绘制厂区排污口平面分布图，配套在线 / 人工监测点位，满足生态环境部门日常监管。 </w:t>
            </w:r>
          </w:p>
          <w:p w14:paraId="6BA843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200" w:right="0" w:rightChars="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三、</w:t>
            </w:r>
            <w:r>
              <w:rPr>
                <w:rFonts w:hint="default" w:ascii="Times New Roman" w:hAnsi="Times New Roman" w:cs="Times New Roman"/>
                <w:vanish w:val="0"/>
                <w:color w:val="000000" w:themeColor="text1"/>
                <w:sz w:val="21"/>
                <w:szCs w:val="21"/>
                <w14:textFill>
                  <w14:solidFill>
                    <w14:schemeClr w14:val="tx1"/>
                  </w14:solidFill>
                </w14:textFill>
              </w:rPr>
              <w:t xml:space="preserve">环保设施运维管理措施 </w:t>
            </w:r>
          </w:p>
          <w:p w14:paraId="2BB5EB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本项目环保设施包含一体化净水设备、PAC/PAM自动加药系统、次氯酸钠消毒装置、污泥排泥装置、化粪池、危废贮存设施，落实专人定岗运维： </w:t>
            </w:r>
          </w:p>
          <w:p w14:paraId="330B93AE">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安排净水厂当班人员兼任环保设备管理员，每日巡检加药泵、电解主机、排泥阀、通风风机运行状态，记录设备运行参数，发现渗漏、停机、药剂不足等隐患立即处置；</w:t>
            </w:r>
          </w:p>
          <w:p w14:paraId="5360E832">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按照设备说明书定期清洗絮凝、沉淀、滤池单元，按时更换石英滤料、电解钛极板、计量泵膜片，保障水处理、消毒效率稳定；</w:t>
            </w:r>
          </w:p>
          <w:p w14:paraId="04705B6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3 定期组织厂区操作人员环保岗位培训，掌握药剂规范投加、危废收集、泄漏应急处置技能；每年委托具备CMA资质第三方检测机构开展水质、噪声、污泥监测； </w:t>
            </w:r>
          </w:p>
          <w:p w14:paraId="27DE0BF4">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建立设备检修台账，计划性停机检修提前报备生态环境主管部门，最大限度缩短环保设施停运时长，避免出水水质超标、废气无序排放。</w:t>
            </w:r>
          </w:p>
          <w:p w14:paraId="7B92A80A">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突发环境事件应急预案项目投产、环保验收前，编制《集中供水厂突发环境事件应急预案》，涵盖盐酸泄漏、次氯酸钠溢液、污泥大量外溢、药剂运输泄漏、水质突发污染等情景，完善应急物资清单（纯碱、沙土、防护用具、应急收集桶），完成应急预案编制并向太白县生态环境分局备案；每年至少组织 1 次现场应急演练，更新完善应急处置流程。 </w:t>
            </w:r>
          </w:p>
          <w:p w14:paraId="3387A6FA">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自行例行监测计划 </w:t>
            </w:r>
          </w:p>
          <w:p w14:paraId="0142DF5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eastAsia" w:ascii="Times New Roman" w:hAnsi="Times New Roman" w:cs="Times New Roman"/>
                <w:vanish w:val="0"/>
                <w:color w:val="000000" w:themeColor="text1"/>
                <w:sz w:val="21"/>
                <w:szCs w:val="21"/>
                <w:lang w:eastAsia="zh-CN"/>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全厂水质、噪声、固废监测全部委托具备资质第三方机构实施，严格遵循《排污单位自行监测技术指南 总则》（HJ819-2017）制定年度监测方案</w:t>
            </w:r>
            <w:r>
              <w:rPr>
                <w:rFonts w:hint="eastAsia" w:ascii="Times New Roman" w:hAnsi="Times New Roman" w:cs="Times New Roman"/>
                <w:vanish w:val="0"/>
                <w:color w:val="000000" w:themeColor="text1"/>
                <w:sz w:val="21"/>
                <w:szCs w:val="21"/>
                <w:lang w:eastAsia="zh-CN"/>
                <w14:textFill>
                  <w14:solidFill>
                    <w14:schemeClr w14:val="tx1"/>
                  </w14:solidFill>
                </w14:textFill>
              </w:rPr>
              <w:t>。</w:t>
            </w:r>
          </w:p>
          <w:p w14:paraId="4F7537C5">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vanish w:val="0"/>
                <w:color w:val="000000" w:themeColor="text1"/>
                <w:sz w:val="21"/>
                <w:szCs w:val="21"/>
                <w14:textFill>
                  <w14:solidFill>
                    <w14:schemeClr w14:val="tx1"/>
                  </w14:solidFill>
                </w14:textFill>
              </w:rPr>
            </w:pPr>
            <w:r>
              <w:rPr>
                <w:rFonts w:hint="default" w:ascii="Times New Roman" w:hAnsi="Times New Roman" w:cs="Times New Roman"/>
                <w:vanish w:val="0"/>
                <w:color w:val="000000" w:themeColor="text1"/>
                <w:sz w:val="21"/>
                <w:szCs w:val="21"/>
                <w14:textFill>
                  <w14:solidFill>
                    <w14:schemeClr w14:val="tx1"/>
                  </w14:solidFill>
                </w14:textFill>
              </w:rPr>
              <w:t xml:space="preserve">排污许可办理要求 项目竣工环保验收前，依据《固定污染源排污许可分类管理名录（2019 年版）》完成排污登记，在全国排污许可证管理信息平台填报水厂供水规模、工艺、污染物产排、环保设施信息，依法取得排污登记回执，日常按排污管理要求提交执行报告、上传监测数据、台账资料。 </w:t>
            </w:r>
          </w:p>
          <w:p w14:paraId="55A3A67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0" w:firstLineChars="200"/>
              <w:jc w:val="left"/>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lang w:val="en-US" w:eastAsia="zh-CN"/>
                <w14:textFill>
                  <w14:solidFill>
                    <w14:schemeClr w14:val="tx1"/>
                  </w14:solidFill>
                </w14:textFill>
              </w:rPr>
              <w:t>八</w:t>
            </w:r>
            <w:r>
              <w:rPr>
                <w:rFonts w:hint="default" w:ascii="Times New Roman" w:hAnsi="Times New Roman" w:cs="Times New Roman"/>
                <w:vanish w:val="0"/>
                <w:color w:val="000000" w:themeColor="text1"/>
                <w:sz w:val="21"/>
                <w:szCs w:val="21"/>
                <w14:textFill>
                  <w14:solidFill>
                    <w14:schemeClr w14:val="tx1"/>
                  </w14:solidFill>
                </w14:textFill>
              </w:rPr>
              <w:t>、重污染天气应急管控方案 结合太白县区域重污染天气管控要求，编制水厂重污染天气应急操作方案：本项目无生产燃煤、大量大气污染物产生，重污染预警期间，强化厂区扬尘管控（污泥、药剂堆放全覆盖），加大车间通风频次，减少药剂扬尘无组织扩散；同步暂停厂区土方、场地清扫等易扬尘作业，落实低污染运维措施，响应地方大气减排管控指令。</w:t>
            </w:r>
          </w:p>
          <w:p w14:paraId="6B544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p>
          <w:p w14:paraId="729233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p>
          <w:p w14:paraId="60B9FB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b w:val="0"/>
                <w:bCs w:val="0"/>
                <w:vanish w:val="0"/>
                <w:color w:val="000000" w:themeColor="text1"/>
                <w:sz w:val="21"/>
                <w:szCs w:val="21"/>
                <w:lang w:val="en-US" w:eastAsia="zh-CN"/>
                <w14:textFill>
                  <w14:solidFill>
                    <w14:schemeClr w14:val="tx1"/>
                  </w14:solidFill>
                </w14:textFill>
              </w:rPr>
            </w:pPr>
          </w:p>
          <w:p w14:paraId="550EA13C">
            <w:pPr>
              <w:numPr>
                <w:ilvl w:val="0"/>
                <w:numId w:val="0"/>
              </w:numPr>
              <w:spacing w:line="240" w:lineRule="auto"/>
              <w:ind w:firstLine="420" w:firstLineChars="200"/>
              <w:jc w:val="both"/>
              <w:rPr>
                <w:rFonts w:hint="default" w:ascii="Times New Roman" w:hAnsi="Times New Roman" w:eastAsia="宋体" w:cs="Times New Roman"/>
                <w:vanish w:val="0"/>
                <w:color w:val="000000" w:themeColor="text1"/>
                <w:lang w:val="en-US" w:eastAsia="zh-CN"/>
                <w14:textFill>
                  <w14:solidFill>
                    <w14:schemeClr w14:val="tx1"/>
                  </w14:solidFill>
                </w14:textFill>
              </w:rPr>
            </w:pPr>
          </w:p>
        </w:tc>
      </w:tr>
    </w:tbl>
    <w:p w14:paraId="32F03C5F">
      <w:pPr>
        <w:pStyle w:val="20"/>
        <w:jc w:val="center"/>
        <w:outlineLvl w:val="0"/>
        <w:rPr>
          <w:rFonts w:hint="default" w:ascii="Times New Roman" w:hAnsi="Times New Roman" w:eastAsia="黑体" w:cs="Times New Roman"/>
          <w:snapToGrid w:val="0"/>
          <w:vanish w:val="0"/>
          <w:color w:val="000000" w:themeColor="text1"/>
          <w:sz w:val="30"/>
          <w:szCs w:val="30"/>
          <w14:textFill>
            <w14:solidFill>
              <w14:schemeClr w14:val="tx1"/>
            </w14:solidFill>
          </w14:textFill>
        </w:rPr>
      </w:pPr>
      <w:r>
        <w:rPr>
          <w:rFonts w:hint="default" w:ascii="Times New Roman" w:hAnsi="Times New Roman" w:cs="Times New Roman"/>
          <w:snapToGrid w:val="0"/>
          <w:vanish w:val="0"/>
          <w:color w:val="000000" w:themeColor="text1"/>
          <w14:textFill>
            <w14:solidFill>
              <w14:schemeClr w14:val="tx1"/>
            </w14:solidFill>
          </w14:textFill>
        </w:rPr>
        <w:br w:type="page"/>
      </w:r>
      <w:r>
        <w:rPr>
          <w:rFonts w:hint="default" w:ascii="Times New Roman" w:hAnsi="Times New Roman" w:eastAsia="黑体" w:cs="Times New Roman"/>
          <w:snapToGrid w:val="0"/>
          <w:vanish w:val="0"/>
          <w:color w:val="000000" w:themeColor="text1"/>
          <w:sz w:val="30"/>
          <w:szCs w:val="30"/>
          <w14:textFill>
            <w14:solidFill>
              <w14:schemeClr w14:val="tx1"/>
            </w14:solidFill>
          </w14:textFill>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8E8D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hidden/>
        </w:trPr>
        <w:tc>
          <w:tcPr>
            <w:tcW w:w="8865" w:type="dxa"/>
            <w:noWrap w:val="0"/>
            <w:vAlign w:val="center"/>
          </w:tcPr>
          <w:p w14:paraId="51F1880C">
            <w:pPr>
              <w:numPr>
                <w:ilvl w:val="0"/>
                <w:numId w:val="0"/>
              </w:numPr>
              <w:spacing w:line="360" w:lineRule="auto"/>
              <w:ind w:firstLine="420" w:firstLineChars="200"/>
              <w:jc w:val="both"/>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eastAsia="宋体" w:cs="Times New Roman"/>
                <w:vanish w:val="0"/>
                <w:color w:val="000000" w:themeColor="text1"/>
                <w:lang w:val="en-US" w:eastAsia="zh-CN"/>
                <w14:textFill>
                  <w14:solidFill>
                    <w14:schemeClr w14:val="tx1"/>
                  </w14:solidFill>
                </w14:textFill>
              </w:rPr>
              <w:t>从</w:t>
            </w:r>
            <w:r>
              <w:rPr>
                <w:rFonts w:hint="eastAsia" w:ascii="Times New Roman" w:hAnsi="Times New Roman" w:eastAsia="宋体" w:cs="Times New Roman"/>
                <w:vanish w:val="0"/>
                <w:color w:val="000000" w:themeColor="text1"/>
                <w:lang w:val="en-US" w:eastAsia="zh-CN"/>
                <w14:textFill>
                  <w14:solidFill>
                    <w14:schemeClr w14:val="tx1"/>
                  </w14:solidFill>
                </w14:textFill>
              </w:rPr>
              <w:t>环境保护</w:t>
            </w:r>
            <w:r>
              <w:rPr>
                <w:rFonts w:hint="eastAsia" w:cs="Times New Roman"/>
                <w:vanish w:val="0"/>
                <w:color w:val="000000" w:themeColor="text1"/>
                <w:lang w:val="en-US" w:eastAsia="zh-CN"/>
                <w14:textFill>
                  <w14:solidFill>
                    <w14:schemeClr w14:val="tx1"/>
                  </w14:solidFill>
                </w14:textFill>
              </w:rPr>
              <w:t>的</w:t>
            </w:r>
            <w:r>
              <w:rPr>
                <w:rFonts w:hint="eastAsia" w:ascii="Times New Roman" w:hAnsi="Times New Roman" w:eastAsia="宋体" w:cs="Times New Roman"/>
                <w:vanish w:val="0"/>
                <w:color w:val="000000" w:themeColor="text1"/>
                <w:lang w:val="en-US" w:eastAsia="zh-CN"/>
                <w14:textFill>
                  <w14:solidFill>
                    <w14:schemeClr w14:val="tx1"/>
                  </w14:solidFill>
                </w14:textFill>
              </w:rPr>
              <w:t>角度</w:t>
            </w:r>
            <w:r>
              <w:rPr>
                <w:rFonts w:hint="default" w:ascii="Times New Roman" w:hAnsi="Times New Roman" w:eastAsia="宋体" w:cs="Times New Roman"/>
                <w:vanish w:val="0"/>
                <w:color w:val="000000" w:themeColor="text1"/>
                <w:lang w:val="en-US" w:eastAsia="zh-CN"/>
                <w14:textFill>
                  <w14:solidFill>
                    <w14:schemeClr w14:val="tx1"/>
                  </w14:solidFill>
                </w14:textFill>
              </w:rPr>
              <w:t>分析，项目</w:t>
            </w:r>
            <w:r>
              <w:rPr>
                <w:rFonts w:hint="eastAsia" w:ascii="Times New Roman" w:hAnsi="Times New Roman" w:eastAsia="宋体" w:cs="Times New Roman"/>
                <w:vanish w:val="0"/>
                <w:color w:val="000000" w:themeColor="text1"/>
                <w:lang w:val="en-US" w:eastAsia="zh-CN"/>
                <w14:textFill>
                  <w14:solidFill>
                    <w14:schemeClr w14:val="tx1"/>
                  </w14:solidFill>
                </w14:textFill>
              </w:rPr>
              <w:t>的环境影响</w:t>
            </w:r>
            <w:r>
              <w:rPr>
                <w:rFonts w:hint="default" w:ascii="Times New Roman" w:hAnsi="Times New Roman" w:eastAsia="宋体" w:cs="Times New Roman"/>
                <w:vanish w:val="0"/>
                <w:color w:val="000000" w:themeColor="text1"/>
                <w:lang w:val="en-US" w:eastAsia="zh-CN"/>
                <w14:textFill>
                  <w14:solidFill>
                    <w14:schemeClr w14:val="tx1"/>
                  </w14:solidFill>
                </w14:textFill>
              </w:rPr>
              <w:t>是可行的。</w:t>
            </w:r>
          </w:p>
          <w:p w14:paraId="28935B65">
            <w:pPr>
              <w:pStyle w:val="5"/>
              <w:ind w:firstLine="480" w:firstLineChars="200"/>
              <w:rPr>
                <w:rFonts w:hint="default" w:ascii="Times New Roman" w:hAnsi="Times New Roman" w:cs="Times New Roman"/>
                <w:vanish w:val="0"/>
                <w:color w:val="000000" w:themeColor="text1"/>
                <w:sz w:val="24"/>
                <w14:textFill>
                  <w14:solidFill>
                    <w14:schemeClr w14:val="tx1"/>
                  </w14:solidFill>
                </w14:textFill>
              </w:rPr>
            </w:pPr>
          </w:p>
        </w:tc>
      </w:tr>
    </w:tbl>
    <w:p w14:paraId="5F9D4C17">
      <w:pPr>
        <w:rPr>
          <w:rFonts w:hint="default" w:ascii="Times New Roman" w:hAnsi="Times New Roman" w:cs="Times New Roman"/>
          <w:vanish w:val="0"/>
          <w:color w:val="000000" w:themeColor="text1"/>
          <w14:textFill>
            <w14:solidFill>
              <w14:schemeClr w14:val="tx1"/>
            </w14:solidFill>
          </w14:textFill>
        </w:rPr>
        <w:sectPr>
          <w:pgSz w:w="11906" w:h="16838"/>
          <w:pgMar w:top="1701" w:right="1531" w:bottom="1701" w:left="1531" w:header="1417" w:footer="851" w:gutter="0"/>
          <w:pgBorders>
            <w:top w:val="none" w:sz="0" w:space="0"/>
            <w:left w:val="none" w:sz="0" w:space="0"/>
            <w:bottom w:val="none" w:sz="0" w:space="0"/>
            <w:right w:val="none" w:sz="0" w:space="0"/>
          </w:pgBorders>
          <w:pgNumType w:fmt="decimal"/>
          <w:cols w:space="720" w:num="1"/>
          <w:docGrid w:linePitch="312" w:charSpace="0"/>
        </w:sectPr>
      </w:pPr>
    </w:p>
    <w:p w14:paraId="17312A66">
      <w:pPr>
        <w:pStyle w:val="20"/>
        <w:adjustRightInd w:val="0"/>
        <w:snapToGrid w:val="0"/>
        <w:spacing w:before="0" w:beforeAutospacing="0" w:after="0" w:afterAutospacing="0" w:line="648" w:lineRule="auto"/>
        <w:outlineLvl w:val="0"/>
        <w:rPr>
          <w:rFonts w:hint="default" w:ascii="Times New Roman" w:hAnsi="Times New Roman" w:eastAsia="黑体" w:cs="Times New Roman"/>
          <w:snapToGrid w:val="0"/>
          <w:vanish w:val="0"/>
          <w:color w:val="000000" w:themeColor="text1"/>
          <w:sz w:val="32"/>
          <w:szCs w:val="32"/>
          <w14:textFill>
            <w14:solidFill>
              <w14:schemeClr w14:val="tx1"/>
            </w14:solidFill>
          </w14:textFill>
        </w:rPr>
      </w:pPr>
      <w:r>
        <w:rPr>
          <w:rFonts w:hint="default" w:ascii="Times New Roman" w:hAnsi="Times New Roman" w:eastAsia="黑体" w:cs="Times New Roman"/>
          <w:snapToGrid w:val="0"/>
          <w:vanish w:val="0"/>
          <w:color w:val="000000" w:themeColor="text1"/>
          <w:sz w:val="32"/>
          <w:szCs w:val="32"/>
          <w14:textFill>
            <w14:solidFill>
              <w14:schemeClr w14:val="tx1"/>
            </w14:solidFill>
          </w14:textFill>
        </w:rPr>
        <w:t>附表</w:t>
      </w:r>
    </w:p>
    <w:p w14:paraId="3CB94D21">
      <w:pPr>
        <w:pStyle w:val="20"/>
        <w:adjustRightInd w:val="0"/>
        <w:snapToGrid w:val="0"/>
        <w:spacing w:before="0" w:beforeAutospacing="0" w:after="0" w:afterAutospacing="0" w:line="360" w:lineRule="auto"/>
        <w:jc w:val="center"/>
        <w:outlineLvl w:val="0"/>
        <w:rPr>
          <w:rFonts w:hint="default" w:ascii="Times New Roman" w:hAnsi="Times New Roman" w:eastAsia="方正小标宋_GBK" w:cs="Times New Roman"/>
          <w:snapToGrid w:val="0"/>
          <w:vanish w:val="0"/>
          <w:color w:val="000000" w:themeColor="text1"/>
          <w:sz w:val="38"/>
          <w:szCs w:val="38"/>
          <w14:textFill>
            <w14:solidFill>
              <w14:schemeClr w14:val="tx1"/>
            </w14:solidFill>
          </w14:textFill>
        </w:rPr>
      </w:pPr>
      <w:r>
        <w:rPr>
          <w:rFonts w:hint="default" w:ascii="Times New Roman" w:hAnsi="Times New Roman" w:eastAsia="方正小标宋_GBK" w:cs="Times New Roman"/>
          <w:snapToGrid w:val="0"/>
          <w:vanish w:val="0"/>
          <w:color w:val="000000" w:themeColor="text1"/>
          <w:sz w:val="38"/>
          <w:szCs w:val="38"/>
          <w14:textFill>
            <w14:solidFill>
              <w14:schemeClr w14:val="tx1"/>
            </w14:solidFill>
          </w14:textFill>
        </w:rPr>
        <w:t>建设项目污染物排放量汇总表</w:t>
      </w:r>
    </w:p>
    <w:tbl>
      <w:tblPr>
        <w:tblStyle w:val="23"/>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419"/>
        <w:gridCol w:w="1706"/>
        <w:gridCol w:w="1276"/>
        <w:gridCol w:w="1706"/>
        <w:gridCol w:w="1562"/>
        <w:gridCol w:w="1765"/>
        <w:gridCol w:w="1965"/>
        <w:gridCol w:w="1065"/>
      </w:tblGrid>
      <w:tr w14:paraId="784D4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hidden/>
        </w:trPr>
        <w:tc>
          <w:tcPr>
            <w:tcW w:w="567" w:type="pct"/>
            <w:tcBorders>
              <w:tl2br w:val="single" w:color="auto" w:sz="4" w:space="0"/>
            </w:tcBorders>
            <w:noWrap w:val="0"/>
            <w:tcMar>
              <w:left w:w="28" w:type="dxa"/>
              <w:right w:w="28" w:type="dxa"/>
            </w:tcMar>
            <w:vAlign w:val="center"/>
          </w:tcPr>
          <w:p w14:paraId="43689CC2">
            <w:pPr>
              <w:pStyle w:val="43"/>
              <w:spacing w:beforeLines="0" w:afterLines="0" w:line="240" w:lineRule="auto"/>
              <w:jc w:val="right"/>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项目</w:t>
            </w:r>
          </w:p>
          <w:p w14:paraId="002E290E">
            <w:pPr>
              <w:pStyle w:val="43"/>
              <w:spacing w:beforeLines="0" w:afterLines="0" w:line="240" w:lineRule="auto"/>
              <w:jc w:val="left"/>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分类</w:t>
            </w:r>
          </w:p>
        </w:tc>
        <w:tc>
          <w:tcPr>
            <w:tcW w:w="507" w:type="pct"/>
            <w:noWrap w:val="0"/>
            <w:tcMar>
              <w:left w:w="28" w:type="dxa"/>
              <w:right w:w="28" w:type="dxa"/>
            </w:tcMar>
            <w:vAlign w:val="center"/>
          </w:tcPr>
          <w:p w14:paraId="462DEC7D">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污染物名称</w:t>
            </w:r>
          </w:p>
        </w:tc>
        <w:tc>
          <w:tcPr>
            <w:tcW w:w="609" w:type="pct"/>
            <w:noWrap w:val="0"/>
            <w:tcMar>
              <w:left w:w="28" w:type="dxa"/>
              <w:right w:w="28" w:type="dxa"/>
            </w:tcMar>
            <w:vAlign w:val="center"/>
          </w:tcPr>
          <w:p w14:paraId="354B421A">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现有工程</w:t>
            </w:r>
          </w:p>
          <w:p w14:paraId="62871316">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排放量（固体废物产生量</w:t>
            </w:r>
            <w:r>
              <w:rPr>
                <w:rFonts w:hint="eastAsia" w:ascii="Times New Roman" w:hAnsi="Times New Roman" w:eastAsia="黑体" w:cs="Times New Roman"/>
                <w:snapToGrid w:val="0"/>
                <w:vanish w:val="0"/>
                <w:color w:val="000000" w:themeColor="text1"/>
                <w:spacing w:val="-6"/>
                <w:kern w:val="21"/>
                <w:szCs w:val="21"/>
                <w:lang w:eastAsia="zh-CN"/>
                <w14:textFill>
                  <w14:solidFill>
                    <w14:schemeClr w14:val="tx1"/>
                  </w14:solidFill>
                </w14:textFill>
              </w:rPr>
              <w:t>）</w: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vanish w:val="0"/>
                <w:color w:val="000000" w:themeColor="text1"/>
                <w:kern w:val="2"/>
                <w:szCs w:val="21"/>
                <w14:textFill>
                  <w14:solidFill>
                    <w14:schemeClr w14:val="tx1"/>
                  </w14:solidFill>
                </w14:textFill>
              </w:rPr>
              <w:t>①</w: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end"/>
            </w:r>
          </w:p>
        </w:tc>
        <w:tc>
          <w:tcPr>
            <w:tcW w:w="456" w:type="pct"/>
            <w:noWrap w:val="0"/>
            <w:tcMar>
              <w:left w:w="28" w:type="dxa"/>
              <w:right w:w="28" w:type="dxa"/>
            </w:tcMar>
            <w:vAlign w:val="center"/>
          </w:tcPr>
          <w:p w14:paraId="681C1FAF">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现有工程</w:t>
            </w:r>
          </w:p>
          <w:p w14:paraId="54897285">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许可排放量</w:t>
            </w:r>
          </w:p>
          <w:p w14:paraId="17EC9916">
            <w:pPr>
              <w:pStyle w:val="43"/>
              <w:spacing w:beforeLines="0" w:afterLines="0"/>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②</w: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end"/>
            </w:r>
          </w:p>
        </w:tc>
        <w:tc>
          <w:tcPr>
            <w:tcW w:w="609" w:type="pct"/>
            <w:noWrap w:val="0"/>
            <w:tcMar>
              <w:left w:w="28" w:type="dxa"/>
              <w:right w:w="28" w:type="dxa"/>
            </w:tcMar>
            <w:vAlign w:val="center"/>
          </w:tcPr>
          <w:p w14:paraId="22DBD4CE">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在建工程</w:t>
            </w:r>
          </w:p>
          <w:p w14:paraId="1BB0D8FD">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排放量（固体废物产生量</w:t>
            </w:r>
            <w:r>
              <w:rPr>
                <w:rFonts w:hint="eastAsia" w:ascii="Times New Roman" w:hAnsi="Times New Roman" w:eastAsia="黑体" w:cs="Times New Roman"/>
                <w:snapToGrid w:val="0"/>
                <w:vanish w:val="0"/>
                <w:color w:val="000000" w:themeColor="text1"/>
                <w:spacing w:val="-6"/>
                <w:kern w:val="21"/>
                <w:szCs w:val="21"/>
                <w:lang w:eastAsia="zh-CN"/>
                <w14:textFill>
                  <w14:solidFill>
                    <w14:schemeClr w14:val="tx1"/>
                  </w14:solidFill>
                </w14:textFill>
              </w:rPr>
              <w:t>）</w: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vanish w:val="0"/>
                <w:color w:val="000000" w:themeColor="text1"/>
                <w:kern w:val="2"/>
                <w:szCs w:val="21"/>
                <w14:textFill>
                  <w14:solidFill>
                    <w14:schemeClr w14:val="tx1"/>
                  </w14:solidFill>
                </w14:textFill>
              </w:rPr>
              <w:t>③</w: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end"/>
            </w:r>
          </w:p>
        </w:tc>
        <w:tc>
          <w:tcPr>
            <w:tcW w:w="558" w:type="pct"/>
            <w:noWrap w:val="0"/>
            <w:tcMar>
              <w:left w:w="28" w:type="dxa"/>
              <w:right w:w="28" w:type="dxa"/>
            </w:tcMar>
            <w:vAlign w:val="center"/>
          </w:tcPr>
          <w:p w14:paraId="271B0BB0">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本项目</w:t>
            </w:r>
          </w:p>
          <w:p w14:paraId="77254AAB">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排放量（固体废物产生量</w:t>
            </w:r>
            <w:r>
              <w:rPr>
                <w:rFonts w:hint="eastAsia" w:ascii="Times New Roman" w:hAnsi="Times New Roman" w:eastAsia="黑体" w:cs="Times New Roman"/>
                <w:snapToGrid w:val="0"/>
                <w:vanish w:val="0"/>
                <w:color w:val="000000" w:themeColor="text1"/>
                <w:spacing w:val="-6"/>
                <w:kern w:val="21"/>
                <w:szCs w:val="21"/>
                <w:lang w:eastAsia="zh-CN"/>
                <w14:textFill>
                  <w14:solidFill>
                    <w14:schemeClr w14:val="tx1"/>
                  </w14:solidFill>
                </w14:textFill>
              </w:rPr>
              <w:t>）</w: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vanish w:val="0"/>
                <w:color w:val="000000" w:themeColor="text1"/>
                <w:kern w:val="2"/>
                <w:szCs w:val="21"/>
                <w14:textFill>
                  <w14:solidFill>
                    <w14:schemeClr w14:val="tx1"/>
                  </w14:solidFill>
                </w14:textFill>
              </w:rPr>
              <w:t>④</w: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end"/>
            </w:r>
          </w:p>
        </w:tc>
        <w:tc>
          <w:tcPr>
            <w:tcW w:w="630" w:type="pct"/>
            <w:noWrap w:val="0"/>
            <w:tcMar>
              <w:left w:w="28" w:type="dxa"/>
              <w:right w:w="28" w:type="dxa"/>
            </w:tcMar>
            <w:vAlign w:val="center"/>
          </w:tcPr>
          <w:p w14:paraId="0A50D069">
            <w:pPr>
              <w:pStyle w:val="43"/>
              <w:spacing w:beforeLines="0" w:afterLines="0" w:line="240" w:lineRule="auto"/>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t>以新带老削减量</w:t>
            </w:r>
          </w:p>
          <w:p w14:paraId="41993F2B">
            <w:pPr>
              <w:pStyle w:val="43"/>
              <w:spacing w:beforeLines="0" w:afterLines="0" w:line="240" w:lineRule="auto"/>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t>（新建项目不填</w:t>
            </w:r>
            <w:r>
              <w:rPr>
                <w:rFonts w:hint="eastAsia" w:ascii="Times New Roman" w:hAnsi="Times New Roman" w:eastAsia="黑体" w:cs="Times New Roman"/>
                <w:snapToGrid w:val="0"/>
                <w:vanish w:val="0"/>
                <w:color w:val="000000" w:themeColor="text1"/>
                <w:spacing w:val="-16"/>
                <w:kern w:val="21"/>
                <w:szCs w:val="21"/>
                <w:lang w:eastAsia="zh-CN"/>
                <w14:textFill>
                  <w14:solidFill>
                    <w14:schemeClr w14:val="tx1"/>
                  </w14:solidFill>
                </w14:textFill>
              </w:rPr>
              <w:t>）</w:t>
            </w: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fldChar w:fldCharType="begin"/>
            </w: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fldChar w:fldCharType="separate"/>
            </w:r>
            <w:r>
              <w:rPr>
                <w:rFonts w:hint="default" w:ascii="Times New Roman" w:hAnsi="Times New Roman" w:eastAsia="黑体" w:cs="Times New Roman"/>
                <w:vanish w:val="0"/>
                <w:color w:val="000000" w:themeColor="text1"/>
                <w:kern w:val="2"/>
                <w:szCs w:val="21"/>
                <w14:textFill>
                  <w14:solidFill>
                    <w14:schemeClr w14:val="tx1"/>
                  </w14:solidFill>
                </w14:textFill>
              </w:rPr>
              <w:t>⑤</w:t>
            </w: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fldChar w:fldCharType="end"/>
            </w:r>
          </w:p>
        </w:tc>
        <w:tc>
          <w:tcPr>
            <w:tcW w:w="701" w:type="pct"/>
            <w:noWrap w:val="0"/>
            <w:tcMar>
              <w:left w:w="28" w:type="dxa"/>
              <w:right w:w="28" w:type="dxa"/>
            </w:tcMar>
            <w:vAlign w:val="center"/>
          </w:tcPr>
          <w:p w14:paraId="46C69C62">
            <w:pPr>
              <w:pStyle w:val="43"/>
              <w:spacing w:beforeLines="0" w:afterLines="0" w:line="240" w:lineRule="auto"/>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t>本项目建成后</w:t>
            </w:r>
          </w:p>
          <w:p w14:paraId="39AAB17A">
            <w:pPr>
              <w:pStyle w:val="43"/>
              <w:spacing w:beforeLines="0" w:afterLines="0" w:line="240" w:lineRule="auto"/>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t>全厂排放量（固体废物产生量</w:t>
            </w:r>
            <w:r>
              <w:rPr>
                <w:rFonts w:hint="eastAsia" w:ascii="Times New Roman" w:hAnsi="Times New Roman" w:eastAsia="黑体" w:cs="Times New Roman"/>
                <w:snapToGrid w:val="0"/>
                <w:vanish w:val="0"/>
                <w:color w:val="000000" w:themeColor="text1"/>
                <w:spacing w:val="-16"/>
                <w:kern w:val="21"/>
                <w:szCs w:val="21"/>
                <w:lang w:eastAsia="zh-CN"/>
                <w14:textFill>
                  <w14:solidFill>
                    <w14:schemeClr w14:val="tx1"/>
                  </w14:solidFill>
                </w14:textFill>
              </w:rPr>
              <w:t>）</w:t>
            </w: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fldChar w:fldCharType="begin"/>
            </w: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fldChar w:fldCharType="separate"/>
            </w:r>
            <w:r>
              <w:rPr>
                <w:rFonts w:hint="default" w:ascii="Times New Roman" w:hAnsi="Times New Roman" w:eastAsia="黑体" w:cs="Times New Roman"/>
                <w:vanish w:val="0"/>
                <w:color w:val="000000" w:themeColor="text1"/>
                <w:kern w:val="2"/>
                <w:szCs w:val="21"/>
                <w14:textFill>
                  <w14:solidFill>
                    <w14:schemeClr w14:val="tx1"/>
                  </w14:solidFill>
                </w14:textFill>
              </w:rPr>
              <w:t>⑥</w:t>
            </w:r>
            <w:r>
              <w:rPr>
                <w:rFonts w:hint="default" w:ascii="Times New Roman" w:hAnsi="Times New Roman" w:eastAsia="黑体" w:cs="Times New Roman"/>
                <w:snapToGrid w:val="0"/>
                <w:vanish w:val="0"/>
                <w:color w:val="000000" w:themeColor="text1"/>
                <w:spacing w:val="-16"/>
                <w:kern w:val="21"/>
                <w:szCs w:val="21"/>
                <w14:textFill>
                  <w14:solidFill>
                    <w14:schemeClr w14:val="tx1"/>
                  </w14:solidFill>
                </w14:textFill>
              </w:rPr>
              <w:fldChar w:fldCharType="end"/>
            </w:r>
          </w:p>
        </w:tc>
        <w:tc>
          <w:tcPr>
            <w:tcW w:w="359" w:type="pct"/>
            <w:noWrap w:val="0"/>
            <w:tcMar>
              <w:left w:w="28" w:type="dxa"/>
              <w:right w:w="28" w:type="dxa"/>
            </w:tcMar>
            <w:vAlign w:val="center"/>
          </w:tcPr>
          <w:p w14:paraId="1187C069">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t>变化量</w:t>
            </w:r>
          </w:p>
          <w:p w14:paraId="02A3F0E8">
            <w:pPr>
              <w:pStyle w:val="43"/>
              <w:spacing w:beforeLines="0" w:afterLines="0" w:line="240" w:lineRule="auto"/>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vanish w:val="0"/>
                <w:color w:val="000000" w:themeColor="text1"/>
                <w:kern w:val="2"/>
                <w:szCs w:val="21"/>
                <w14:textFill>
                  <w14:solidFill>
                    <w14:schemeClr w14:val="tx1"/>
                  </w14:solidFill>
                </w14:textFill>
              </w:rPr>
              <w:t>⑦</w:t>
            </w:r>
            <w:r>
              <w:rPr>
                <w:rFonts w:hint="default" w:ascii="Times New Roman" w:hAnsi="Times New Roman" w:eastAsia="黑体" w:cs="Times New Roman"/>
                <w:snapToGrid w:val="0"/>
                <w:vanish w:val="0"/>
                <w:color w:val="000000" w:themeColor="text1"/>
                <w:spacing w:val="-6"/>
                <w:kern w:val="21"/>
                <w:szCs w:val="21"/>
                <w14:textFill>
                  <w14:solidFill>
                    <w14:schemeClr w14:val="tx1"/>
                  </w14:solidFill>
                </w14:textFill>
              </w:rPr>
              <w:fldChar w:fldCharType="end"/>
            </w:r>
          </w:p>
        </w:tc>
      </w:tr>
      <w:tr w14:paraId="02509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noWrap w:val="0"/>
            <w:vAlign w:val="center"/>
          </w:tcPr>
          <w:p w14:paraId="6E7732AF">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default" w:ascii="Times New Roman" w:hAnsi="Times New Roman" w:cs="Times New Roman"/>
                <w:snapToGrid w:val="0"/>
                <w:vanish w:val="0"/>
                <w:color w:val="000000" w:themeColor="text1"/>
                <w:kern w:val="21"/>
                <w:szCs w:val="21"/>
                <w14:textFill>
                  <w14:solidFill>
                    <w14:schemeClr w14:val="tx1"/>
                  </w14:solidFill>
                </w14:textFill>
              </w:rPr>
              <w:t>废气</w:t>
            </w:r>
          </w:p>
        </w:tc>
        <w:tc>
          <w:tcPr>
            <w:tcW w:w="507" w:type="pct"/>
            <w:noWrap w:val="0"/>
            <w:vAlign w:val="center"/>
          </w:tcPr>
          <w:p w14:paraId="2B4021F7">
            <w:pPr>
              <w:pStyle w:val="50"/>
              <w:bidi w:val="0"/>
              <w:jc w:val="center"/>
              <w:rPr>
                <w:rFonts w:hint="eastAsia" w:ascii="Times New Roman" w:hAnsi="Times New Roman" w:eastAsia="宋体" w:cs="Times New Roman"/>
                <w:snapToGrid w:val="0"/>
                <w:vanish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609" w:type="pct"/>
            <w:noWrap w:val="0"/>
            <w:vAlign w:val="center"/>
          </w:tcPr>
          <w:p w14:paraId="21041699">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456" w:type="pct"/>
            <w:noWrap w:val="0"/>
            <w:vAlign w:val="center"/>
          </w:tcPr>
          <w:p w14:paraId="7DA1CB8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609" w:type="pct"/>
            <w:noWrap w:val="0"/>
            <w:vAlign w:val="center"/>
          </w:tcPr>
          <w:p w14:paraId="38D8CC6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558" w:type="pct"/>
            <w:noWrap w:val="0"/>
            <w:vAlign w:val="center"/>
          </w:tcPr>
          <w:p w14:paraId="17B264D6">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630" w:type="pct"/>
            <w:noWrap w:val="0"/>
            <w:vAlign w:val="center"/>
          </w:tcPr>
          <w:p w14:paraId="4B8037D2">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701" w:type="pct"/>
            <w:noWrap w:val="0"/>
            <w:vAlign w:val="center"/>
          </w:tcPr>
          <w:p w14:paraId="563C2A78">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359" w:type="pct"/>
            <w:noWrap w:val="0"/>
            <w:vAlign w:val="center"/>
          </w:tcPr>
          <w:p w14:paraId="568CCB58">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r>
      <w:tr w14:paraId="378B0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noWrap w:val="0"/>
            <w:vAlign w:val="center"/>
          </w:tcPr>
          <w:p w14:paraId="5A5BEFEF">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default" w:ascii="Times New Roman" w:hAnsi="Times New Roman" w:cs="Times New Roman"/>
                <w:snapToGrid w:val="0"/>
                <w:vanish w:val="0"/>
                <w:color w:val="000000" w:themeColor="text1"/>
                <w:kern w:val="21"/>
                <w:szCs w:val="21"/>
                <w14:textFill>
                  <w14:solidFill>
                    <w14:schemeClr w14:val="tx1"/>
                  </w14:solidFill>
                </w14:textFill>
              </w:rPr>
              <w:t>废水</w:t>
            </w:r>
          </w:p>
        </w:tc>
        <w:tc>
          <w:tcPr>
            <w:tcW w:w="1426" w:type="dxa"/>
            <w:noWrap w:val="0"/>
            <w:vAlign w:val="center"/>
          </w:tcPr>
          <w:p w14:paraId="307396E7">
            <w:pPr>
              <w:pStyle w:val="50"/>
              <w:bidi w:val="0"/>
              <w:jc w:val="center"/>
              <w:rPr>
                <w:rFonts w:hint="default" w:ascii="Times New Roman" w:hAnsi="Times New Roman" w:eastAsia="宋体" w:cs="Times New Roman"/>
                <w:vanish w:val="0"/>
                <w:color w:val="000000" w:themeColor="text1"/>
                <w:spacing w:val="2"/>
                <w:kern w:val="2"/>
                <w:sz w:val="21"/>
                <w:szCs w:val="20"/>
                <w:lang w:val="en-US" w:eastAsia="zh-CN" w:bidi="ar-SA"/>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713" w:type="dxa"/>
            <w:noWrap w:val="0"/>
            <w:vAlign w:val="center"/>
          </w:tcPr>
          <w:p w14:paraId="5BA6BBBE">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283" w:type="dxa"/>
            <w:noWrap w:val="0"/>
            <w:vAlign w:val="center"/>
          </w:tcPr>
          <w:p w14:paraId="5EE6D9E4">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713" w:type="dxa"/>
            <w:noWrap w:val="0"/>
            <w:vAlign w:val="center"/>
          </w:tcPr>
          <w:p w14:paraId="57ED49B4">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569" w:type="dxa"/>
            <w:noWrap w:val="0"/>
            <w:vAlign w:val="center"/>
          </w:tcPr>
          <w:p w14:paraId="46513353">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772" w:type="dxa"/>
            <w:noWrap w:val="0"/>
            <w:vAlign w:val="center"/>
          </w:tcPr>
          <w:p w14:paraId="01BB9A68">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972" w:type="dxa"/>
            <w:noWrap w:val="0"/>
            <w:vAlign w:val="center"/>
          </w:tcPr>
          <w:p w14:paraId="6792BCF3">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010" w:type="dxa"/>
            <w:noWrap w:val="0"/>
            <w:vAlign w:val="center"/>
          </w:tcPr>
          <w:p w14:paraId="0C1A4483">
            <w:pPr>
              <w:spacing w:beforeLines="0" w:afterLines="0" w:line="240" w:lineRule="auto"/>
              <w:jc w:val="center"/>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r>
      <w:tr w14:paraId="2849B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vMerge w:val="restart"/>
            <w:noWrap w:val="0"/>
            <w:vAlign w:val="center"/>
          </w:tcPr>
          <w:p w14:paraId="3C8ED424">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default" w:ascii="Times New Roman" w:hAnsi="Times New Roman" w:cs="Times New Roman"/>
                <w:snapToGrid w:val="0"/>
                <w:vanish w:val="0"/>
                <w:color w:val="000000" w:themeColor="text1"/>
                <w:kern w:val="21"/>
                <w:szCs w:val="21"/>
                <w14:textFill>
                  <w14:solidFill>
                    <w14:schemeClr w14:val="tx1"/>
                  </w14:solidFill>
                </w14:textFill>
              </w:rPr>
              <w:t>一般工业</w:t>
            </w:r>
          </w:p>
          <w:p w14:paraId="133B274A">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default" w:ascii="Times New Roman" w:hAnsi="Times New Roman" w:cs="Times New Roman"/>
                <w:snapToGrid w:val="0"/>
                <w:vanish w:val="0"/>
                <w:color w:val="000000" w:themeColor="text1"/>
                <w:kern w:val="21"/>
                <w:szCs w:val="21"/>
                <w14:textFill>
                  <w14:solidFill>
                    <w14:schemeClr w14:val="tx1"/>
                  </w14:solidFill>
                </w14:textFill>
              </w:rPr>
              <w:t>固体废物</w:t>
            </w:r>
          </w:p>
        </w:tc>
        <w:tc>
          <w:tcPr>
            <w:tcW w:w="1426" w:type="dxa"/>
            <w:noWrap w:val="0"/>
            <w:vAlign w:val="center"/>
          </w:tcPr>
          <w:p w14:paraId="72A918B4">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default"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生活垃圾</w:t>
            </w:r>
          </w:p>
        </w:tc>
        <w:tc>
          <w:tcPr>
            <w:tcW w:w="609" w:type="pct"/>
            <w:noWrap w:val="0"/>
            <w:vAlign w:val="center"/>
          </w:tcPr>
          <w:p w14:paraId="619025BB">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456" w:type="pct"/>
            <w:noWrap w:val="0"/>
            <w:vAlign w:val="center"/>
          </w:tcPr>
          <w:p w14:paraId="2A7F841F">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609" w:type="pct"/>
            <w:noWrap w:val="0"/>
            <w:vAlign w:val="center"/>
          </w:tcPr>
          <w:p w14:paraId="65240654">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569" w:type="dxa"/>
            <w:noWrap w:val="0"/>
            <w:vAlign w:val="center"/>
          </w:tcPr>
          <w:p w14:paraId="5CE76FB7">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0.94t/a</w:t>
            </w:r>
          </w:p>
        </w:tc>
        <w:tc>
          <w:tcPr>
            <w:tcW w:w="630" w:type="pct"/>
            <w:noWrap w:val="0"/>
            <w:vAlign w:val="center"/>
          </w:tcPr>
          <w:p w14:paraId="2F246324">
            <w:pPr>
              <w:pStyle w:val="43"/>
              <w:spacing w:beforeLines="0" w:afterLines="0" w:line="240" w:lineRule="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w:t>
            </w:r>
          </w:p>
        </w:tc>
        <w:tc>
          <w:tcPr>
            <w:tcW w:w="1972" w:type="dxa"/>
            <w:noWrap w:val="0"/>
            <w:vAlign w:val="center"/>
          </w:tcPr>
          <w:p w14:paraId="705D30B0">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0.94t/a</w:t>
            </w:r>
          </w:p>
        </w:tc>
        <w:tc>
          <w:tcPr>
            <w:tcW w:w="1010" w:type="dxa"/>
            <w:noWrap w:val="0"/>
            <w:vAlign w:val="center"/>
          </w:tcPr>
          <w:p w14:paraId="1B25C743">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+0.94t/a</w:t>
            </w:r>
          </w:p>
        </w:tc>
      </w:tr>
      <w:tr w14:paraId="4864E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vMerge w:val="continue"/>
            <w:noWrap w:val="0"/>
            <w:vAlign w:val="center"/>
          </w:tcPr>
          <w:p w14:paraId="15DC37B7">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p>
        </w:tc>
        <w:tc>
          <w:tcPr>
            <w:tcW w:w="1426" w:type="dxa"/>
            <w:noWrap w:val="0"/>
            <w:vAlign w:val="center"/>
          </w:tcPr>
          <w:p w14:paraId="7BB67CDB">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污泥（干基）</w:t>
            </w:r>
          </w:p>
        </w:tc>
        <w:tc>
          <w:tcPr>
            <w:tcW w:w="609" w:type="pct"/>
            <w:noWrap w:val="0"/>
            <w:vAlign w:val="center"/>
          </w:tcPr>
          <w:p w14:paraId="227356C3">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456" w:type="pct"/>
            <w:noWrap w:val="0"/>
            <w:vAlign w:val="center"/>
          </w:tcPr>
          <w:p w14:paraId="48CBCFE4">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609" w:type="pct"/>
            <w:noWrap w:val="0"/>
            <w:vAlign w:val="center"/>
          </w:tcPr>
          <w:p w14:paraId="6FF35361">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569" w:type="dxa"/>
            <w:noWrap w:val="0"/>
            <w:vAlign w:val="center"/>
          </w:tcPr>
          <w:p w14:paraId="2869AD24">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73</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/a</w:t>
            </w:r>
          </w:p>
        </w:tc>
        <w:tc>
          <w:tcPr>
            <w:tcW w:w="630" w:type="pct"/>
            <w:noWrap w:val="0"/>
            <w:vAlign w:val="center"/>
          </w:tcPr>
          <w:p w14:paraId="1EA147FB">
            <w:pPr>
              <w:pStyle w:val="43"/>
              <w:spacing w:beforeLines="0" w:afterLines="0" w:line="240" w:lineRule="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972" w:type="dxa"/>
            <w:noWrap w:val="0"/>
            <w:vAlign w:val="center"/>
          </w:tcPr>
          <w:p w14:paraId="2DBCEE93">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73</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/a</w:t>
            </w:r>
          </w:p>
        </w:tc>
        <w:tc>
          <w:tcPr>
            <w:tcW w:w="1010" w:type="dxa"/>
            <w:noWrap w:val="0"/>
            <w:vAlign w:val="center"/>
          </w:tcPr>
          <w:p w14:paraId="7B0A1BA2">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vanish w:val="0"/>
                <w:color w:val="000000" w:themeColor="text1"/>
                <w:sz w:val="21"/>
                <w:szCs w:val="21"/>
                <w:highlight w:val="none"/>
                <w:lang w:val="en-US" w:eastAsia="zh-CN"/>
                <w14:textFill>
                  <w14:solidFill>
                    <w14:schemeClr w14:val="tx1"/>
                  </w14:solidFill>
                </w14:textFill>
              </w:rPr>
              <w:t>73</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/a</w:t>
            </w:r>
          </w:p>
        </w:tc>
      </w:tr>
      <w:tr w14:paraId="5DE15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vMerge w:val="continue"/>
            <w:noWrap w:val="0"/>
            <w:vAlign w:val="center"/>
          </w:tcPr>
          <w:p w14:paraId="4FF39A1C">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p>
        </w:tc>
        <w:tc>
          <w:tcPr>
            <w:tcW w:w="1426" w:type="dxa"/>
            <w:noWrap w:val="0"/>
            <w:vAlign w:val="center"/>
          </w:tcPr>
          <w:p w14:paraId="3647CBEB">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净水原料包装</w:t>
            </w:r>
          </w:p>
        </w:tc>
        <w:tc>
          <w:tcPr>
            <w:tcW w:w="609" w:type="pct"/>
            <w:noWrap w:val="0"/>
            <w:vAlign w:val="center"/>
          </w:tcPr>
          <w:p w14:paraId="14BE2EF4">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456" w:type="pct"/>
            <w:noWrap w:val="0"/>
            <w:vAlign w:val="center"/>
          </w:tcPr>
          <w:p w14:paraId="1316F855">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609" w:type="pct"/>
            <w:noWrap w:val="0"/>
            <w:vAlign w:val="center"/>
          </w:tcPr>
          <w:p w14:paraId="1A4F1C15">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1569" w:type="dxa"/>
            <w:noWrap w:val="0"/>
            <w:vAlign w:val="center"/>
          </w:tcPr>
          <w:p w14:paraId="5942D581">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0.50</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/a</w:t>
            </w:r>
          </w:p>
        </w:tc>
        <w:tc>
          <w:tcPr>
            <w:tcW w:w="630" w:type="pct"/>
            <w:noWrap w:val="0"/>
            <w:vAlign w:val="center"/>
          </w:tcPr>
          <w:p w14:paraId="73D5F7EE">
            <w:pPr>
              <w:pStyle w:val="43"/>
              <w:spacing w:beforeLines="0" w:afterLines="0" w:line="240" w:lineRule="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1972" w:type="dxa"/>
            <w:noWrap w:val="0"/>
            <w:vAlign w:val="center"/>
          </w:tcPr>
          <w:p w14:paraId="6AE40485">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0.50</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/a</w:t>
            </w:r>
          </w:p>
        </w:tc>
        <w:tc>
          <w:tcPr>
            <w:tcW w:w="1010" w:type="dxa"/>
            <w:noWrap w:val="0"/>
            <w:vAlign w:val="center"/>
          </w:tcPr>
          <w:p w14:paraId="0F0CAD1F">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vanish w:val="0"/>
                <w:color w:val="000000" w:themeColor="text1"/>
                <w:sz w:val="21"/>
                <w:szCs w:val="21"/>
                <w:highlight w:val="none"/>
                <w:lang w:val="en-US" w:eastAsia="zh-CN"/>
                <w14:textFill>
                  <w14:solidFill>
                    <w14:schemeClr w14:val="tx1"/>
                  </w14:solidFill>
                </w14:textFill>
              </w:rPr>
              <w:t>0.50</w:t>
            </w: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/a</w:t>
            </w:r>
          </w:p>
        </w:tc>
      </w:tr>
      <w:tr w14:paraId="477DE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vMerge w:val="continue"/>
            <w:noWrap w:val="0"/>
            <w:vAlign w:val="center"/>
          </w:tcPr>
          <w:p w14:paraId="01044832">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p>
        </w:tc>
        <w:tc>
          <w:tcPr>
            <w:tcW w:w="1426" w:type="dxa"/>
            <w:noWrap w:val="0"/>
            <w:vAlign w:val="center"/>
          </w:tcPr>
          <w:p w14:paraId="7AC85F24">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废滤料</w:t>
            </w:r>
          </w:p>
        </w:tc>
        <w:tc>
          <w:tcPr>
            <w:tcW w:w="609" w:type="pct"/>
            <w:noWrap w:val="0"/>
            <w:vAlign w:val="center"/>
          </w:tcPr>
          <w:p w14:paraId="6E68151B">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456" w:type="pct"/>
            <w:noWrap w:val="0"/>
            <w:vAlign w:val="center"/>
          </w:tcPr>
          <w:p w14:paraId="79EA1564">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609" w:type="pct"/>
            <w:noWrap w:val="0"/>
            <w:vAlign w:val="center"/>
          </w:tcPr>
          <w:p w14:paraId="73EBC56B">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1569" w:type="dxa"/>
            <w:noWrap w:val="0"/>
            <w:vAlign w:val="center"/>
          </w:tcPr>
          <w:p w14:paraId="5388D596">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2.432/a</w:t>
            </w:r>
          </w:p>
        </w:tc>
        <w:tc>
          <w:tcPr>
            <w:tcW w:w="630" w:type="pct"/>
            <w:noWrap w:val="0"/>
            <w:vAlign w:val="center"/>
          </w:tcPr>
          <w:p w14:paraId="32BB2531">
            <w:pPr>
              <w:pStyle w:val="43"/>
              <w:spacing w:beforeLines="0" w:afterLines="0" w:line="240" w:lineRule="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1972" w:type="dxa"/>
            <w:noWrap w:val="0"/>
            <w:vAlign w:val="center"/>
          </w:tcPr>
          <w:p w14:paraId="533F7D68">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2.432/a</w:t>
            </w:r>
          </w:p>
        </w:tc>
        <w:tc>
          <w:tcPr>
            <w:tcW w:w="1010" w:type="dxa"/>
            <w:noWrap w:val="0"/>
            <w:vAlign w:val="center"/>
          </w:tcPr>
          <w:p w14:paraId="2E088284">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+2.432/a</w:t>
            </w:r>
          </w:p>
        </w:tc>
      </w:tr>
      <w:tr w14:paraId="00C4B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vMerge w:val="continue"/>
            <w:noWrap w:val="0"/>
            <w:vAlign w:val="center"/>
          </w:tcPr>
          <w:p w14:paraId="5ACEF6CD">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p>
        </w:tc>
        <w:tc>
          <w:tcPr>
            <w:tcW w:w="1426" w:type="dxa"/>
            <w:noWrap w:val="0"/>
            <w:vAlign w:val="center"/>
          </w:tcPr>
          <w:p w14:paraId="3B0F9A35">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vanish w:val="0"/>
                <w:color w:val="000000" w:themeColor="text1"/>
                <w:kern w:val="21"/>
                <w:szCs w:val="21"/>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消毒盐酸废液</w:t>
            </w:r>
          </w:p>
        </w:tc>
        <w:tc>
          <w:tcPr>
            <w:tcW w:w="609" w:type="pct"/>
            <w:noWrap w:val="0"/>
            <w:vAlign w:val="center"/>
          </w:tcPr>
          <w:p w14:paraId="13731698">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456" w:type="pct"/>
            <w:noWrap w:val="0"/>
            <w:vAlign w:val="center"/>
          </w:tcPr>
          <w:p w14:paraId="22211596">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609" w:type="pct"/>
            <w:noWrap w:val="0"/>
            <w:vAlign w:val="center"/>
          </w:tcPr>
          <w:p w14:paraId="38D63396">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1569" w:type="dxa"/>
            <w:noWrap w:val="0"/>
            <w:vAlign w:val="center"/>
          </w:tcPr>
          <w:p w14:paraId="5347689E">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0.021/a</w:t>
            </w:r>
          </w:p>
        </w:tc>
        <w:tc>
          <w:tcPr>
            <w:tcW w:w="630" w:type="pct"/>
            <w:noWrap w:val="0"/>
            <w:vAlign w:val="center"/>
          </w:tcPr>
          <w:p w14:paraId="0651D473">
            <w:pPr>
              <w:pStyle w:val="43"/>
              <w:spacing w:beforeLines="0" w:afterLines="0" w:line="240" w:lineRule="auto"/>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pPr>
          </w:p>
        </w:tc>
        <w:tc>
          <w:tcPr>
            <w:tcW w:w="1972" w:type="dxa"/>
            <w:noWrap w:val="0"/>
            <w:vAlign w:val="center"/>
          </w:tcPr>
          <w:p w14:paraId="6B2AE059">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0.021/a</w:t>
            </w:r>
          </w:p>
        </w:tc>
        <w:tc>
          <w:tcPr>
            <w:tcW w:w="1010" w:type="dxa"/>
            <w:noWrap w:val="0"/>
            <w:vAlign w:val="center"/>
          </w:tcPr>
          <w:p w14:paraId="7A974103">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+0.021/a</w:t>
            </w:r>
          </w:p>
        </w:tc>
      </w:tr>
      <w:tr w14:paraId="2C4AF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vMerge w:val="continue"/>
            <w:noWrap w:val="0"/>
            <w:vAlign w:val="center"/>
          </w:tcPr>
          <w:p w14:paraId="66630333">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p>
        </w:tc>
        <w:tc>
          <w:tcPr>
            <w:tcW w:w="1426" w:type="dxa"/>
            <w:noWrap w:val="0"/>
            <w:vAlign w:val="center"/>
          </w:tcPr>
          <w:p w14:paraId="4909BDA5">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vanish w:val="0"/>
                <w:color w:val="000000" w:themeColor="text1"/>
                <w:szCs w:val="21"/>
                <w:lang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废酸包装桶</w:t>
            </w:r>
          </w:p>
        </w:tc>
        <w:tc>
          <w:tcPr>
            <w:tcW w:w="609" w:type="pct"/>
            <w:noWrap w:val="0"/>
            <w:vAlign w:val="center"/>
          </w:tcPr>
          <w:p w14:paraId="7571C3A9">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456" w:type="pct"/>
            <w:noWrap w:val="0"/>
            <w:vAlign w:val="center"/>
          </w:tcPr>
          <w:p w14:paraId="20CAB266">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609" w:type="pct"/>
            <w:noWrap w:val="0"/>
            <w:vAlign w:val="center"/>
          </w:tcPr>
          <w:p w14:paraId="1BF04C62">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569" w:type="dxa"/>
            <w:noWrap w:val="0"/>
            <w:vAlign w:val="center"/>
          </w:tcPr>
          <w:p w14:paraId="5BEBF3E7">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0.0012/a</w:t>
            </w:r>
          </w:p>
        </w:tc>
        <w:tc>
          <w:tcPr>
            <w:tcW w:w="630" w:type="pct"/>
            <w:noWrap w:val="0"/>
            <w:vAlign w:val="center"/>
          </w:tcPr>
          <w:p w14:paraId="63124B48">
            <w:pPr>
              <w:pStyle w:val="43"/>
              <w:spacing w:beforeLines="0" w:afterLines="0" w:line="240" w:lineRule="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w:t>
            </w:r>
          </w:p>
        </w:tc>
        <w:tc>
          <w:tcPr>
            <w:tcW w:w="1972" w:type="dxa"/>
            <w:noWrap w:val="0"/>
            <w:vAlign w:val="center"/>
          </w:tcPr>
          <w:p w14:paraId="2598E8E3">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0.0012/a</w:t>
            </w:r>
          </w:p>
        </w:tc>
        <w:tc>
          <w:tcPr>
            <w:tcW w:w="1010" w:type="dxa"/>
            <w:noWrap w:val="0"/>
            <w:vAlign w:val="center"/>
          </w:tcPr>
          <w:p w14:paraId="1471365A">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+0.0012/a</w:t>
            </w:r>
          </w:p>
        </w:tc>
      </w:tr>
      <w:tr w14:paraId="0BBB6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hidden/>
        </w:trPr>
        <w:tc>
          <w:tcPr>
            <w:tcW w:w="567" w:type="pct"/>
            <w:vMerge w:val="continue"/>
            <w:noWrap w:val="0"/>
            <w:vAlign w:val="center"/>
          </w:tcPr>
          <w:p w14:paraId="356E32BB">
            <w:pPr>
              <w:pStyle w:val="43"/>
              <w:spacing w:beforeLines="0" w:afterLines="0" w:line="240" w:lineRule="auto"/>
              <w:rPr>
                <w:rFonts w:hint="default" w:ascii="Times New Roman" w:hAnsi="Times New Roman" w:cs="Times New Roman"/>
                <w:snapToGrid w:val="0"/>
                <w:vanish w:val="0"/>
                <w:color w:val="000000" w:themeColor="text1"/>
                <w:kern w:val="21"/>
                <w:szCs w:val="21"/>
                <w14:textFill>
                  <w14:solidFill>
                    <w14:schemeClr w14:val="tx1"/>
                  </w14:solidFill>
                </w14:textFill>
              </w:rPr>
            </w:pPr>
          </w:p>
        </w:tc>
        <w:tc>
          <w:tcPr>
            <w:tcW w:w="1426" w:type="dxa"/>
            <w:noWrap w:val="0"/>
            <w:vAlign w:val="center"/>
          </w:tcPr>
          <w:p w14:paraId="0D3C0C4B">
            <w:pPr>
              <w:keepNext w:val="0"/>
              <w:keepLines/>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vanish w:val="0"/>
                <w:color w:val="000000" w:themeColor="text1"/>
                <w:szCs w:val="21"/>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废矿物油</w:t>
            </w:r>
          </w:p>
        </w:tc>
        <w:tc>
          <w:tcPr>
            <w:tcW w:w="609" w:type="pct"/>
            <w:noWrap w:val="0"/>
            <w:vAlign w:val="center"/>
          </w:tcPr>
          <w:p w14:paraId="16BB42D9">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456" w:type="pct"/>
            <w:noWrap w:val="0"/>
            <w:vAlign w:val="center"/>
          </w:tcPr>
          <w:p w14:paraId="22EDB517">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609" w:type="pct"/>
            <w:noWrap w:val="0"/>
            <w:vAlign w:val="center"/>
          </w:tcPr>
          <w:p w14:paraId="3E8A2E48">
            <w:pPr>
              <w:keepNext w:val="0"/>
              <w:keepLines w:val="0"/>
              <w:pageBreakBefore w:val="0"/>
              <w:widowControl w:val="0"/>
              <w:kinsoku/>
              <w:wordWrap/>
              <w:overflowPunct/>
              <w:topLinePunct/>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cs="Times New Roman"/>
                <w:snapToGrid w:val="0"/>
                <w:vanish w:val="0"/>
                <w:color w:val="000000" w:themeColor="text1"/>
                <w:kern w:val="21"/>
                <w:szCs w:val="21"/>
                <w:lang w:val="en-US" w:eastAsia="zh-CN"/>
                <w14:textFill>
                  <w14:solidFill>
                    <w14:schemeClr w14:val="tx1"/>
                  </w14:solidFill>
                </w14:textFill>
              </w:rPr>
              <w:t>/</w:t>
            </w:r>
          </w:p>
        </w:tc>
        <w:tc>
          <w:tcPr>
            <w:tcW w:w="1569" w:type="dxa"/>
            <w:noWrap w:val="0"/>
            <w:vAlign w:val="center"/>
          </w:tcPr>
          <w:p w14:paraId="0EDD9AE6">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0.005/a</w:t>
            </w:r>
          </w:p>
        </w:tc>
        <w:tc>
          <w:tcPr>
            <w:tcW w:w="630" w:type="pct"/>
            <w:noWrap w:val="0"/>
            <w:vAlign w:val="center"/>
          </w:tcPr>
          <w:p w14:paraId="62AF75D8">
            <w:pPr>
              <w:pStyle w:val="43"/>
              <w:spacing w:beforeLines="0" w:afterLines="0" w:line="240" w:lineRule="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lang w:val="en-US" w:eastAsia="zh-CN"/>
                <w14:textFill>
                  <w14:solidFill>
                    <w14:schemeClr w14:val="tx1"/>
                  </w14:solidFill>
                </w14:textFill>
              </w:rPr>
              <w:t>/</w:t>
            </w:r>
          </w:p>
        </w:tc>
        <w:tc>
          <w:tcPr>
            <w:tcW w:w="1972" w:type="dxa"/>
            <w:noWrap w:val="0"/>
            <w:vAlign w:val="center"/>
          </w:tcPr>
          <w:p w14:paraId="08AEA144">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0.005/a</w:t>
            </w:r>
          </w:p>
        </w:tc>
        <w:tc>
          <w:tcPr>
            <w:tcW w:w="1010" w:type="dxa"/>
            <w:noWrap w:val="0"/>
            <w:vAlign w:val="center"/>
          </w:tcPr>
          <w:p w14:paraId="378ACEA2">
            <w:pPr>
              <w:keepNext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vanish w:val="0"/>
                <w:color w:val="000000" w:themeColor="text1"/>
                <w:lang w:val="en-US" w:eastAsia="zh-CN"/>
                <w14:textFill>
                  <w14:solidFill>
                    <w14:schemeClr w14:val="tx1"/>
                  </w14:solidFill>
                </w14:textFill>
              </w:rPr>
            </w:pPr>
            <w:r>
              <w:rPr>
                <w:rFonts w:hint="eastAsia" w:ascii="Times New Roman" w:hAnsi="Times New Roman" w:eastAsia="宋体" w:cs="Times New Roman"/>
                <w:vanish w:val="0"/>
                <w:color w:val="000000" w:themeColor="text1"/>
                <w:kern w:val="2"/>
                <w:sz w:val="21"/>
                <w:szCs w:val="21"/>
                <w:highlight w:val="none"/>
                <w:lang w:val="en-US" w:eastAsia="zh-CN" w:bidi="ar-SA"/>
                <w14:textFill>
                  <w14:solidFill>
                    <w14:schemeClr w14:val="tx1"/>
                  </w14:solidFill>
                </w14:textFill>
              </w:rPr>
              <w:t>+0.005/a</w:t>
            </w:r>
          </w:p>
        </w:tc>
      </w:tr>
    </w:tbl>
    <w:p w14:paraId="51C63D57">
      <w:pPr>
        <w:pStyle w:val="5"/>
        <w:rPr>
          <w:rFonts w:hint="default" w:ascii="Times New Roman" w:hAnsi="Times New Roman" w:cs="Times New Roman"/>
          <w:vanish w:val="0"/>
          <w:color w:val="000000" w:themeColor="text1"/>
          <w14:textFill>
            <w14:solidFill>
              <w14:schemeClr w14:val="tx1"/>
            </w14:solidFill>
          </w14:textFill>
        </w:rPr>
      </w:pPr>
      <w:r>
        <w:rPr>
          <w:rFonts w:hint="default" w:ascii="Times New Roman" w:hAnsi="Times New Roman" w:cs="Times New Roman"/>
          <w:snapToGrid w:val="0"/>
          <w:vanish w:val="0"/>
          <w:color w:val="000000" w:themeColor="text1"/>
          <w:kern w:val="21"/>
          <w:szCs w:val="21"/>
          <w14:textFill>
            <w14:solidFill>
              <w14:schemeClr w14:val="tx1"/>
            </w14:solidFill>
          </w14:textFill>
        </w:rPr>
        <w:t>注：</w: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vanish w:val="0"/>
          <w:color w:val="000000" w:themeColor="text1"/>
          <w:szCs w:val="21"/>
          <w14:textFill>
            <w14:solidFill>
              <w14:schemeClr w14:val="tx1"/>
            </w14:solidFill>
          </w14:textFill>
        </w:rPr>
        <w:t>⑥</w: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vanish w:val="0"/>
          <w:color w:val="000000" w:themeColor="text1"/>
          <w:szCs w:val="21"/>
          <w14:textFill>
            <w14:solidFill>
              <w14:schemeClr w14:val="tx1"/>
            </w14:solidFill>
          </w14:textFill>
        </w:rPr>
        <w:t>①</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vanish w:val="0"/>
          <w:color w:val="000000" w:themeColor="text1"/>
          <w:szCs w:val="21"/>
          <w14:textFill>
            <w14:solidFill>
              <w14:schemeClr w14:val="tx1"/>
            </w14:solidFill>
          </w14:textFill>
        </w:rPr>
        <w:t>③</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vanish w:val="0"/>
          <w:color w:val="000000" w:themeColor="text1"/>
          <w:szCs w:val="21"/>
          <w14:textFill>
            <w14:solidFill>
              <w14:schemeClr w14:val="tx1"/>
            </w14:solidFill>
          </w14:textFill>
        </w:rPr>
        <w:t>④</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vanish w:val="0"/>
          <w:color w:val="000000" w:themeColor="text1"/>
          <w:szCs w:val="21"/>
          <w14:textFill>
            <w14:solidFill>
              <w14:schemeClr w14:val="tx1"/>
            </w14:solidFill>
          </w14:textFill>
        </w:rPr>
        <w:t>⑤</w: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vanish w:val="0"/>
          <w:color w:val="000000" w:themeColor="text1"/>
          <w:szCs w:val="21"/>
          <w14:textFill>
            <w14:solidFill>
              <w14:schemeClr w14:val="tx1"/>
            </w14:solidFill>
          </w14:textFill>
        </w:rPr>
        <w:t>⑦</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vanish w:val="0"/>
          <w:color w:val="000000" w:themeColor="text1"/>
          <w:szCs w:val="21"/>
          <w14:textFill>
            <w14:solidFill>
              <w14:schemeClr w14:val="tx1"/>
            </w14:solidFill>
          </w14:textFill>
        </w:rPr>
        <w:t>⑥</w:t>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vanish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vanish w:val="0"/>
          <w:color w:val="000000" w:themeColor="text1"/>
          <w:szCs w:val="21"/>
          <w14:textFill>
            <w14:solidFill>
              <w14:schemeClr w14:val="tx1"/>
            </w14:solidFill>
          </w14:textFill>
        </w:rPr>
        <w:t>①</w:t>
      </w:r>
      <w:r>
        <w:rPr>
          <w:rFonts w:hint="default" w:ascii="Times New Roman" w:hAnsi="Times New Roman" w:cs="Times New Roman"/>
          <w:snapToGrid w:val="0"/>
          <w:vanish w:val="0"/>
          <w:color w:val="000000" w:themeColor="text1"/>
          <w:spacing w:val="-6"/>
          <w:kern w:val="21"/>
          <w:szCs w:val="21"/>
          <w14:textFill>
            <w14:solidFill>
              <w14:schemeClr w14:val="tx1"/>
            </w14:solidFill>
          </w14:textFill>
        </w:rPr>
        <w:fldChar w:fldCharType="end"/>
      </w:r>
    </w:p>
    <w:sectPr>
      <w:footerReference r:id="rId8"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altName w:val="思源黑体"/>
    <w:panose1 w:val="02010600030101010101"/>
    <w:charset w:val="88"/>
    <w:family w:val="modern"/>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思源黑体">
    <w:panose1 w:val="020B0500000000000000"/>
    <w:charset w:val="86"/>
    <w:family w:val="auto"/>
    <w:pitch w:val="default"/>
    <w:sig w:usb0="30000083" w:usb1="2BDF3C10" w:usb2="00000016" w:usb3="00000000" w:csb0="602E0107"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2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F4">
    <w:altName w:val="华文中宋"/>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新宋体">
    <w:altName w:val="思源黑体"/>
    <w:panose1 w:val="02010609030101010101"/>
    <w:charset w:val="86"/>
    <w:family w:val="modern"/>
    <w:pitch w:val="default"/>
    <w:sig w:usb0="00000000" w:usb1="00000000" w:usb2="00000006" w:usb3="00000000" w:csb0="00040001" w:csb1="00000000"/>
  </w:font>
  <w:font w:name="★日文毛笔">
    <w:panose1 w:val="02000609000000000000"/>
    <w:charset w:val="80"/>
    <w:family w:val="auto"/>
    <w:pitch w:val="default"/>
    <w:sig w:usb0="A00002BF" w:usb1="68C7FCFB" w:usb2="00000010" w:usb3="00000000" w:csb0="4002009F" w:csb1="DFD7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FE242">
    <w:pPr>
      <w:tabs>
        <w:tab w:val="center" w:pos="45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5B1FA">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2838450</wp:posOffset>
              </wp:positionH>
              <wp:positionV relativeFrom="paragraph">
                <wp:posOffset>0</wp:posOffset>
              </wp:positionV>
              <wp:extent cx="1828800" cy="1828800"/>
              <wp:effectExtent l="0" t="0" r="0" b="0"/>
              <wp:wrapNone/>
              <wp:docPr id="14" name="文本框 2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29DB41">
                          <w:pPr>
                            <w:pStyle w:val="1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wps:txbx>
                    <wps:bodyPr vert="horz" wrap="none" lIns="0" tIns="0" rIns="0" bIns="0" anchor="t" anchorCtr="0" upright="0">
                      <a:spAutoFit/>
                    </wps:bodyPr>
                  </wps:wsp>
                </a:graphicData>
              </a:graphic>
            </wp:anchor>
          </w:drawing>
        </mc:Choice>
        <mc:Fallback>
          <w:pict>
            <v:shape id="文本框 2060" o:spid="_x0000_s1026" o:spt="202" type="#_x0000_t202" style="position:absolute;left:0pt;margin-left:223.5pt;margin-top:0pt;height:144pt;width:144pt;mso-position-horizontal-relative:margin;mso-wrap-style:none;z-index:251660288;mso-width-relative:page;mso-height-relative:page;" filled="f" stroked="f" coordsize="21600,21600" o:gfxdata="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LG2bNUAAAAIAQAADwAA&#10;AAAAAAABACAAAAAiAAAAZHJzL2Rvd25yZXYueG1sUEsBAhQAFAAAAAgAh07iQAiIRfzgAQAAwgMA&#10;AA4AAAAAAAAAAQAgAAAAJAEAAGRycy9lMm9Eb2MueG1sUEsFBgAAAAAGAAYAWQEAAHYFAAAAAA==&#10;">
              <v:fill on="f" focussize="0,0"/>
              <v:stroke on="f"/>
              <v:imagedata o:title=""/>
              <o:lock v:ext="edit" aspectratio="f"/>
              <v:textbox inset="0mm,0mm,0mm,0mm" style="mso-fit-shape-to-text:t;">
                <w:txbxContent>
                  <w:p w14:paraId="1129DB41">
                    <w:pPr>
                      <w:pStyle w:val="1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B715">
    <w:pPr>
      <w:pStyle w:val="17"/>
      <w:tabs>
        <w:tab w:val="center" w:pos="4482"/>
        <w:tab w:val="left" w:pos="5393"/>
      </w:tabs>
      <w:ind w:right="360" w:firstLine="360"/>
      <w:jc w:val="lef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0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1EF18B">
                          <w:pPr>
                            <w:pStyle w:val="17"/>
                            <w:rPr>
                              <w:sz w:val="20"/>
                              <w:szCs w:val="21"/>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13</w:t>
                          </w:r>
                          <w:r>
                            <w:rPr>
                              <w:sz w:val="21"/>
                              <w:szCs w:val="22"/>
                            </w:rPr>
                            <w:fldChar w:fldCharType="end"/>
                          </w:r>
                        </w:p>
                      </w:txbxContent>
                    </wps:txbx>
                    <wps:bodyPr vert="horz" wrap="none" lIns="0" tIns="0" rIns="0" bIns="0" anchor="t" anchorCtr="0" upright="0">
                      <a:spAutoFit/>
                    </wps:bodyPr>
                  </wps:wsp>
                </a:graphicData>
              </a:graphic>
            </wp:anchor>
          </w:drawing>
        </mc:Choice>
        <mc:Fallback>
          <w:pict>
            <v:shape id="文本框 206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WUmM4QEAAMIDAAAOAAAA&#10;AAAAAAEAIAAAAB4BAABkcnMvZTJvRG9jLnhtbFBLBQYAAAAABgAGAFkBAABxBQAAAAA=&#10;">
              <v:fill on="f" focussize="0,0"/>
              <v:stroke on="f"/>
              <v:imagedata o:title=""/>
              <o:lock v:ext="edit" aspectratio="f"/>
              <v:textbox inset="0mm,0mm,0mm,0mm" style="mso-fit-shape-to-text:t;">
                <w:txbxContent>
                  <w:p w14:paraId="321EF18B">
                    <w:pPr>
                      <w:pStyle w:val="17"/>
                      <w:rPr>
                        <w:sz w:val="20"/>
                        <w:szCs w:val="21"/>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13</w:t>
                    </w:r>
                    <w:r>
                      <w:rPr>
                        <w:sz w:val="21"/>
                        <w:szCs w:val="22"/>
                      </w:rP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7DE3D">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B6D7D">
    <w:pPr>
      <w:rPr>
        <w:rFonts w:hint="eastAsia"/>
      </w:rPr>
    </w:pPr>
    <w:r>
      <w:rPr>
        <w:rFonts w:hint="eastAsia" w:eastAsia="宋体"/>
      </w:rP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D7299">
    <w:pPr>
      <w:pBdr>
        <w:bottom w:val="none" w:color="auto" w:sz="0" w:space="0"/>
      </w:pBdr>
      <w:tabs>
        <w:tab w:val="left" w:pos="9251"/>
      </w:tabs>
      <w:rPr>
        <w:rFonts w:hint="eastAsia" w:eastAsia="宋体"/>
        <w:lang w:eastAsia="zh-CN"/>
      </w:rPr>
    </w:pPr>
    <w:r>
      <w:tab/>
    </w:r>
    <w:r>
      <w:rPr>
        <w:rFonts w:hint="eastAsia" w:eastAsia="宋体"/>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A68C3F"/>
    <w:multiLevelType w:val="singleLevel"/>
    <w:tmpl w:val="98A68C3F"/>
    <w:lvl w:ilvl="0" w:tentative="0">
      <w:start w:val="2"/>
      <w:numFmt w:val="decimal"/>
      <w:suff w:val="nothing"/>
      <w:lvlText w:val="%1、"/>
      <w:lvlJc w:val="left"/>
      <w:pPr>
        <w:ind w:left="525" w:firstLine="0"/>
      </w:pPr>
    </w:lvl>
  </w:abstractNum>
  <w:abstractNum w:abstractNumId="1">
    <w:nsid w:val="D05B69B5"/>
    <w:multiLevelType w:val="singleLevel"/>
    <w:tmpl w:val="D05B69B5"/>
    <w:lvl w:ilvl="0" w:tentative="0">
      <w:start w:val="3"/>
      <w:numFmt w:val="decimal"/>
      <w:suff w:val="space"/>
      <w:lvlText w:val="%1."/>
      <w:lvlJc w:val="left"/>
    </w:lvl>
  </w:abstractNum>
  <w:abstractNum w:abstractNumId="2">
    <w:nsid w:val="D60D1EA3"/>
    <w:multiLevelType w:val="singleLevel"/>
    <w:tmpl w:val="D60D1EA3"/>
    <w:lvl w:ilvl="0" w:tentative="0">
      <w:start w:val="2"/>
      <w:numFmt w:val="decimal"/>
      <w:suff w:val="nothing"/>
      <w:lvlText w:val="（%1）"/>
      <w:lvlJc w:val="left"/>
    </w:lvl>
  </w:abstractNum>
  <w:abstractNum w:abstractNumId="3">
    <w:nsid w:val="D7C4088D"/>
    <w:multiLevelType w:val="singleLevel"/>
    <w:tmpl w:val="D7C4088D"/>
    <w:lvl w:ilvl="0" w:tentative="0">
      <w:start w:val="1"/>
      <w:numFmt w:val="decimal"/>
      <w:suff w:val="space"/>
      <w:lvlText w:val="%1."/>
      <w:lvlJc w:val="left"/>
    </w:lvl>
  </w:abstractNum>
  <w:abstractNum w:abstractNumId="4">
    <w:nsid w:val="E82084B0"/>
    <w:multiLevelType w:val="singleLevel"/>
    <w:tmpl w:val="E82084B0"/>
    <w:lvl w:ilvl="0" w:tentative="0">
      <w:start w:val="1"/>
      <w:numFmt w:val="decimal"/>
      <w:suff w:val="nothing"/>
      <w:lvlText w:val="（%1）"/>
      <w:lvlJc w:val="left"/>
    </w:lvl>
  </w:abstractNum>
  <w:abstractNum w:abstractNumId="5">
    <w:nsid w:val="0014E2AC"/>
    <w:multiLevelType w:val="singleLevel"/>
    <w:tmpl w:val="0014E2AC"/>
    <w:lvl w:ilvl="0" w:tentative="0">
      <w:start w:val="4"/>
      <w:numFmt w:val="chineseCounting"/>
      <w:suff w:val="nothing"/>
      <w:lvlText w:val="%1、"/>
      <w:lvlJc w:val="left"/>
      <w:rPr>
        <w:rFonts w:hint="eastAsia"/>
      </w:rPr>
    </w:lvl>
  </w:abstractNum>
  <w:abstractNum w:abstractNumId="6">
    <w:nsid w:val="4F11BB6E"/>
    <w:multiLevelType w:val="singleLevel"/>
    <w:tmpl w:val="4F11BB6E"/>
    <w:lvl w:ilvl="0" w:tentative="0">
      <w:start w:val="1"/>
      <w:numFmt w:val="chineseCounting"/>
      <w:suff w:val="nothing"/>
      <w:lvlText w:val="%1、"/>
      <w:lvlJc w:val="left"/>
      <w:rPr>
        <w:rFonts w:hint="eastAsia"/>
      </w:rPr>
    </w:lvl>
  </w:abstractNum>
  <w:abstractNum w:abstractNumId="7">
    <w:nsid w:val="4F300F8C"/>
    <w:multiLevelType w:val="singleLevel"/>
    <w:tmpl w:val="4F300F8C"/>
    <w:lvl w:ilvl="0" w:tentative="0">
      <w:start w:val="5"/>
      <w:numFmt w:val="decimal"/>
      <w:suff w:val="nothing"/>
      <w:lvlText w:val="%1、"/>
      <w:lvlJc w:val="left"/>
    </w:lvl>
  </w:abstractNum>
  <w:abstractNum w:abstractNumId="8">
    <w:nsid w:val="57CF6043"/>
    <w:multiLevelType w:val="singleLevel"/>
    <w:tmpl w:val="57CF6043"/>
    <w:lvl w:ilvl="0" w:tentative="0">
      <w:start w:val="2"/>
      <w:numFmt w:val="upperLetter"/>
      <w:suff w:val="nothing"/>
      <w:lvlText w:val="%1、"/>
      <w:lvlJc w:val="left"/>
    </w:lvl>
  </w:abstractNum>
  <w:abstractNum w:abstractNumId="9">
    <w:nsid w:val="5DF62CE5"/>
    <w:multiLevelType w:val="singleLevel"/>
    <w:tmpl w:val="5DF62CE5"/>
    <w:lvl w:ilvl="0" w:tentative="0">
      <w:start w:val="1"/>
      <w:numFmt w:val="chineseCounting"/>
      <w:suff w:val="nothing"/>
      <w:lvlText w:val="（%1）"/>
      <w:lvlJc w:val="left"/>
      <w:rPr>
        <w:rFonts w:hint="eastAsia"/>
      </w:rPr>
    </w:lvl>
  </w:abstractNum>
  <w:abstractNum w:abstractNumId="10">
    <w:nsid w:val="61502FB4"/>
    <w:multiLevelType w:val="singleLevel"/>
    <w:tmpl w:val="61502FB4"/>
    <w:lvl w:ilvl="0" w:tentative="0">
      <w:start w:val="1"/>
      <w:numFmt w:val="chineseCounting"/>
      <w:suff w:val="nothing"/>
      <w:lvlText w:val="%1、"/>
      <w:lvlJc w:val="left"/>
      <w:rPr>
        <w:rFonts w:hint="eastAsia"/>
      </w:rPr>
    </w:lvl>
  </w:abstractNum>
  <w:abstractNum w:abstractNumId="11">
    <w:nsid w:val="760155B1"/>
    <w:multiLevelType w:val="singleLevel"/>
    <w:tmpl w:val="760155B1"/>
    <w:lvl w:ilvl="0" w:tentative="0">
      <w:start w:val="1"/>
      <w:numFmt w:val="decimal"/>
      <w:suff w:val="nothing"/>
      <w:lvlText w:val="（%1）"/>
      <w:lvlJc w:val="left"/>
    </w:lvl>
  </w:abstractNum>
  <w:num w:numId="1">
    <w:abstractNumId w:val="11"/>
  </w:num>
  <w:num w:numId="2">
    <w:abstractNumId w:val="2"/>
  </w:num>
  <w:num w:numId="3">
    <w:abstractNumId w:val="0"/>
  </w:num>
  <w:num w:numId="4">
    <w:abstractNumId w:val="6"/>
  </w:num>
  <w:num w:numId="5">
    <w:abstractNumId w:val="7"/>
  </w:num>
  <w:num w:numId="6">
    <w:abstractNumId w:val="8"/>
  </w:num>
  <w:num w:numId="7">
    <w:abstractNumId w:val="4"/>
  </w:num>
  <w:num w:numId="8">
    <w:abstractNumId w:val="5"/>
  </w:num>
  <w:num w:numId="9">
    <w:abstractNumId w:val="10"/>
  </w:num>
  <w:num w:numId="10">
    <w:abstractNumId w:val="9"/>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xZmQ2NDUxYTIzYWRlY2M0ZjhiMmQxZTJiYTVkNTEifQ=="/>
  </w:docVars>
  <w:rsids>
    <w:rsidRoot w:val="00A14947"/>
    <w:rsid w:val="000060B3"/>
    <w:rsid w:val="0004364B"/>
    <w:rsid w:val="00061B1F"/>
    <w:rsid w:val="00067441"/>
    <w:rsid w:val="000733C4"/>
    <w:rsid w:val="00074783"/>
    <w:rsid w:val="0008070B"/>
    <w:rsid w:val="000810AC"/>
    <w:rsid w:val="00081A02"/>
    <w:rsid w:val="00082231"/>
    <w:rsid w:val="00092D38"/>
    <w:rsid w:val="0009377B"/>
    <w:rsid w:val="000A20C9"/>
    <w:rsid w:val="000B058F"/>
    <w:rsid w:val="000B4467"/>
    <w:rsid w:val="000B4DB9"/>
    <w:rsid w:val="000B5868"/>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3110"/>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1CE"/>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7ECA"/>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B6719"/>
    <w:rsid w:val="010D4221"/>
    <w:rsid w:val="011473B7"/>
    <w:rsid w:val="011B5AAA"/>
    <w:rsid w:val="01290F7E"/>
    <w:rsid w:val="01582026"/>
    <w:rsid w:val="015D1E09"/>
    <w:rsid w:val="016F0A91"/>
    <w:rsid w:val="01AD2F2A"/>
    <w:rsid w:val="01B826CD"/>
    <w:rsid w:val="01D47C3E"/>
    <w:rsid w:val="01E634EE"/>
    <w:rsid w:val="020411DA"/>
    <w:rsid w:val="021D673F"/>
    <w:rsid w:val="021E3757"/>
    <w:rsid w:val="022B2C0A"/>
    <w:rsid w:val="023A7377"/>
    <w:rsid w:val="024F7FBE"/>
    <w:rsid w:val="025A529E"/>
    <w:rsid w:val="02697903"/>
    <w:rsid w:val="029A52C7"/>
    <w:rsid w:val="02B129F5"/>
    <w:rsid w:val="02C44E0D"/>
    <w:rsid w:val="02D0730E"/>
    <w:rsid w:val="02E56D2D"/>
    <w:rsid w:val="02F96569"/>
    <w:rsid w:val="03101E00"/>
    <w:rsid w:val="034E34BB"/>
    <w:rsid w:val="03547F3F"/>
    <w:rsid w:val="03A85B56"/>
    <w:rsid w:val="03CE5F43"/>
    <w:rsid w:val="03D251BA"/>
    <w:rsid w:val="03EA7B21"/>
    <w:rsid w:val="040556DD"/>
    <w:rsid w:val="044874C7"/>
    <w:rsid w:val="0449381C"/>
    <w:rsid w:val="04553F6E"/>
    <w:rsid w:val="048B7990"/>
    <w:rsid w:val="048D439E"/>
    <w:rsid w:val="04B0389B"/>
    <w:rsid w:val="04CE46BD"/>
    <w:rsid w:val="04D035F5"/>
    <w:rsid w:val="04E81A87"/>
    <w:rsid w:val="04ED4A7A"/>
    <w:rsid w:val="04F3616F"/>
    <w:rsid w:val="050674E8"/>
    <w:rsid w:val="052D4EEB"/>
    <w:rsid w:val="054F24B2"/>
    <w:rsid w:val="05654127"/>
    <w:rsid w:val="0592111A"/>
    <w:rsid w:val="05A52BC3"/>
    <w:rsid w:val="05F83EAE"/>
    <w:rsid w:val="0627193B"/>
    <w:rsid w:val="063E7D85"/>
    <w:rsid w:val="067813C4"/>
    <w:rsid w:val="067B1C86"/>
    <w:rsid w:val="06BE15D3"/>
    <w:rsid w:val="06C26280"/>
    <w:rsid w:val="06F3506B"/>
    <w:rsid w:val="070342FE"/>
    <w:rsid w:val="07293586"/>
    <w:rsid w:val="07295285"/>
    <w:rsid w:val="073C7668"/>
    <w:rsid w:val="074B2440"/>
    <w:rsid w:val="075057CF"/>
    <w:rsid w:val="07636392"/>
    <w:rsid w:val="076E3F95"/>
    <w:rsid w:val="07770C56"/>
    <w:rsid w:val="07833139"/>
    <w:rsid w:val="0790350F"/>
    <w:rsid w:val="07923DC1"/>
    <w:rsid w:val="079C0106"/>
    <w:rsid w:val="07E9067C"/>
    <w:rsid w:val="082425D6"/>
    <w:rsid w:val="082F0F7A"/>
    <w:rsid w:val="083F7B38"/>
    <w:rsid w:val="08404F36"/>
    <w:rsid w:val="086069C7"/>
    <w:rsid w:val="08777F4E"/>
    <w:rsid w:val="088D7461"/>
    <w:rsid w:val="08A454C4"/>
    <w:rsid w:val="08A91CC7"/>
    <w:rsid w:val="092217DD"/>
    <w:rsid w:val="093A7294"/>
    <w:rsid w:val="097529BD"/>
    <w:rsid w:val="09815C56"/>
    <w:rsid w:val="09A45050"/>
    <w:rsid w:val="09A753F7"/>
    <w:rsid w:val="09AC590E"/>
    <w:rsid w:val="09EF559D"/>
    <w:rsid w:val="0A263993"/>
    <w:rsid w:val="0A2D3AC2"/>
    <w:rsid w:val="0A592132"/>
    <w:rsid w:val="0AA755DF"/>
    <w:rsid w:val="0AEB73DB"/>
    <w:rsid w:val="0AF52007"/>
    <w:rsid w:val="0B0909CD"/>
    <w:rsid w:val="0B120D44"/>
    <w:rsid w:val="0B4A7C65"/>
    <w:rsid w:val="0B696292"/>
    <w:rsid w:val="0B963AEC"/>
    <w:rsid w:val="0BCB0FBA"/>
    <w:rsid w:val="0BD27BF6"/>
    <w:rsid w:val="0BD47E6F"/>
    <w:rsid w:val="0C122745"/>
    <w:rsid w:val="0C2B3807"/>
    <w:rsid w:val="0C3B3C7D"/>
    <w:rsid w:val="0C7C69AA"/>
    <w:rsid w:val="0C7E427E"/>
    <w:rsid w:val="0CA0789A"/>
    <w:rsid w:val="0CAB2EAE"/>
    <w:rsid w:val="0CC021A1"/>
    <w:rsid w:val="0CE045F1"/>
    <w:rsid w:val="0D503726"/>
    <w:rsid w:val="0D621C7D"/>
    <w:rsid w:val="0D7731A8"/>
    <w:rsid w:val="0DC57CC8"/>
    <w:rsid w:val="0E0407B3"/>
    <w:rsid w:val="0E146C48"/>
    <w:rsid w:val="0E250E55"/>
    <w:rsid w:val="0E280F1D"/>
    <w:rsid w:val="0E3E4B0D"/>
    <w:rsid w:val="0E73034D"/>
    <w:rsid w:val="0E736B7C"/>
    <w:rsid w:val="0E7B0A75"/>
    <w:rsid w:val="0EA224A6"/>
    <w:rsid w:val="0EAF4BC3"/>
    <w:rsid w:val="0EEA75B4"/>
    <w:rsid w:val="0EFB1881"/>
    <w:rsid w:val="0EFF1F0F"/>
    <w:rsid w:val="0F0B1785"/>
    <w:rsid w:val="0F0C5B71"/>
    <w:rsid w:val="0F13775A"/>
    <w:rsid w:val="0F2B25C0"/>
    <w:rsid w:val="0F3A448D"/>
    <w:rsid w:val="0F4C2742"/>
    <w:rsid w:val="0F4D1BF6"/>
    <w:rsid w:val="0F523FC7"/>
    <w:rsid w:val="0F5F45FE"/>
    <w:rsid w:val="0F8F2958"/>
    <w:rsid w:val="0F9A112B"/>
    <w:rsid w:val="0F9F0CD5"/>
    <w:rsid w:val="10022AD1"/>
    <w:rsid w:val="101A0B70"/>
    <w:rsid w:val="101F18D4"/>
    <w:rsid w:val="10355B77"/>
    <w:rsid w:val="106D2F64"/>
    <w:rsid w:val="1089427B"/>
    <w:rsid w:val="1090632E"/>
    <w:rsid w:val="10AC760C"/>
    <w:rsid w:val="10AD57B2"/>
    <w:rsid w:val="10B63710"/>
    <w:rsid w:val="10C45AD0"/>
    <w:rsid w:val="10D601E5"/>
    <w:rsid w:val="10F10820"/>
    <w:rsid w:val="111C2F7A"/>
    <w:rsid w:val="11257953"/>
    <w:rsid w:val="115F57E9"/>
    <w:rsid w:val="11665CA1"/>
    <w:rsid w:val="11716160"/>
    <w:rsid w:val="119D4B6C"/>
    <w:rsid w:val="11B5604C"/>
    <w:rsid w:val="11BF6ECB"/>
    <w:rsid w:val="11CE35B2"/>
    <w:rsid w:val="11FD1766"/>
    <w:rsid w:val="121D6665"/>
    <w:rsid w:val="122608C0"/>
    <w:rsid w:val="1233026B"/>
    <w:rsid w:val="12422372"/>
    <w:rsid w:val="124B08F1"/>
    <w:rsid w:val="1270692A"/>
    <w:rsid w:val="12AF6F40"/>
    <w:rsid w:val="12B67403"/>
    <w:rsid w:val="12E0534B"/>
    <w:rsid w:val="12E12E71"/>
    <w:rsid w:val="12FB25CF"/>
    <w:rsid w:val="12FE1C75"/>
    <w:rsid w:val="133643FF"/>
    <w:rsid w:val="13951726"/>
    <w:rsid w:val="13B30CB1"/>
    <w:rsid w:val="13F76AA2"/>
    <w:rsid w:val="13F866C4"/>
    <w:rsid w:val="141762EA"/>
    <w:rsid w:val="142B7C29"/>
    <w:rsid w:val="14396509"/>
    <w:rsid w:val="143C2A55"/>
    <w:rsid w:val="14DD2C3C"/>
    <w:rsid w:val="14F377D6"/>
    <w:rsid w:val="14F93F9F"/>
    <w:rsid w:val="159D5775"/>
    <w:rsid w:val="15BA6327"/>
    <w:rsid w:val="15BD5E17"/>
    <w:rsid w:val="15EB4733"/>
    <w:rsid w:val="15F23145"/>
    <w:rsid w:val="16021A7C"/>
    <w:rsid w:val="16087E1D"/>
    <w:rsid w:val="161A0B74"/>
    <w:rsid w:val="16374B8E"/>
    <w:rsid w:val="167D26CF"/>
    <w:rsid w:val="16E557E9"/>
    <w:rsid w:val="16F771B9"/>
    <w:rsid w:val="170924F7"/>
    <w:rsid w:val="17224A57"/>
    <w:rsid w:val="17306CB6"/>
    <w:rsid w:val="175D340E"/>
    <w:rsid w:val="175D54EB"/>
    <w:rsid w:val="17667DE9"/>
    <w:rsid w:val="176D5FB9"/>
    <w:rsid w:val="17701D14"/>
    <w:rsid w:val="17735226"/>
    <w:rsid w:val="178A1D29"/>
    <w:rsid w:val="179606CE"/>
    <w:rsid w:val="17D2722C"/>
    <w:rsid w:val="17DD3C4C"/>
    <w:rsid w:val="17F11DA8"/>
    <w:rsid w:val="17FC58BC"/>
    <w:rsid w:val="1837463A"/>
    <w:rsid w:val="18547009"/>
    <w:rsid w:val="185E15FE"/>
    <w:rsid w:val="186B1B5B"/>
    <w:rsid w:val="189F624C"/>
    <w:rsid w:val="18B52A82"/>
    <w:rsid w:val="18C748B7"/>
    <w:rsid w:val="18E35B95"/>
    <w:rsid w:val="18F367AA"/>
    <w:rsid w:val="19305637"/>
    <w:rsid w:val="1947297F"/>
    <w:rsid w:val="199967C6"/>
    <w:rsid w:val="19B52BBD"/>
    <w:rsid w:val="19BB08C0"/>
    <w:rsid w:val="19D674A8"/>
    <w:rsid w:val="19F030FB"/>
    <w:rsid w:val="19FE3F72"/>
    <w:rsid w:val="1A1B135F"/>
    <w:rsid w:val="1A1C66C0"/>
    <w:rsid w:val="1A367A00"/>
    <w:rsid w:val="1A42393B"/>
    <w:rsid w:val="1AAD45DE"/>
    <w:rsid w:val="1AC656C9"/>
    <w:rsid w:val="1AD05CA5"/>
    <w:rsid w:val="1AE21AC3"/>
    <w:rsid w:val="1B046F80"/>
    <w:rsid w:val="1B1D634E"/>
    <w:rsid w:val="1B28788F"/>
    <w:rsid w:val="1B297821"/>
    <w:rsid w:val="1B2D41A2"/>
    <w:rsid w:val="1B3267B5"/>
    <w:rsid w:val="1B40161D"/>
    <w:rsid w:val="1B441859"/>
    <w:rsid w:val="1B467B83"/>
    <w:rsid w:val="1B477640"/>
    <w:rsid w:val="1B4A3CA9"/>
    <w:rsid w:val="1B6606B1"/>
    <w:rsid w:val="1B6A42E9"/>
    <w:rsid w:val="1B792F3E"/>
    <w:rsid w:val="1B7A20B5"/>
    <w:rsid w:val="1B800A22"/>
    <w:rsid w:val="1B83540D"/>
    <w:rsid w:val="1BA348D0"/>
    <w:rsid w:val="1BEA02C3"/>
    <w:rsid w:val="1BF956CF"/>
    <w:rsid w:val="1C424981"/>
    <w:rsid w:val="1C5E7925"/>
    <w:rsid w:val="1C746B04"/>
    <w:rsid w:val="1C9E2553"/>
    <w:rsid w:val="1CC730D8"/>
    <w:rsid w:val="1CE9552B"/>
    <w:rsid w:val="1CFD070F"/>
    <w:rsid w:val="1D0D4145"/>
    <w:rsid w:val="1D2E3157"/>
    <w:rsid w:val="1D5F6196"/>
    <w:rsid w:val="1D6132A5"/>
    <w:rsid w:val="1D8B67FB"/>
    <w:rsid w:val="1D8E56D5"/>
    <w:rsid w:val="1DB9543F"/>
    <w:rsid w:val="1DE50CF7"/>
    <w:rsid w:val="1DEF6D8A"/>
    <w:rsid w:val="1DF60CD6"/>
    <w:rsid w:val="1DF75C3F"/>
    <w:rsid w:val="1DF91058"/>
    <w:rsid w:val="1DFB4367"/>
    <w:rsid w:val="1E1E4F79"/>
    <w:rsid w:val="1E2B2712"/>
    <w:rsid w:val="1E3B1FCF"/>
    <w:rsid w:val="1E454BFC"/>
    <w:rsid w:val="1E5D0198"/>
    <w:rsid w:val="1E636E30"/>
    <w:rsid w:val="1E7A43DA"/>
    <w:rsid w:val="1E854FF8"/>
    <w:rsid w:val="1E920A16"/>
    <w:rsid w:val="1ED14A27"/>
    <w:rsid w:val="1EF412C8"/>
    <w:rsid w:val="1EF67CA4"/>
    <w:rsid w:val="1F042D7B"/>
    <w:rsid w:val="1F26058A"/>
    <w:rsid w:val="1F4D4353"/>
    <w:rsid w:val="1F5216F6"/>
    <w:rsid w:val="1F9D3040"/>
    <w:rsid w:val="1FA31A38"/>
    <w:rsid w:val="1FA92F69"/>
    <w:rsid w:val="1FB73CBA"/>
    <w:rsid w:val="1FE7539E"/>
    <w:rsid w:val="1FED10A7"/>
    <w:rsid w:val="1FF14BF6"/>
    <w:rsid w:val="201C08A6"/>
    <w:rsid w:val="202076CF"/>
    <w:rsid w:val="2040536F"/>
    <w:rsid w:val="205E1FA5"/>
    <w:rsid w:val="20671BE0"/>
    <w:rsid w:val="20692E24"/>
    <w:rsid w:val="20855784"/>
    <w:rsid w:val="20963CB8"/>
    <w:rsid w:val="20A81A1B"/>
    <w:rsid w:val="20B07FB6"/>
    <w:rsid w:val="20B646FB"/>
    <w:rsid w:val="20B83463"/>
    <w:rsid w:val="20F57EB5"/>
    <w:rsid w:val="212C634C"/>
    <w:rsid w:val="213B74B1"/>
    <w:rsid w:val="215A2310"/>
    <w:rsid w:val="216A2BC3"/>
    <w:rsid w:val="217C6B87"/>
    <w:rsid w:val="21863561"/>
    <w:rsid w:val="21884BA0"/>
    <w:rsid w:val="218B0B78"/>
    <w:rsid w:val="219442AF"/>
    <w:rsid w:val="21B52CFF"/>
    <w:rsid w:val="21DE318A"/>
    <w:rsid w:val="21EB5ABA"/>
    <w:rsid w:val="21EF5B80"/>
    <w:rsid w:val="220F3557"/>
    <w:rsid w:val="223446A2"/>
    <w:rsid w:val="223702AD"/>
    <w:rsid w:val="22576990"/>
    <w:rsid w:val="22D12F02"/>
    <w:rsid w:val="22EC725D"/>
    <w:rsid w:val="22F47480"/>
    <w:rsid w:val="23007343"/>
    <w:rsid w:val="23121042"/>
    <w:rsid w:val="231E77CA"/>
    <w:rsid w:val="232C0785"/>
    <w:rsid w:val="236B2A0F"/>
    <w:rsid w:val="239301B8"/>
    <w:rsid w:val="239F4DAE"/>
    <w:rsid w:val="23B32608"/>
    <w:rsid w:val="23C15C65"/>
    <w:rsid w:val="23D73260"/>
    <w:rsid w:val="23DE1C48"/>
    <w:rsid w:val="240210CD"/>
    <w:rsid w:val="24134E54"/>
    <w:rsid w:val="243B4AD7"/>
    <w:rsid w:val="243E19E1"/>
    <w:rsid w:val="244B2FF3"/>
    <w:rsid w:val="24633790"/>
    <w:rsid w:val="2463402E"/>
    <w:rsid w:val="2471346D"/>
    <w:rsid w:val="24750ADE"/>
    <w:rsid w:val="248633F9"/>
    <w:rsid w:val="24B85758"/>
    <w:rsid w:val="24BF09F7"/>
    <w:rsid w:val="24D40A88"/>
    <w:rsid w:val="24E41E41"/>
    <w:rsid w:val="24FD3853"/>
    <w:rsid w:val="252D53FE"/>
    <w:rsid w:val="25431CE8"/>
    <w:rsid w:val="25CE25AC"/>
    <w:rsid w:val="25D326E0"/>
    <w:rsid w:val="25E45320"/>
    <w:rsid w:val="25E847EB"/>
    <w:rsid w:val="25EC2D81"/>
    <w:rsid w:val="25F82554"/>
    <w:rsid w:val="26062EC3"/>
    <w:rsid w:val="267A11BB"/>
    <w:rsid w:val="26AA5F44"/>
    <w:rsid w:val="26DB2ADB"/>
    <w:rsid w:val="27125FF0"/>
    <w:rsid w:val="27220BEC"/>
    <w:rsid w:val="27310B9A"/>
    <w:rsid w:val="274C0DA9"/>
    <w:rsid w:val="277057A2"/>
    <w:rsid w:val="27B84691"/>
    <w:rsid w:val="27B923E1"/>
    <w:rsid w:val="27DF5779"/>
    <w:rsid w:val="27FA3BC9"/>
    <w:rsid w:val="27FD02F5"/>
    <w:rsid w:val="280823A4"/>
    <w:rsid w:val="28377363"/>
    <w:rsid w:val="285919D0"/>
    <w:rsid w:val="289B3D96"/>
    <w:rsid w:val="28A073F3"/>
    <w:rsid w:val="28B975E6"/>
    <w:rsid w:val="28DE3C83"/>
    <w:rsid w:val="28E026ED"/>
    <w:rsid w:val="28EC10D4"/>
    <w:rsid w:val="291D0C4F"/>
    <w:rsid w:val="29206EB8"/>
    <w:rsid w:val="292158CD"/>
    <w:rsid w:val="29362EF5"/>
    <w:rsid w:val="293B7327"/>
    <w:rsid w:val="294E0E09"/>
    <w:rsid w:val="29595666"/>
    <w:rsid w:val="29606D8E"/>
    <w:rsid w:val="29614C3E"/>
    <w:rsid w:val="29874881"/>
    <w:rsid w:val="298F4F7D"/>
    <w:rsid w:val="299A1E4A"/>
    <w:rsid w:val="29B7308B"/>
    <w:rsid w:val="29D25A8C"/>
    <w:rsid w:val="29E325E0"/>
    <w:rsid w:val="2A1831C5"/>
    <w:rsid w:val="2A1B4A63"/>
    <w:rsid w:val="2A3D0E7D"/>
    <w:rsid w:val="2A452503"/>
    <w:rsid w:val="2A517A32"/>
    <w:rsid w:val="2A7228D5"/>
    <w:rsid w:val="2A781EB5"/>
    <w:rsid w:val="2A7C19A5"/>
    <w:rsid w:val="2A9036A3"/>
    <w:rsid w:val="2A994305"/>
    <w:rsid w:val="2AA9206F"/>
    <w:rsid w:val="2AD27734"/>
    <w:rsid w:val="2AD910B0"/>
    <w:rsid w:val="2B05115E"/>
    <w:rsid w:val="2B0B15B0"/>
    <w:rsid w:val="2B0B7137"/>
    <w:rsid w:val="2B6B17D0"/>
    <w:rsid w:val="2B7724BC"/>
    <w:rsid w:val="2B9E76FA"/>
    <w:rsid w:val="2BA936A8"/>
    <w:rsid w:val="2BBB64FD"/>
    <w:rsid w:val="2BC2048D"/>
    <w:rsid w:val="2C315A5A"/>
    <w:rsid w:val="2C4B1C25"/>
    <w:rsid w:val="2C5310EE"/>
    <w:rsid w:val="2C583A53"/>
    <w:rsid w:val="2C5F50DB"/>
    <w:rsid w:val="2C5F7C73"/>
    <w:rsid w:val="2C717A00"/>
    <w:rsid w:val="2C7C7A3B"/>
    <w:rsid w:val="2C7F752B"/>
    <w:rsid w:val="2C9A6F6D"/>
    <w:rsid w:val="2D0B6F8F"/>
    <w:rsid w:val="2D0F4D53"/>
    <w:rsid w:val="2D126075"/>
    <w:rsid w:val="2D1D4127"/>
    <w:rsid w:val="2D2621B9"/>
    <w:rsid w:val="2D35408E"/>
    <w:rsid w:val="2D3C71CA"/>
    <w:rsid w:val="2D406CBA"/>
    <w:rsid w:val="2D455A96"/>
    <w:rsid w:val="2D4B5198"/>
    <w:rsid w:val="2D5C5ABE"/>
    <w:rsid w:val="2D6230D5"/>
    <w:rsid w:val="2D9E56F5"/>
    <w:rsid w:val="2DAD2253"/>
    <w:rsid w:val="2E1A575D"/>
    <w:rsid w:val="2E667F96"/>
    <w:rsid w:val="2E6F2C34"/>
    <w:rsid w:val="2E750BE6"/>
    <w:rsid w:val="2E8226AB"/>
    <w:rsid w:val="2E8452CD"/>
    <w:rsid w:val="2EC67693"/>
    <w:rsid w:val="2ED20E4E"/>
    <w:rsid w:val="2EF55332"/>
    <w:rsid w:val="2F087CAC"/>
    <w:rsid w:val="2F1877C3"/>
    <w:rsid w:val="2F7517DB"/>
    <w:rsid w:val="2F7747C3"/>
    <w:rsid w:val="2F7B4DDE"/>
    <w:rsid w:val="2F8530AA"/>
    <w:rsid w:val="2FB43990"/>
    <w:rsid w:val="2FCE2A0E"/>
    <w:rsid w:val="2FD065E6"/>
    <w:rsid w:val="2FD96870"/>
    <w:rsid w:val="2FE778C1"/>
    <w:rsid w:val="2FE83639"/>
    <w:rsid w:val="2FF65438"/>
    <w:rsid w:val="2FFD22B7"/>
    <w:rsid w:val="300541EB"/>
    <w:rsid w:val="300C37CC"/>
    <w:rsid w:val="30285ACB"/>
    <w:rsid w:val="30332B06"/>
    <w:rsid w:val="304118AD"/>
    <w:rsid w:val="30563949"/>
    <w:rsid w:val="30580BC9"/>
    <w:rsid w:val="30924707"/>
    <w:rsid w:val="30B8300C"/>
    <w:rsid w:val="30F2476F"/>
    <w:rsid w:val="30FA09A6"/>
    <w:rsid w:val="310426F5"/>
    <w:rsid w:val="311B0A66"/>
    <w:rsid w:val="311E2ED7"/>
    <w:rsid w:val="3138414C"/>
    <w:rsid w:val="315619EE"/>
    <w:rsid w:val="315C449C"/>
    <w:rsid w:val="31A150FE"/>
    <w:rsid w:val="31B7262F"/>
    <w:rsid w:val="31B82709"/>
    <w:rsid w:val="31C24D0C"/>
    <w:rsid w:val="31D05482"/>
    <w:rsid w:val="31E00383"/>
    <w:rsid w:val="323112C7"/>
    <w:rsid w:val="3232066E"/>
    <w:rsid w:val="323A7077"/>
    <w:rsid w:val="32400B34"/>
    <w:rsid w:val="32743C28"/>
    <w:rsid w:val="329E6876"/>
    <w:rsid w:val="32AC094E"/>
    <w:rsid w:val="32D57A9A"/>
    <w:rsid w:val="32DE7E8E"/>
    <w:rsid w:val="32EE540A"/>
    <w:rsid w:val="333015F2"/>
    <w:rsid w:val="334B6320"/>
    <w:rsid w:val="33590AD6"/>
    <w:rsid w:val="337C30AF"/>
    <w:rsid w:val="33884F17"/>
    <w:rsid w:val="33947D60"/>
    <w:rsid w:val="33A27B7A"/>
    <w:rsid w:val="33A61834"/>
    <w:rsid w:val="33B472C5"/>
    <w:rsid w:val="33BD2516"/>
    <w:rsid w:val="33C8329C"/>
    <w:rsid w:val="33D934D4"/>
    <w:rsid w:val="33FE2F6A"/>
    <w:rsid w:val="340A0022"/>
    <w:rsid w:val="340E07E5"/>
    <w:rsid w:val="34235BF7"/>
    <w:rsid w:val="34476B80"/>
    <w:rsid w:val="3448340A"/>
    <w:rsid w:val="3449641B"/>
    <w:rsid w:val="345707EA"/>
    <w:rsid w:val="345946EE"/>
    <w:rsid w:val="34790D04"/>
    <w:rsid w:val="347E3B45"/>
    <w:rsid w:val="349A75F8"/>
    <w:rsid w:val="34F13EEA"/>
    <w:rsid w:val="35221352"/>
    <w:rsid w:val="353F29DC"/>
    <w:rsid w:val="35613C72"/>
    <w:rsid w:val="35814A61"/>
    <w:rsid w:val="358C5FA8"/>
    <w:rsid w:val="35A87AF3"/>
    <w:rsid w:val="35B50461"/>
    <w:rsid w:val="35C15DF1"/>
    <w:rsid w:val="35D73F34"/>
    <w:rsid w:val="360141CB"/>
    <w:rsid w:val="36074A7F"/>
    <w:rsid w:val="360D628A"/>
    <w:rsid w:val="361C228F"/>
    <w:rsid w:val="36260A17"/>
    <w:rsid w:val="366559E4"/>
    <w:rsid w:val="36923549"/>
    <w:rsid w:val="369736C3"/>
    <w:rsid w:val="36A743DD"/>
    <w:rsid w:val="36B75FBF"/>
    <w:rsid w:val="36BD0C45"/>
    <w:rsid w:val="36E56B24"/>
    <w:rsid w:val="36F823B4"/>
    <w:rsid w:val="37072D8A"/>
    <w:rsid w:val="371877D4"/>
    <w:rsid w:val="372C0D8E"/>
    <w:rsid w:val="374E0226"/>
    <w:rsid w:val="375F68D7"/>
    <w:rsid w:val="376B5953"/>
    <w:rsid w:val="37797999"/>
    <w:rsid w:val="379221BF"/>
    <w:rsid w:val="37B54749"/>
    <w:rsid w:val="37C34228"/>
    <w:rsid w:val="37E00298"/>
    <w:rsid w:val="37E172EC"/>
    <w:rsid w:val="37E56DDC"/>
    <w:rsid w:val="382F2E63"/>
    <w:rsid w:val="38517682"/>
    <w:rsid w:val="385D38A9"/>
    <w:rsid w:val="387E0FDF"/>
    <w:rsid w:val="388D4D7E"/>
    <w:rsid w:val="38A77D82"/>
    <w:rsid w:val="38B302F9"/>
    <w:rsid w:val="38E01351"/>
    <w:rsid w:val="38F12CD3"/>
    <w:rsid w:val="38F94775"/>
    <w:rsid w:val="38FC0F83"/>
    <w:rsid w:val="39072D82"/>
    <w:rsid w:val="39240A54"/>
    <w:rsid w:val="392971ED"/>
    <w:rsid w:val="39325651"/>
    <w:rsid w:val="393618B9"/>
    <w:rsid w:val="394C69E7"/>
    <w:rsid w:val="395D29A2"/>
    <w:rsid w:val="39B72FDF"/>
    <w:rsid w:val="39C173D5"/>
    <w:rsid w:val="39DF0DF7"/>
    <w:rsid w:val="39EA4C4A"/>
    <w:rsid w:val="39FB7B84"/>
    <w:rsid w:val="3A3233E1"/>
    <w:rsid w:val="3A8723CC"/>
    <w:rsid w:val="3A872856"/>
    <w:rsid w:val="3A936B47"/>
    <w:rsid w:val="3A956628"/>
    <w:rsid w:val="3ACD3B57"/>
    <w:rsid w:val="3AD06AE1"/>
    <w:rsid w:val="3AE17CF3"/>
    <w:rsid w:val="3B3763D1"/>
    <w:rsid w:val="3BA408E9"/>
    <w:rsid w:val="3BC57F8C"/>
    <w:rsid w:val="3C0417FB"/>
    <w:rsid w:val="3C221C81"/>
    <w:rsid w:val="3C2F6E1E"/>
    <w:rsid w:val="3C3100FB"/>
    <w:rsid w:val="3C4F64BA"/>
    <w:rsid w:val="3C544486"/>
    <w:rsid w:val="3C862210"/>
    <w:rsid w:val="3C975F99"/>
    <w:rsid w:val="3CBF1164"/>
    <w:rsid w:val="3CBF69CE"/>
    <w:rsid w:val="3CC01BC6"/>
    <w:rsid w:val="3CDA245A"/>
    <w:rsid w:val="3CE82ECA"/>
    <w:rsid w:val="3D1E06B7"/>
    <w:rsid w:val="3D3A1978"/>
    <w:rsid w:val="3D6055D1"/>
    <w:rsid w:val="3D804EB1"/>
    <w:rsid w:val="3D94039D"/>
    <w:rsid w:val="3DDA0A65"/>
    <w:rsid w:val="3DE6740A"/>
    <w:rsid w:val="3E1D4DF6"/>
    <w:rsid w:val="3E285C74"/>
    <w:rsid w:val="3E4203B8"/>
    <w:rsid w:val="3E5C147A"/>
    <w:rsid w:val="3EBC6464"/>
    <w:rsid w:val="3EDA0523"/>
    <w:rsid w:val="3EF618CF"/>
    <w:rsid w:val="3F001496"/>
    <w:rsid w:val="3F00630E"/>
    <w:rsid w:val="3F1D275F"/>
    <w:rsid w:val="3F2350B4"/>
    <w:rsid w:val="3F243CAB"/>
    <w:rsid w:val="3F591E5E"/>
    <w:rsid w:val="3F6A6088"/>
    <w:rsid w:val="3F740A45"/>
    <w:rsid w:val="3F8B4A3E"/>
    <w:rsid w:val="3FA73F8F"/>
    <w:rsid w:val="3FC512A1"/>
    <w:rsid w:val="3FD306B4"/>
    <w:rsid w:val="3FD87804"/>
    <w:rsid w:val="3FF87DE8"/>
    <w:rsid w:val="401B054E"/>
    <w:rsid w:val="403A18CA"/>
    <w:rsid w:val="404073B9"/>
    <w:rsid w:val="405368AD"/>
    <w:rsid w:val="407A6407"/>
    <w:rsid w:val="412D06F1"/>
    <w:rsid w:val="414A6733"/>
    <w:rsid w:val="41B94E35"/>
    <w:rsid w:val="41E31598"/>
    <w:rsid w:val="41F45E6E"/>
    <w:rsid w:val="41F919DE"/>
    <w:rsid w:val="41FA6440"/>
    <w:rsid w:val="4200449D"/>
    <w:rsid w:val="42132798"/>
    <w:rsid w:val="423A3BCC"/>
    <w:rsid w:val="424B68DD"/>
    <w:rsid w:val="424E57D2"/>
    <w:rsid w:val="425863FC"/>
    <w:rsid w:val="42B26C49"/>
    <w:rsid w:val="42C615B8"/>
    <w:rsid w:val="42E2492B"/>
    <w:rsid w:val="42E45B26"/>
    <w:rsid w:val="43234C5C"/>
    <w:rsid w:val="432C5C1A"/>
    <w:rsid w:val="43360651"/>
    <w:rsid w:val="433A6FE6"/>
    <w:rsid w:val="43480868"/>
    <w:rsid w:val="4350713C"/>
    <w:rsid w:val="436653E0"/>
    <w:rsid w:val="437E00E5"/>
    <w:rsid w:val="43BC2ACA"/>
    <w:rsid w:val="43C4431A"/>
    <w:rsid w:val="43D94EDE"/>
    <w:rsid w:val="43E3619A"/>
    <w:rsid w:val="43FE2FD4"/>
    <w:rsid w:val="44150101"/>
    <w:rsid w:val="442B6778"/>
    <w:rsid w:val="443C4228"/>
    <w:rsid w:val="446C3A61"/>
    <w:rsid w:val="44751558"/>
    <w:rsid w:val="447D7EB1"/>
    <w:rsid w:val="447E1FE9"/>
    <w:rsid w:val="44AD5BF5"/>
    <w:rsid w:val="44B951CC"/>
    <w:rsid w:val="44CD14E0"/>
    <w:rsid w:val="44DA57EF"/>
    <w:rsid w:val="44DE708D"/>
    <w:rsid w:val="44F20B0B"/>
    <w:rsid w:val="450D419D"/>
    <w:rsid w:val="45297C62"/>
    <w:rsid w:val="452E5F4C"/>
    <w:rsid w:val="453A003B"/>
    <w:rsid w:val="455D29FF"/>
    <w:rsid w:val="45612018"/>
    <w:rsid w:val="457161F8"/>
    <w:rsid w:val="458946E9"/>
    <w:rsid w:val="45A47C0E"/>
    <w:rsid w:val="45AC0F39"/>
    <w:rsid w:val="45C75D73"/>
    <w:rsid w:val="45F03AE7"/>
    <w:rsid w:val="46012146"/>
    <w:rsid w:val="46362EF9"/>
    <w:rsid w:val="4654337F"/>
    <w:rsid w:val="46577FD6"/>
    <w:rsid w:val="4658702B"/>
    <w:rsid w:val="466704B9"/>
    <w:rsid w:val="469D2F78"/>
    <w:rsid w:val="46A20569"/>
    <w:rsid w:val="46C655F9"/>
    <w:rsid w:val="46D83FB0"/>
    <w:rsid w:val="46D955A7"/>
    <w:rsid w:val="46EE37D3"/>
    <w:rsid w:val="46FC5B68"/>
    <w:rsid w:val="47064679"/>
    <w:rsid w:val="47093322"/>
    <w:rsid w:val="47133957"/>
    <w:rsid w:val="4740402F"/>
    <w:rsid w:val="474E6020"/>
    <w:rsid w:val="47947ED7"/>
    <w:rsid w:val="47A07E0C"/>
    <w:rsid w:val="47C1679C"/>
    <w:rsid w:val="47E1531F"/>
    <w:rsid w:val="4828061F"/>
    <w:rsid w:val="483B06FE"/>
    <w:rsid w:val="48437E3F"/>
    <w:rsid w:val="48584FE2"/>
    <w:rsid w:val="4870272E"/>
    <w:rsid w:val="488754CA"/>
    <w:rsid w:val="489A151D"/>
    <w:rsid w:val="48DE3179"/>
    <w:rsid w:val="48F97B6F"/>
    <w:rsid w:val="49107A31"/>
    <w:rsid w:val="491868E5"/>
    <w:rsid w:val="4948541D"/>
    <w:rsid w:val="494A27D0"/>
    <w:rsid w:val="495A2B03"/>
    <w:rsid w:val="497F0713"/>
    <w:rsid w:val="49DC7715"/>
    <w:rsid w:val="49EA2030"/>
    <w:rsid w:val="4A023139"/>
    <w:rsid w:val="4A1B668D"/>
    <w:rsid w:val="4A206C0F"/>
    <w:rsid w:val="4A2B5914"/>
    <w:rsid w:val="4A437992"/>
    <w:rsid w:val="4A4B0EA2"/>
    <w:rsid w:val="4A5C2802"/>
    <w:rsid w:val="4A5F5508"/>
    <w:rsid w:val="4A7B576F"/>
    <w:rsid w:val="4A946440"/>
    <w:rsid w:val="4A9621B8"/>
    <w:rsid w:val="4AC5484B"/>
    <w:rsid w:val="4AC805F9"/>
    <w:rsid w:val="4AC97E97"/>
    <w:rsid w:val="4AD5391D"/>
    <w:rsid w:val="4ADE4577"/>
    <w:rsid w:val="4AF23F74"/>
    <w:rsid w:val="4AF3270A"/>
    <w:rsid w:val="4AF561A9"/>
    <w:rsid w:val="4B072A4F"/>
    <w:rsid w:val="4B20711B"/>
    <w:rsid w:val="4B630CFB"/>
    <w:rsid w:val="4B7A5635"/>
    <w:rsid w:val="4B83273C"/>
    <w:rsid w:val="4B86222C"/>
    <w:rsid w:val="4B923A2A"/>
    <w:rsid w:val="4BA44460"/>
    <w:rsid w:val="4BDD5D96"/>
    <w:rsid w:val="4C093134"/>
    <w:rsid w:val="4C124B76"/>
    <w:rsid w:val="4C1A4723"/>
    <w:rsid w:val="4C2D55A1"/>
    <w:rsid w:val="4C4A0649"/>
    <w:rsid w:val="4C5373EE"/>
    <w:rsid w:val="4C79769B"/>
    <w:rsid w:val="4C7E5ECA"/>
    <w:rsid w:val="4C876AA5"/>
    <w:rsid w:val="4C912C37"/>
    <w:rsid w:val="4CA46E0E"/>
    <w:rsid w:val="4CA9103C"/>
    <w:rsid w:val="4CDD7C2A"/>
    <w:rsid w:val="4D0735D1"/>
    <w:rsid w:val="4D0E00FB"/>
    <w:rsid w:val="4D176606"/>
    <w:rsid w:val="4D296C8B"/>
    <w:rsid w:val="4D2C45E1"/>
    <w:rsid w:val="4D66008C"/>
    <w:rsid w:val="4DAE5A6A"/>
    <w:rsid w:val="4DB841F3"/>
    <w:rsid w:val="4DEC4FB0"/>
    <w:rsid w:val="4DF72F6D"/>
    <w:rsid w:val="4E075D8A"/>
    <w:rsid w:val="4E8C5DAC"/>
    <w:rsid w:val="4E8D5680"/>
    <w:rsid w:val="4EC00FAD"/>
    <w:rsid w:val="4ECD1C42"/>
    <w:rsid w:val="4ECF05AD"/>
    <w:rsid w:val="4EEA6103"/>
    <w:rsid w:val="4EFC61EA"/>
    <w:rsid w:val="4EFE5F84"/>
    <w:rsid w:val="4F064DDE"/>
    <w:rsid w:val="4F6665FD"/>
    <w:rsid w:val="4F9843DC"/>
    <w:rsid w:val="4FB82BD0"/>
    <w:rsid w:val="4FC155E1"/>
    <w:rsid w:val="4FC62A8C"/>
    <w:rsid w:val="4FCC273F"/>
    <w:rsid w:val="4FE20F0D"/>
    <w:rsid w:val="4FE51552"/>
    <w:rsid w:val="4FF3105E"/>
    <w:rsid w:val="4FF4434D"/>
    <w:rsid w:val="500D6A78"/>
    <w:rsid w:val="50245B70"/>
    <w:rsid w:val="50504C4B"/>
    <w:rsid w:val="505C761C"/>
    <w:rsid w:val="507C3712"/>
    <w:rsid w:val="508A1E77"/>
    <w:rsid w:val="508B36C9"/>
    <w:rsid w:val="509C6E7C"/>
    <w:rsid w:val="50A87FE6"/>
    <w:rsid w:val="50CD4459"/>
    <w:rsid w:val="50EE4AFC"/>
    <w:rsid w:val="512562C1"/>
    <w:rsid w:val="51271DBC"/>
    <w:rsid w:val="515E090B"/>
    <w:rsid w:val="5162104E"/>
    <w:rsid w:val="51775889"/>
    <w:rsid w:val="519A7C0E"/>
    <w:rsid w:val="51AC406F"/>
    <w:rsid w:val="51B3364F"/>
    <w:rsid w:val="52250D1A"/>
    <w:rsid w:val="525A1D1D"/>
    <w:rsid w:val="528C4722"/>
    <w:rsid w:val="52B94C95"/>
    <w:rsid w:val="52C65755"/>
    <w:rsid w:val="531D77B8"/>
    <w:rsid w:val="5343430D"/>
    <w:rsid w:val="537B1F4B"/>
    <w:rsid w:val="538928BA"/>
    <w:rsid w:val="53A039CC"/>
    <w:rsid w:val="53A1505A"/>
    <w:rsid w:val="53C833FD"/>
    <w:rsid w:val="53F87A3F"/>
    <w:rsid w:val="54063E08"/>
    <w:rsid w:val="543437E8"/>
    <w:rsid w:val="543D5452"/>
    <w:rsid w:val="545253A1"/>
    <w:rsid w:val="54A64936"/>
    <w:rsid w:val="54AB5F5C"/>
    <w:rsid w:val="54B43966"/>
    <w:rsid w:val="54B55930"/>
    <w:rsid w:val="54CA13DC"/>
    <w:rsid w:val="54D24947"/>
    <w:rsid w:val="54F73313"/>
    <w:rsid w:val="54F80955"/>
    <w:rsid w:val="5515047C"/>
    <w:rsid w:val="55393E6B"/>
    <w:rsid w:val="555170A7"/>
    <w:rsid w:val="555C71AA"/>
    <w:rsid w:val="557A42D3"/>
    <w:rsid w:val="5587536D"/>
    <w:rsid w:val="559B174B"/>
    <w:rsid w:val="55AA648C"/>
    <w:rsid w:val="55AF2CD7"/>
    <w:rsid w:val="55CE0CF4"/>
    <w:rsid w:val="55D50038"/>
    <w:rsid w:val="55E4027B"/>
    <w:rsid w:val="55EA5046"/>
    <w:rsid w:val="56130B60"/>
    <w:rsid w:val="561602FF"/>
    <w:rsid w:val="562248A0"/>
    <w:rsid w:val="563D5BDD"/>
    <w:rsid w:val="565015F9"/>
    <w:rsid w:val="56554CD5"/>
    <w:rsid w:val="56580749"/>
    <w:rsid w:val="56755377"/>
    <w:rsid w:val="569948EA"/>
    <w:rsid w:val="56AD6E45"/>
    <w:rsid w:val="56B22A9C"/>
    <w:rsid w:val="56EE0C86"/>
    <w:rsid w:val="56F67A99"/>
    <w:rsid w:val="56FF7082"/>
    <w:rsid w:val="570861EB"/>
    <w:rsid w:val="572E6A8D"/>
    <w:rsid w:val="57306C79"/>
    <w:rsid w:val="575136EE"/>
    <w:rsid w:val="57592CB3"/>
    <w:rsid w:val="57601B83"/>
    <w:rsid w:val="5766608F"/>
    <w:rsid w:val="57805D82"/>
    <w:rsid w:val="57A80FD1"/>
    <w:rsid w:val="57B10631"/>
    <w:rsid w:val="57B72A76"/>
    <w:rsid w:val="57C3426C"/>
    <w:rsid w:val="57CA34A1"/>
    <w:rsid w:val="57CE1F93"/>
    <w:rsid w:val="57DC3208"/>
    <w:rsid w:val="584D1C81"/>
    <w:rsid w:val="587578B0"/>
    <w:rsid w:val="58871392"/>
    <w:rsid w:val="588743D1"/>
    <w:rsid w:val="5887701A"/>
    <w:rsid w:val="58922210"/>
    <w:rsid w:val="58E135DE"/>
    <w:rsid w:val="590F1AB3"/>
    <w:rsid w:val="59444244"/>
    <w:rsid w:val="59657925"/>
    <w:rsid w:val="59AA358A"/>
    <w:rsid w:val="59C0439F"/>
    <w:rsid w:val="59C56616"/>
    <w:rsid w:val="59CA331F"/>
    <w:rsid w:val="59D80B4C"/>
    <w:rsid w:val="59EC0EDA"/>
    <w:rsid w:val="59F96A13"/>
    <w:rsid w:val="59FA7EC1"/>
    <w:rsid w:val="5A003CFD"/>
    <w:rsid w:val="5A1700C4"/>
    <w:rsid w:val="5A4A21B5"/>
    <w:rsid w:val="5A76346C"/>
    <w:rsid w:val="5A7C1BE0"/>
    <w:rsid w:val="5A9A4881"/>
    <w:rsid w:val="5AA75D1B"/>
    <w:rsid w:val="5ABB2082"/>
    <w:rsid w:val="5ABE2233"/>
    <w:rsid w:val="5AD54B41"/>
    <w:rsid w:val="5AE64A95"/>
    <w:rsid w:val="5AF26F96"/>
    <w:rsid w:val="5B397EA9"/>
    <w:rsid w:val="5B4F263B"/>
    <w:rsid w:val="5B52678D"/>
    <w:rsid w:val="5B703B06"/>
    <w:rsid w:val="5B835E40"/>
    <w:rsid w:val="5BAF30D9"/>
    <w:rsid w:val="5BD14DFE"/>
    <w:rsid w:val="5BDF5D95"/>
    <w:rsid w:val="5BF75CE4"/>
    <w:rsid w:val="5BFE7528"/>
    <w:rsid w:val="5C0F2D3F"/>
    <w:rsid w:val="5C366DE5"/>
    <w:rsid w:val="5C4B567A"/>
    <w:rsid w:val="5CCB66D3"/>
    <w:rsid w:val="5CF8460C"/>
    <w:rsid w:val="5D034EAB"/>
    <w:rsid w:val="5D33626A"/>
    <w:rsid w:val="5D694073"/>
    <w:rsid w:val="5D6E2267"/>
    <w:rsid w:val="5DD10CD9"/>
    <w:rsid w:val="5DD13342"/>
    <w:rsid w:val="5DE75E69"/>
    <w:rsid w:val="5E2467F1"/>
    <w:rsid w:val="5E2553F1"/>
    <w:rsid w:val="5E6A778C"/>
    <w:rsid w:val="5E822AB9"/>
    <w:rsid w:val="5EAC011A"/>
    <w:rsid w:val="5EC7698C"/>
    <w:rsid w:val="5ECE3876"/>
    <w:rsid w:val="5F1A2B43"/>
    <w:rsid w:val="5F2711D9"/>
    <w:rsid w:val="5F2D2F82"/>
    <w:rsid w:val="5F5C5FB8"/>
    <w:rsid w:val="5F781366"/>
    <w:rsid w:val="5F814D8D"/>
    <w:rsid w:val="5FA62A45"/>
    <w:rsid w:val="5FA75229"/>
    <w:rsid w:val="5FB837BB"/>
    <w:rsid w:val="5FBD1281"/>
    <w:rsid w:val="5FC92290"/>
    <w:rsid w:val="5FDF3861"/>
    <w:rsid w:val="5FF92979"/>
    <w:rsid w:val="6007722E"/>
    <w:rsid w:val="60204404"/>
    <w:rsid w:val="60442EB5"/>
    <w:rsid w:val="605028BE"/>
    <w:rsid w:val="60854409"/>
    <w:rsid w:val="60A52CFD"/>
    <w:rsid w:val="60AC7BE7"/>
    <w:rsid w:val="60BC3F79"/>
    <w:rsid w:val="60CC405A"/>
    <w:rsid w:val="615A7643"/>
    <w:rsid w:val="61742C47"/>
    <w:rsid w:val="618927A0"/>
    <w:rsid w:val="61A7646E"/>
    <w:rsid w:val="61A84853"/>
    <w:rsid w:val="61B01959"/>
    <w:rsid w:val="61B14AAF"/>
    <w:rsid w:val="61B4257F"/>
    <w:rsid w:val="61D160E1"/>
    <w:rsid w:val="61E215D8"/>
    <w:rsid w:val="61FA3B44"/>
    <w:rsid w:val="620C2D94"/>
    <w:rsid w:val="621B3775"/>
    <w:rsid w:val="62364782"/>
    <w:rsid w:val="62546789"/>
    <w:rsid w:val="62712E97"/>
    <w:rsid w:val="62BA5AD1"/>
    <w:rsid w:val="62BE09D2"/>
    <w:rsid w:val="62D35977"/>
    <w:rsid w:val="62E95123"/>
    <w:rsid w:val="63473E24"/>
    <w:rsid w:val="6390672E"/>
    <w:rsid w:val="6394356A"/>
    <w:rsid w:val="63B55005"/>
    <w:rsid w:val="63C61B2C"/>
    <w:rsid w:val="63CA515B"/>
    <w:rsid w:val="63D40BE9"/>
    <w:rsid w:val="64035BAB"/>
    <w:rsid w:val="64050F56"/>
    <w:rsid w:val="64102431"/>
    <w:rsid w:val="64151CAA"/>
    <w:rsid w:val="64255F16"/>
    <w:rsid w:val="6455154C"/>
    <w:rsid w:val="645B2050"/>
    <w:rsid w:val="646B7DB9"/>
    <w:rsid w:val="64990483"/>
    <w:rsid w:val="64A5243A"/>
    <w:rsid w:val="64BE08B9"/>
    <w:rsid w:val="64C33752"/>
    <w:rsid w:val="64EF072B"/>
    <w:rsid w:val="64F531DE"/>
    <w:rsid w:val="653644FF"/>
    <w:rsid w:val="65370961"/>
    <w:rsid w:val="65373578"/>
    <w:rsid w:val="65607882"/>
    <w:rsid w:val="65707F58"/>
    <w:rsid w:val="658A426F"/>
    <w:rsid w:val="659F5F6D"/>
    <w:rsid w:val="65A13A93"/>
    <w:rsid w:val="65AD75CD"/>
    <w:rsid w:val="65D2499B"/>
    <w:rsid w:val="65EB7404"/>
    <w:rsid w:val="65EE47FE"/>
    <w:rsid w:val="65EF593A"/>
    <w:rsid w:val="65F173BB"/>
    <w:rsid w:val="65F83911"/>
    <w:rsid w:val="660F30F2"/>
    <w:rsid w:val="663C37BC"/>
    <w:rsid w:val="66552ACF"/>
    <w:rsid w:val="66713E6F"/>
    <w:rsid w:val="66BA2932"/>
    <w:rsid w:val="66C14F7A"/>
    <w:rsid w:val="66DE0837"/>
    <w:rsid w:val="66FE6CC3"/>
    <w:rsid w:val="671F124A"/>
    <w:rsid w:val="67226E55"/>
    <w:rsid w:val="672506F4"/>
    <w:rsid w:val="67404958"/>
    <w:rsid w:val="677A33C6"/>
    <w:rsid w:val="67DB0DB2"/>
    <w:rsid w:val="67E628AD"/>
    <w:rsid w:val="67E63F61"/>
    <w:rsid w:val="681A7B2C"/>
    <w:rsid w:val="681F6961"/>
    <w:rsid w:val="682C160E"/>
    <w:rsid w:val="684E7BEC"/>
    <w:rsid w:val="68610A2F"/>
    <w:rsid w:val="68646FFA"/>
    <w:rsid w:val="68694610"/>
    <w:rsid w:val="68805514"/>
    <w:rsid w:val="6897117D"/>
    <w:rsid w:val="689B153F"/>
    <w:rsid w:val="69316E2F"/>
    <w:rsid w:val="694E2071"/>
    <w:rsid w:val="69766163"/>
    <w:rsid w:val="697A3B33"/>
    <w:rsid w:val="69A764FD"/>
    <w:rsid w:val="69D44760"/>
    <w:rsid w:val="69EC7E95"/>
    <w:rsid w:val="69FF522C"/>
    <w:rsid w:val="6A0B3BD1"/>
    <w:rsid w:val="6A0D75F4"/>
    <w:rsid w:val="6A40325F"/>
    <w:rsid w:val="6A466E5C"/>
    <w:rsid w:val="6A520EC7"/>
    <w:rsid w:val="6A7C4ACE"/>
    <w:rsid w:val="6A8E3C52"/>
    <w:rsid w:val="6A9605C9"/>
    <w:rsid w:val="6A98424F"/>
    <w:rsid w:val="6ACF2E50"/>
    <w:rsid w:val="6AEC1C54"/>
    <w:rsid w:val="6AF87E20"/>
    <w:rsid w:val="6B1B44A5"/>
    <w:rsid w:val="6B2807A0"/>
    <w:rsid w:val="6B322639"/>
    <w:rsid w:val="6B381508"/>
    <w:rsid w:val="6B671496"/>
    <w:rsid w:val="6B6F4633"/>
    <w:rsid w:val="6B866C46"/>
    <w:rsid w:val="6B9E091B"/>
    <w:rsid w:val="6BA75FFF"/>
    <w:rsid w:val="6BAC13E3"/>
    <w:rsid w:val="6BAC3CEF"/>
    <w:rsid w:val="6BB42046"/>
    <w:rsid w:val="6BD2397F"/>
    <w:rsid w:val="6BF3491C"/>
    <w:rsid w:val="6BF608B1"/>
    <w:rsid w:val="6BFC260D"/>
    <w:rsid w:val="6C0703C8"/>
    <w:rsid w:val="6C325C6D"/>
    <w:rsid w:val="6C636C38"/>
    <w:rsid w:val="6C9A123C"/>
    <w:rsid w:val="6CD40BF2"/>
    <w:rsid w:val="6CD81D64"/>
    <w:rsid w:val="6CE17277"/>
    <w:rsid w:val="6D1A4FAB"/>
    <w:rsid w:val="6DB34098"/>
    <w:rsid w:val="6DB545B6"/>
    <w:rsid w:val="6DC25AFD"/>
    <w:rsid w:val="6DE02FB4"/>
    <w:rsid w:val="6DE92C3D"/>
    <w:rsid w:val="6DF332FA"/>
    <w:rsid w:val="6E053D76"/>
    <w:rsid w:val="6E514CED"/>
    <w:rsid w:val="6E7D0E15"/>
    <w:rsid w:val="6E8D72AA"/>
    <w:rsid w:val="6EB563D5"/>
    <w:rsid w:val="6EC71C54"/>
    <w:rsid w:val="6ED92677"/>
    <w:rsid w:val="6EE0585D"/>
    <w:rsid w:val="6EF015E7"/>
    <w:rsid w:val="6EF235B1"/>
    <w:rsid w:val="6F225983"/>
    <w:rsid w:val="6F2D3310"/>
    <w:rsid w:val="6F4D1B26"/>
    <w:rsid w:val="6FA8400A"/>
    <w:rsid w:val="6FB97633"/>
    <w:rsid w:val="6FC24913"/>
    <w:rsid w:val="6FE078AE"/>
    <w:rsid w:val="6FEA4288"/>
    <w:rsid w:val="6FFC5590"/>
    <w:rsid w:val="70471E43"/>
    <w:rsid w:val="705D7DFA"/>
    <w:rsid w:val="706D1DD0"/>
    <w:rsid w:val="70856B87"/>
    <w:rsid w:val="70BE2E5C"/>
    <w:rsid w:val="70CB30DF"/>
    <w:rsid w:val="70CE694A"/>
    <w:rsid w:val="70D527EE"/>
    <w:rsid w:val="70ED7A1A"/>
    <w:rsid w:val="71044B32"/>
    <w:rsid w:val="7125011B"/>
    <w:rsid w:val="712F1BDC"/>
    <w:rsid w:val="713559D7"/>
    <w:rsid w:val="715B5300"/>
    <w:rsid w:val="716C3718"/>
    <w:rsid w:val="718524BB"/>
    <w:rsid w:val="71CF7A38"/>
    <w:rsid w:val="71D27F8A"/>
    <w:rsid w:val="71D7083C"/>
    <w:rsid w:val="71FB452B"/>
    <w:rsid w:val="72553024"/>
    <w:rsid w:val="727C43E5"/>
    <w:rsid w:val="72897D89"/>
    <w:rsid w:val="72A465D8"/>
    <w:rsid w:val="72C74D55"/>
    <w:rsid w:val="72D02AD8"/>
    <w:rsid w:val="72E75747"/>
    <w:rsid w:val="73027B3B"/>
    <w:rsid w:val="73122968"/>
    <w:rsid w:val="731A6C33"/>
    <w:rsid w:val="731F5D5E"/>
    <w:rsid w:val="73237507"/>
    <w:rsid w:val="733A0F3F"/>
    <w:rsid w:val="7343574C"/>
    <w:rsid w:val="7352461E"/>
    <w:rsid w:val="735B29EB"/>
    <w:rsid w:val="739C3AEB"/>
    <w:rsid w:val="73BE718C"/>
    <w:rsid w:val="73C51AD5"/>
    <w:rsid w:val="73E558C4"/>
    <w:rsid w:val="73F12089"/>
    <w:rsid w:val="73F60642"/>
    <w:rsid w:val="74185868"/>
    <w:rsid w:val="741E793C"/>
    <w:rsid w:val="742B1659"/>
    <w:rsid w:val="744728CD"/>
    <w:rsid w:val="745E3944"/>
    <w:rsid w:val="74886692"/>
    <w:rsid w:val="7489557A"/>
    <w:rsid w:val="74C672D0"/>
    <w:rsid w:val="74E21F0E"/>
    <w:rsid w:val="74E86093"/>
    <w:rsid w:val="75116093"/>
    <w:rsid w:val="75191C0F"/>
    <w:rsid w:val="753A7B6F"/>
    <w:rsid w:val="75436915"/>
    <w:rsid w:val="75622B13"/>
    <w:rsid w:val="756B5E6B"/>
    <w:rsid w:val="75B96BD7"/>
    <w:rsid w:val="75DC00F0"/>
    <w:rsid w:val="75DC6B41"/>
    <w:rsid w:val="76154F8A"/>
    <w:rsid w:val="7635099D"/>
    <w:rsid w:val="76793527"/>
    <w:rsid w:val="7680489E"/>
    <w:rsid w:val="76852F5D"/>
    <w:rsid w:val="76C23869"/>
    <w:rsid w:val="76C515AB"/>
    <w:rsid w:val="76CA6BC2"/>
    <w:rsid w:val="76DD59AF"/>
    <w:rsid w:val="76DE48C7"/>
    <w:rsid w:val="76E77774"/>
    <w:rsid w:val="77097B1F"/>
    <w:rsid w:val="77101492"/>
    <w:rsid w:val="77305224"/>
    <w:rsid w:val="777032C5"/>
    <w:rsid w:val="77762421"/>
    <w:rsid w:val="778871BB"/>
    <w:rsid w:val="77B51620"/>
    <w:rsid w:val="77B56B1F"/>
    <w:rsid w:val="77DE46D3"/>
    <w:rsid w:val="780F09F4"/>
    <w:rsid w:val="789F4C85"/>
    <w:rsid w:val="78A90480"/>
    <w:rsid w:val="78B47B29"/>
    <w:rsid w:val="794C682E"/>
    <w:rsid w:val="79876FEC"/>
    <w:rsid w:val="79A67C1C"/>
    <w:rsid w:val="79A83F0D"/>
    <w:rsid w:val="79C45B4A"/>
    <w:rsid w:val="79C93160"/>
    <w:rsid w:val="79FE5773"/>
    <w:rsid w:val="7A062A7B"/>
    <w:rsid w:val="7A2A2439"/>
    <w:rsid w:val="7A364017"/>
    <w:rsid w:val="7A3A1422"/>
    <w:rsid w:val="7A6F36CC"/>
    <w:rsid w:val="7A8265E1"/>
    <w:rsid w:val="7A8A28F0"/>
    <w:rsid w:val="7AA50F5F"/>
    <w:rsid w:val="7AA535C1"/>
    <w:rsid w:val="7AB15B1A"/>
    <w:rsid w:val="7AD63D12"/>
    <w:rsid w:val="7AE5323E"/>
    <w:rsid w:val="7B2114F1"/>
    <w:rsid w:val="7B5A49B8"/>
    <w:rsid w:val="7B656EB9"/>
    <w:rsid w:val="7B686D42"/>
    <w:rsid w:val="7B841746"/>
    <w:rsid w:val="7BA15F11"/>
    <w:rsid w:val="7BA55260"/>
    <w:rsid w:val="7BEB3862"/>
    <w:rsid w:val="7C2C729F"/>
    <w:rsid w:val="7C3A0345"/>
    <w:rsid w:val="7C6C5AC7"/>
    <w:rsid w:val="7CC6544B"/>
    <w:rsid w:val="7CD410F5"/>
    <w:rsid w:val="7CD50193"/>
    <w:rsid w:val="7CE51182"/>
    <w:rsid w:val="7D0239FF"/>
    <w:rsid w:val="7D180687"/>
    <w:rsid w:val="7D197F5B"/>
    <w:rsid w:val="7D5E40CD"/>
    <w:rsid w:val="7D622584"/>
    <w:rsid w:val="7D6D7079"/>
    <w:rsid w:val="7D886543"/>
    <w:rsid w:val="7DB7C1A0"/>
    <w:rsid w:val="7DBE05FA"/>
    <w:rsid w:val="7DC044E4"/>
    <w:rsid w:val="7DCD56F2"/>
    <w:rsid w:val="7DE70789"/>
    <w:rsid w:val="7E1F0DE6"/>
    <w:rsid w:val="7E8B30DA"/>
    <w:rsid w:val="7E903925"/>
    <w:rsid w:val="7E9054EF"/>
    <w:rsid w:val="7E985301"/>
    <w:rsid w:val="7E9C7B04"/>
    <w:rsid w:val="7EB54A7A"/>
    <w:rsid w:val="7EDA0069"/>
    <w:rsid w:val="7F001CE7"/>
    <w:rsid w:val="7F1C1F84"/>
    <w:rsid w:val="7F2E23E3"/>
    <w:rsid w:val="7F2F24FB"/>
    <w:rsid w:val="7F3848F7"/>
    <w:rsid w:val="7F4D0390"/>
    <w:rsid w:val="7F7D5A1C"/>
    <w:rsid w:val="7F9D2B3C"/>
    <w:rsid w:val="7FAA56C6"/>
    <w:rsid w:val="7FCB7C32"/>
    <w:rsid w:val="7FE47E50"/>
    <w:rsid w:val="7FF56A5D"/>
    <w:rsid w:val="7FF6458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120" w:beforeLines="0" w:beforeAutospacing="0" w:after="120" w:afterLines="0" w:afterAutospacing="0" w:line="240" w:lineRule="auto"/>
      <w:ind w:firstLine="883" w:firstLineChars="200"/>
      <w:jc w:val="left"/>
      <w:outlineLvl w:val="1"/>
    </w:pPr>
    <w:rPr>
      <w:rFonts w:ascii="宋体" w:hAnsi="宋体" w:cs="宋体"/>
      <w:b/>
      <w:kern w:val="0"/>
      <w:szCs w:val="28"/>
    </w:rPr>
  </w:style>
  <w:style w:type="paragraph" w:styleId="4">
    <w:name w:val="heading 3"/>
    <w:basedOn w:val="1"/>
    <w:next w:val="1"/>
    <w:unhideWhenUsed/>
    <w:qFormat/>
    <w:locked/>
    <w:uiPriority w:val="0"/>
    <w:pPr>
      <w:keepNext/>
      <w:keepLines/>
      <w:spacing w:line="600" w:lineRule="exact"/>
      <w:ind w:firstLine="883" w:firstLineChars="200"/>
      <w:jc w:val="left"/>
      <w:outlineLvl w:val="2"/>
    </w:pPr>
    <w:rPr>
      <w:b/>
    </w:rPr>
  </w:style>
  <w:style w:type="paragraph" w:styleId="5">
    <w:name w:val="heading 4"/>
    <w:basedOn w:val="1"/>
    <w:next w:val="1"/>
    <w:qFormat/>
    <w:locked/>
    <w:uiPriority w:val="0"/>
    <w:pPr>
      <w:keepNext/>
      <w:keepLines/>
      <w:spacing w:before="40" w:after="50" w:line="376" w:lineRule="auto"/>
      <w:outlineLvl w:val="3"/>
    </w:pPr>
    <w:rPr>
      <w:rFonts w:ascii="Arial" w:hAnsi="Arial"/>
      <w:b/>
      <w:bCs/>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locked/>
    <w:uiPriority w:val="0"/>
    <w:pPr>
      <w:ind w:firstLine="200" w:firstLineChars="200"/>
    </w:pPr>
  </w:style>
  <w:style w:type="paragraph" w:styleId="7">
    <w:name w:val="annotation text"/>
    <w:basedOn w:val="1"/>
    <w:link w:val="31"/>
    <w:semiHidden/>
    <w:qFormat/>
    <w:uiPriority w:val="0"/>
    <w:pPr>
      <w:jc w:val="left"/>
    </w:pPr>
    <w:rPr>
      <w:kern w:val="0"/>
      <w:sz w:val="24"/>
      <w:szCs w:val="20"/>
    </w:rPr>
  </w:style>
  <w:style w:type="paragraph" w:styleId="8">
    <w:name w:val="Body Text"/>
    <w:basedOn w:val="1"/>
    <w:next w:val="1"/>
    <w:link w:val="32"/>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33"/>
    <w:qFormat/>
    <w:uiPriority w:val="0"/>
    <w:pPr>
      <w:spacing w:after="120"/>
      <w:ind w:left="420" w:leftChars="200"/>
    </w:pPr>
    <w:rPr>
      <w:kern w:val="0"/>
      <w:sz w:val="24"/>
      <w:szCs w:val="20"/>
    </w:rPr>
  </w:style>
  <w:style w:type="paragraph" w:styleId="10">
    <w:name w:val="Body Text First Indent"/>
    <w:basedOn w:val="8"/>
    <w:next w:val="11"/>
    <w:unhideWhenUsed/>
    <w:qFormat/>
    <w:locked/>
    <w:uiPriority w:val="99"/>
    <w:pPr>
      <w:ind w:firstLine="420" w:firstLineChars="100"/>
    </w:pPr>
    <w:rPr>
      <w:kern w:val="2"/>
      <w:sz w:val="21"/>
    </w:rPr>
  </w:style>
  <w:style w:type="paragraph" w:styleId="11">
    <w:name w:val="table of figures"/>
    <w:basedOn w:val="1"/>
    <w:next w:val="1"/>
    <w:qFormat/>
    <w:locked/>
    <w:uiPriority w:val="0"/>
    <w:pPr>
      <w:spacing w:line="240" w:lineRule="auto"/>
      <w:ind w:leftChars="200" w:hanging="200" w:hangingChars="200"/>
    </w:pPr>
    <w:rPr>
      <w:rFonts w:ascii="Times New Roman" w:hAnsi="Times New Roman"/>
      <w:sz w:val="21"/>
      <w:szCs w:val="24"/>
    </w:rPr>
  </w:style>
  <w:style w:type="paragraph" w:styleId="12">
    <w:name w:val="Block Text"/>
    <w:basedOn w:val="1"/>
    <w:qFormat/>
    <w:locked/>
    <w:uiPriority w:val="0"/>
    <w:pPr>
      <w:spacing w:line="300" w:lineRule="atLeast"/>
      <w:ind w:left="420" w:leftChars="200" w:right="-336" w:rightChars="-160"/>
    </w:pPr>
  </w:style>
  <w:style w:type="paragraph" w:styleId="13">
    <w:name w:val="Plain Text"/>
    <w:basedOn w:val="1"/>
    <w:next w:val="1"/>
    <w:qFormat/>
    <w:locked/>
    <w:uiPriority w:val="99"/>
    <w:pPr>
      <w:spacing w:line="240" w:lineRule="auto"/>
    </w:pPr>
    <w:rPr>
      <w:rFonts w:ascii="宋体" w:hAnsi="Courier New"/>
      <w:sz w:val="21"/>
      <w:szCs w:val="20"/>
    </w:rPr>
  </w:style>
  <w:style w:type="paragraph" w:styleId="14">
    <w:name w:val="Date"/>
    <w:basedOn w:val="1"/>
    <w:next w:val="1"/>
    <w:link w:val="34"/>
    <w:qFormat/>
    <w:uiPriority w:val="0"/>
    <w:pPr>
      <w:ind w:left="100" w:leftChars="2500"/>
    </w:pPr>
    <w:rPr>
      <w:kern w:val="0"/>
      <w:sz w:val="24"/>
      <w:szCs w:val="20"/>
    </w:rPr>
  </w:style>
  <w:style w:type="paragraph" w:styleId="15">
    <w:name w:val="Body Text Indent 2"/>
    <w:basedOn w:val="1"/>
    <w:qFormat/>
    <w:locked/>
    <w:uiPriority w:val="0"/>
    <w:pPr>
      <w:spacing w:after="120" w:afterLines="0" w:line="480" w:lineRule="auto"/>
      <w:ind w:left="420" w:leftChars="200"/>
    </w:pPr>
  </w:style>
  <w:style w:type="paragraph" w:styleId="16">
    <w:name w:val="Balloon Text"/>
    <w:basedOn w:val="1"/>
    <w:link w:val="35"/>
    <w:semiHidden/>
    <w:qFormat/>
    <w:uiPriority w:val="0"/>
    <w:rPr>
      <w:kern w:val="0"/>
      <w:sz w:val="18"/>
      <w:szCs w:val="20"/>
    </w:rPr>
  </w:style>
  <w:style w:type="paragraph" w:styleId="17">
    <w:name w:val="footer"/>
    <w:basedOn w:val="1"/>
    <w:link w:val="36"/>
    <w:qFormat/>
    <w:uiPriority w:val="99"/>
    <w:pPr>
      <w:tabs>
        <w:tab w:val="center" w:pos="4153"/>
        <w:tab w:val="right" w:pos="8306"/>
      </w:tabs>
      <w:snapToGrid w:val="0"/>
      <w:jc w:val="left"/>
    </w:pPr>
    <w:rPr>
      <w:kern w:val="0"/>
      <w:sz w:val="18"/>
      <w:szCs w:val="20"/>
    </w:rPr>
  </w:style>
  <w:style w:type="paragraph" w:styleId="18">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Body Text Indent 3"/>
    <w:basedOn w:val="1"/>
    <w:qFormat/>
    <w:locked/>
    <w:uiPriority w:val="0"/>
    <w:pPr>
      <w:ind w:firstLine="560" w:firstLineChars="200"/>
    </w:pPr>
    <w:rPr>
      <w:rFonts w:ascii="宋体" w:hAnsi="宋体"/>
      <w:szCs w:val="24"/>
    </w:rPr>
  </w:style>
  <w:style w:type="paragraph" w:styleId="20">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39"/>
    <w:semiHidden/>
    <w:qFormat/>
    <w:uiPriority w:val="0"/>
    <w:rPr>
      <w:b/>
      <w:sz w:val="24"/>
      <w:szCs w:val="20"/>
    </w:rPr>
  </w:style>
  <w:style w:type="paragraph" w:styleId="22">
    <w:name w:val="Body Text First Indent 2"/>
    <w:basedOn w:val="1"/>
    <w:next w:val="1"/>
    <w:qFormat/>
    <w:locked/>
    <w:uiPriority w:val="0"/>
    <w:pPr>
      <w:spacing w:after="120" w:line="240" w:lineRule="auto"/>
      <w:ind w:left="420" w:leftChars="200" w:firstLine="420" w:firstLineChars="200"/>
    </w:pPr>
    <w:rPr>
      <w:rFonts w:ascii="Times New Roman"/>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locked/>
    <w:uiPriority w:val="22"/>
    <w:rPr>
      <w:b/>
      <w:bCs/>
    </w:rPr>
  </w:style>
  <w:style w:type="character" w:styleId="27">
    <w:name w:val="page number"/>
    <w:basedOn w:val="25"/>
    <w:qFormat/>
    <w:locked/>
    <w:uiPriority w:val="0"/>
  </w:style>
  <w:style w:type="character" w:styleId="28">
    <w:name w:val="Hyperlink"/>
    <w:qFormat/>
    <w:locked/>
    <w:uiPriority w:val="0"/>
    <w:rPr>
      <w:color w:val="0084FF"/>
      <w:u w:val="none"/>
    </w:rPr>
  </w:style>
  <w:style w:type="character" w:styleId="29">
    <w:name w:val="annotation reference"/>
    <w:semiHidden/>
    <w:qFormat/>
    <w:uiPriority w:val="0"/>
    <w:rPr>
      <w:sz w:val="21"/>
    </w:rPr>
  </w:style>
  <w:style w:type="character" w:customStyle="1" w:styleId="30">
    <w:name w:val="标题 1 Char"/>
    <w:link w:val="2"/>
    <w:qFormat/>
    <w:uiPriority w:val="0"/>
    <w:rPr>
      <w:rFonts w:eastAsia="黑体"/>
      <w:b/>
      <w:bCs/>
      <w:color w:val="000000"/>
      <w:kern w:val="44"/>
      <w:sz w:val="30"/>
      <w:szCs w:val="30"/>
    </w:rPr>
  </w:style>
  <w:style w:type="character" w:customStyle="1" w:styleId="31">
    <w:name w:val="批注文字 Char"/>
    <w:link w:val="7"/>
    <w:qFormat/>
    <w:locked/>
    <w:uiPriority w:val="0"/>
    <w:rPr>
      <w:rFonts w:ascii="Times New Roman" w:hAnsi="Times New Roman" w:eastAsia="宋体"/>
      <w:sz w:val="24"/>
    </w:rPr>
  </w:style>
  <w:style w:type="character" w:customStyle="1" w:styleId="32">
    <w:name w:val="正文文本 Char"/>
    <w:link w:val="8"/>
    <w:qFormat/>
    <w:locked/>
    <w:uiPriority w:val="0"/>
    <w:rPr>
      <w:sz w:val="18"/>
    </w:rPr>
  </w:style>
  <w:style w:type="character" w:customStyle="1" w:styleId="33">
    <w:name w:val="正文文本缩进 Char"/>
    <w:link w:val="9"/>
    <w:semiHidden/>
    <w:qFormat/>
    <w:locked/>
    <w:uiPriority w:val="0"/>
    <w:rPr>
      <w:rFonts w:ascii="Times New Roman" w:hAnsi="Times New Roman" w:eastAsia="宋体"/>
      <w:sz w:val="24"/>
    </w:rPr>
  </w:style>
  <w:style w:type="character" w:customStyle="1" w:styleId="34">
    <w:name w:val="日期 Char"/>
    <w:link w:val="14"/>
    <w:qFormat/>
    <w:locked/>
    <w:uiPriority w:val="0"/>
    <w:rPr>
      <w:rFonts w:ascii="Times New Roman" w:hAnsi="Times New Roman" w:eastAsia="宋体"/>
      <w:sz w:val="24"/>
    </w:rPr>
  </w:style>
  <w:style w:type="character" w:customStyle="1" w:styleId="35">
    <w:name w:val="批注框文本 Char"/>
    <w:link w:val="16"/>
    <w:semiHidden/>
    <w:qFormat/>
    <w:locked/>
    <w:uiPriority w:val="0"/>
    <w:rPr>
      <w:rFonts w:ascii="Times New Roman" w:hAnsi="Times New Roman" w:eastAsia="宋体"/>
      <w:sz w:val="18"/>
    </w:rPr>
  </w:style>
  <w:style w:type="character" w:customStyle="1" w:styleId="36">
    <w:name w:val="页脚 Char"/>
    <w:link w:val="17"/>
    <w:qFormat/>
    <w:locked/>
    <w:uiPriority w:val="99"/>
    <w:rPr>
      <w:sz w:val="18"/>
    </w:rPr>
  </w:style>
  <w:style w:type="character" w:customStyle="1" w:styleId="37">
    <w:name w:val="页眉 Char"/>
    <w:link w:val="18"/>
    <w:qFormat/>
    <w:locked/>
    <w:uiPriority w:val="0"/>
    <w:rPr>
      <w:sz w:val="18"/>
    </w:rPr>
  </w:style>
  <w:style w:type="character" w:customStyle="1" w:styleId="38">
    <w:name w:val="普通(网站) Char"/>
    <w:link w:val="20"/>
    <w:qFormat/>
    <w:locked/>
    <w:uiPriority w:val="0"/>
    <w:rPr>
      <w:rFonts w:ascii="宋体" w:hAnsi="宋体" w:eastAsia="宋体"/>
      <w:sz w:val="24"/>
    </w:rPr>
  </w:style>
  <w:style w:type="character" w:customStyle="1" w:styleId="39">
    <w:name w:val="批注主题 Char"/>
    <w:link w:val="21"/>
    <w:semiHidden/>
    <w:qFormat/>
    <w:locked/>
    <w:uiPriority w:val="0"/>
    <w:rPr>
      <w:rFonts w:ascii="Times New Roman" w:hAnsi="Times New Roman" w:eastAsia="宋体"/>
      <w:b/>
      <w:kern w:val="2"/>
      <w:sz w:val="24"/>
    </w:rPr>
  </w:style>
  <w:style w:type="character" w:customStyle="1" w:styleId="40">
    <w:name w:val="页脚 字符"/>
    <w:basedOn w:val="25"/>
    <w:qFormat/>
    <w:uiPriority w:val="99"/>
  </w:style>
  <w:style w:type="character" w:customStyle="1" w:styleId="41">
    <w:name w:val="正文文本 字符1"/>
    <w:semiHidden/>
    <w:qFormat/>
    <w:uiPriority w:val="0"/>
    <w:rPr>
      <w:rFonts w:ascii="Times New Roman" w:hAnsi="Times New Roman" w:eastAsia="宋体"/>
      <w:sz w:val="24"/>
    </w:rPr>
  </w:style>
  <w:style w:type="character" w:customStyle="1" w:styleId="42">
    <w:name w:val="表格 Char"/>
    <w:link w:val="43"/>
    <w:qFormat/>
    <w:locked/>
    <w:uiPriority w:val="0"/>
    <w:rPr>
      <w:rFonts w:ascii="宋体"/>
      <w:sz w:val="21"/>
    </w:rPr>
  </w:style>
  <w:style w:type="paragraph" w:customStyle="1" w:styleId="43">
    <w:name w:val="表格"/>
    <w:basedOn w:val="1"/>
    <w:next w:val="1"/>
    <w:link w:val="42"/>
    <w:qFormat/>
    <w:uiPriority w:val="0"/>
    <w:pPr>
      <w:adjustRightInd w:val="0"/>
      <w:snapToGrid w:val="0"/>
      <w:spacing w:beforeLines="10" w:afterLines="10" w:line="259" w:lineRule="auto"/>
      <w:jc w:val="center"/>
    </w:pPr>
    <w:rPr>
      <w:rFonts w:ascii="宋体"/>
      <w:kern w:val="0"/>
      <w:szCs w:val="20"/>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文字 字符1"/>
    <w:semiHidden/>
    <w:qFormat/>
    <w:uiPriority w:val="0"/>
    <w:rPr>
      <w:rFonts w:ascii="Times New Roman" w:hAnsi="Times New Roman" w:eastAsia="宋体"/>
      <w:sz w:val="24"/>
    </w:rPr>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8">
    <w:name w:val="Body text|1"/>
    <w:basedOn w:val="1"/>
    <w:qFormat/>
    <w:uiPriority w:val="0"/>
    <w:pPr>
      <w:widowControl w:val="0"/>
      <w:shd w:val="clear" w:color="auto" w:fill="auto"/>
      <w:spacing w:line="437" w:lineRule="auto"/>
      <w:ind w:firstLine="400"/>
    </w:pPr>
    <w:rPr>
      <w:rFonts w:ascii="宋体" w:hAnsi="宋体" w:eastAsia="宋体" w:cs="宋体"/>
      <w:sz w:val="22"/>
      <w:szCs w:val="22"/>
      <w:u w:val="none"/>
      <w:shd w:val="clear" w:color="auto" w:fill="auto"/>
      <w:lang w:val="zh-TW" w:eastAsia="zh-TW" w:bidi="zh-TW"/>
    </w:rPr>
  </w:style>
  <w:style w:type="paragraph" w:customStyle="1" w:styleId="49">
    <w:name w:val="Plain Text"/>
    <w:basedOn w:val="1"/>
    <w:qFormat/>
    <w:uiPriority w:val="0"/>
    <w:pPr>
      <w:spacing w:line="360" w:lineRule="auto"/>
      <w:ind w:firstLine="200" w:firstLineChars="200"/>
    </w:pPr>
    <w:rPr>
      <w:rFonts w:ascii="宋体" w:hAnsi="Courier New"/>
      <w:sz w:val="28"/>
      <w:szCs w:val="24"/>
    </w:rPr>
  </w:style>
  <w:style w:type="paragraph" w:customStyle="1" w:styleId="50">
    <w:name w:val="表"/>
    <w:basedOn w:val="1"/>
    <w:qFormat/>
    <w:uiPriority w:val="0"/>
    <w:pPr>
      <w:snapToGrid w:val="0"/>
      <w:spacing w:line="340" w:lineRule="exact"/>
      <w:jc w:val="center"/>
    </w:pPr>
    <w:rPr>
      <w:rFonts w:cs="宋体"/>
      <w:color w:val="000000"/>
      <w:spacing w:val="2"/>
      <w:sz w:val="21"/>
      <w:szCs w:val="20"/>
    </w:rPr>
  </w:style>
  <w:style w:type="paragraph" w:customStyle="1" w:styleId="51">
    <w:name w:val="正文文本 (2)1"/>
    <w:basedOn w:val="1"/>
    <w:qFormat/>
    <w:uiPriority w:val="0"/>
    <w:pPr>
      <w:shd w:val="clear" w:color="auto" w:fill="FFFFFF"/>
      <w:spacing w:before="300" w:line="466" w:lineRule="exact"/>
      <w:ind w:hanging="600"/>
      <w:jc w:val="distribute"/>
    </w:pPr>
    <w:rPr>
      <w:rFonts w:ascii="宋体" w:hAnsi="宋体"/>
      <w:kern w:val="0"/>
      <w:sz w:val="22"/>
    </w:rPr>
  </w:style>
  <w:style w:type="paragraph" w:customStyle="1" w:styleId="52">
    <w:name w:val="1-正文"/>
    <w:basedOn w:val="1"/>
    <w:qFormat/>
    <w:uiPriority w:val="0"/>
    <w:pPr>
      <w:ind w:firstLine="200" w:firstLineChars="200"/>
    </w:pPr>
    <w:rPr>
      <w:rFonts w:ascii="Calibri" w:hAnsi="Calibri"/>
      <w:szCs w:val="24"/>
    </w:rPr>
  </w:style>
  <w:style w:type="paragraph" w:customStyle="1" w:styleId="53">
    <w:name w:val="表头"/>
    <w:basedOn w:val="1"/>
    <w:qFormat/>
    <w:uiPriority w:val="0"/>
    <w:pPr>
      <w:spacing w:line="240" w:lineRule="auto"/>
      <w:ind w:left="0" w:leftChars="0" w:firstLine="0" w:firstLineChars="0"/>
      <w:jc w:val="center"/>
    </w:pPr>
    <w:rPr>
      <w:rFonts w:ascii="Times New Roman" w:hAnsi="Times New Roman" w:eastAsia="宋体" w:cs="宋体"/>
      <w:b/>
      <w:bCs/>
      <w:kern w:val="0"/>
      <w:sz w:val="24"/>
      <w:szCs w:val="22"/>
      <w:lang w:val="zh-CN" w:bidi="zh-CN"/>
    </w:r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paragraph" w:customStyle="1" w:styleId="5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6">
    <w:name w:val="表格表头"/>
    <w:basedOn w:val="1"/>
    <w:qFormat/>
    <w:uiPriority w:val="0"/>
    <w:pPr>
      <w:spacing w:after="20" w:afterLines="20" w:line="400" w:lineRule="exact"/>
      <w:ind w:firstLine="200" w:firstLineChars="200"/>
      <w:textAlignment w:val="baseline"/>
    </w:pPr>
    <w:rPr>
      <w:b/>
    </w:rPr>
  </w:style>
  <w:style w:type="character" w:customStyle="1" w:styleId="57">
    <w:name w:val="font31"/>
    <w:basedOn w:val="25"/>
    <w:qFormat/>
    <w:uiPriority w:val="0"/>
    <w:rPr>
      <w:rFonts w:hint="eastAsia" w:ascii="宋体" w:hAnsi="宋体" w:eastAsia="宋体" w:cs="宋体"/>
      <w:b/>
      <w:bCs/>
      <w:color w:val="000000"/>
      <w:sz w:val="18"/>
      <w:szCs w:val="18"/>
      <w:u w:val="none"/>
    </w:rPr>
  </w:style>
  <w:style w:type="character" w:customStyle="1" w:styleId="58">
    <w:name w:val="font21"/>
    <w:basedOn w:val="25"/>
    <w:qFormat/>
    <w:uiPriority w:val="0"/>
    <w:rPr>
      <w:rFonts w:hint="default" w:ascii="Times New Roman" w:hAnsi="Times New Roman" w:cs="Times New Roman"/>
      <w:b/>
      <w:bCs/>
      <w:color w:val="000000"/>
      <w:sz w:val="18"/>
      <w:szCs w:val="18"/>
      <w:u w:val="none"/>
    </w:rPr>
  </w:style>
  <w:style w:type="character" w:customStyle="1" w:styleId="59">
    <w:name w:val="font11"/>
    <w:basedOn w:val="25"/>
    <w:qFormat/>
    <w:uiPriority w:val="0"/>
    <w:rPr>
      <w:rFonts w:hint="default" w:ascii="Times New Roman" w:hAnsi="Times New Roman" w:cs="Times New Roman"/>
      <w:color w:val="000000"/>
      <w:sz w:val="21"/>
      <w:szCs w:val="21"/>
      <w:u w:val="none"/>
    </w:rPr>
  </w:style>
  <w:style w:type="paragraph" w:customStyle="1" w:styleId="60">
    <w:name w:val="正文 New"/>
    <w:qFormat/>
    <w:uiPriority w:val="0"/>
    <w:pPr>
      <w:widowControl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61">
    <w:name w:val="标准段落"/>
    <w:basedOn w:val="1"/>
    <w:next w:val="1"/>
    <w:qFormat/>
    <w:uiPriority w:val="0"/>
    <w:pPr>
      <w:spacing w:line="360" w:lineRule="auto"/>
      <w:ind w:firstLine="480" w:firstLineChars="200"/>
    </w:pPr>
    <w:rPr>
      <w:rFonts w:ascii="宋体" w:hAnsi="宋体"/>
      <w:color w:val="000000"/>
      <w:kern w:val="0"/>
      <w:sz w:val="24"/>
    </w:rPr>
  </w:style>
  <w:style w:type="paragraph" w:customStyle="1" w:styleId="62">
    <w:name w:val="Table Paragraph"/>
    <w:basedOn w:val="1"/>
    <w:qFormat/>
    <w:uiPriority w:val="1"/>
    <w:rPr>
      <w:rFonts w:ascii="宋体" w:hAnsi="宋体" w:eastAsia="宋体" w:cs="宋体"/>
    </w:rPr>
  </w:style>
  <w:style w:type="paragraph" w:customStyle="1" w:styleId="63">
    <w:name w:val="！正文"/>
    <w:basedOn w:val="1"/>
    <w:qFormat/>
    <w:uiPriority w:val="0"/>
    <w:pPr>
      <w:spacing w:line="460" w:lineRule="exact"/>
      <w:ind w:firstLine="200" w:firstLineChars="200"/>
    </w:pPr>
    <w:rPr>
      <w:spacing w:val="-2"/>
      <w:kern w:val="0"/>
      <w:sz w:val="24"/>
      <w:szCs w:val="20"/>
    </w:rPr>
  </w:style>
  <w:style w:type="paragraph" w:customStyle="1" w:styleId="64">
    <w:name w:val="张家应正文新"/>
    <w:qFormat/>
    <w:uiPriority w:val="0"/>
    <w:pPr>
      <w:spacing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65">
    <w:name w:val="表格文字"/>
    <w:basedOn w:val="53"/>
    <w:qFormat/>
    <w:uiPriority w:val="0"/>
    <w:pPr>
      <w:spacing w:line="240" w:lineRule="auto"/>
      <w:ind w:firstLine="0" w:firstLineChars="0"/>
      <w:jc w:val="center"/>
    </w:pPr>
    <w:rPr>
      <w:rFonts w:ascii="Times New Roman" w:hAnsi="Times New Roman"/>
      <w:b w:val="0"/>
      <w:bCs w:val="0"/>
      <w:sz w:val="21"/>
    </w:rPr>
  </w:style>
  <w:style w:type="paragraph" w:customStyle="1" w:styleId="66">
    <w:name w:val="参加人员"/>
    <w:basedOn w:val="1"/>
    <w:qFormat/>
    <w:uiPriority w:val="0"/>
    <w:pPr>
      <w:spacing w:line="500" w:lineRule="atLeast"/>
    </w:pPr>
    <w:rPr>
      <w:sz w:val="24"/>
    </w:rPr>
  </w:style>
  <w:style w:type="paragraph" w:customStyle="1" w:styleId="67">
    <w:name w:val="Table Text"/>
    <w:basedOn w:val="1"/>
    <w:semiHidden/>
    <w:qFormat/>
    <w:uiPriority w:val="0"/>
    <w:rPr>
      <w:rFonts w:ascii="仿宋" w:hAnsi="仿宋" w:eastAsia="仿宋" w:cs="仿宋"/>
      <w:sz w:val="24"/>
      <w:szCs w:val="24"/>
      <w:lang w:val="en-US" w:eastAsia="en-US" w:bidi="ar-SA"/>
    </w:rPr>
  </w:style>
  <w:style w:type="table" w:customStyle="1" w:styleId="68">
    <w:name w:val="Table Normal"/>
    <w:unhideWhenUsed/>
    <w:qFormat/>
    <w:uiPriority w:val="0"/>
    <w:tblPr>
      <w:tblCellMar>
        <w:top w:w="0" w:type="dxa"/>
        <w:left w:w="0" w:type="dxa"/>
        <w:bottom w:w="0" w:type="dxa"/>
        <w:right w:w="0" w:type="dxa"/>
      </w:tblCellMar>
    </w:tblPr>
  </w:style>
  <w:style w:type="paragraph" w:customStyle="1" w:styleId="69">
    <w:name w:val="正文1"/>
    <w:basedOn w:val="1"/>
    <w:qFormat/>
    <w:uiPriority w:val="0"/>
    <w:pPr>
      <w:spacing w:line="480" w:lineRule="exact"/>
      <w:ind w:firstLine="567"/>
    </w:pPr>
    <w:rPr>
      <w:szCs w:val="24"/>
    </w:rPr>
  </w:style>
  <w:style w:type="paragraph" w:customStyle="1" w:styleId="7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1">
    <w:name w:val="【表中文字】"/>
    <w:basedOn w:val="1"/>
    <w:qFormat/>
    <w:uiPriority w:val="0"/>
    <w:pPr>
      <w:jc w:val="center"/>
    </w:pPr>
    <w:rPr>
      <w:szCs w:val="20"/>
    </w:rPr>
  </w:style>
  <w:style w:type="paragraph" w:customStyle="1" w:styleId="72">
    <w:name w:val="【正文】"/>
    <w:basedOn w:val="1"/>
    <w:qFormat/>
    <w:uiPriority w:val="0"/>
    <w:pPr>
      <w:widowControl/>
      <w:spacing w:line="440" w:lineRule="exact"/>
      <w:ind w:firstLine="544"/>
      <w:jc w:val="left"/>
    </w:pPr>
    <w:rPr>
      <w:rFonts w:cs="宋体"/>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lenovo/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009a5625-adaf-494b-aa05-ae450a366289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explain xmlns="http://schemas.wps.cn/vas-ai-hub/contract-review">文本全半角错误。</explain>
      <paraID xmlns="http://schemas.wps.cn/vas-ai-hub/contract-review">68E9E935</paraID>
      <start xmlns="http://schemas.wps.cn/vas-ai-hub/contract-review">21</start>
      <end xmlns="http://schemas.wps.cn/vas-ai-hub/contract-review">22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05c9f920-0e2f-4c55-93f0-486cc4497d49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explain xmlns="http://schemas.wps.cn/vas-ai-hub/contract-review">文本全半角错误。</explain>
      <paraID xmlns="http://schemas.wps.cn/vas-ai-hub/contract-review">4A4C5175</paraID>
      <start xmlns="http://schemas.wps.cn/vas-ai-hub/contract-review">16</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5e878729-c263-4c5b-88fa-ebb10768bf02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explain xmlns="http://schemas.wps.cn/vas-ai-hub/contract-review">文本全半角错误。</explain>
      <paraID xmlns="http://schemas.wps.cn/vas-ai-hub/contract-review">20D2EB09</paraID>
      <start xmlns="http://schemas.wps.cn/vas-ai-hub/contract-review">16</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efbfa6df-3a4a-4be3-9461-9439eba92b7d</errorID>
      <errorWord xmlns="http://schemas.wps.cn/vas-ai-hub/contract-review">【2024】289号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〔2024〕289号</item>
      </candidateList>
      <explain xmlns="http://schemas.wps.cn/vas-ai-hub/contract-review">发文字号格式错误。</explain>
      <paraID xmlns="http://schemas.wps.cn/vas-ai-hub/contract-review">28060990</paraID>
      <start xmlns="http://schemas.wps.cn/vas-ai-hub/contract-review">6</start>
      <end xmlns="http://schemas.wps.cn/vas-ai-hub/contract-review">16</end>
      <status xmlns="http://schemas.wps.cn/vas-ai-hub/contract-review">modified</status>
      <modifiedWord xmlns="http://schemas.wps.cn/vas-ai-hub/contract-review">〔2024〕289号</modifiedWord>
      <trackRevisions xmlns="http://schemas.wps.cn/vas-ai-hub/contract-review">false</trackRevisions>
    </reviewItem>
    <reviewItem xmlns="http://schemas.wps.cn/vas-ai-hub/contract-review">
      <errorID xmlns="http://schemas.wps.cn/vas-ai-hub/contract-review">60f7a97c-3f8e-488e-8810-6a6a4cd56c7a</errorID>
      <errorWord xmlns="http://schemas.wps.cn/vas-ai-hub/contract-review">采取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应采取</item>
      </candidateList>
      <explain xmlns="http://schemas.wps.cn/vas-ai-hub/contract-review"/>
      <paraID xmlns="http://schemas.wps.cn/vas-ai-hub/contract-review">5794B7CB</paraID>
      <start xmlns="http://schemas.wps.cn/vas-ai-hub/contract-review">113</start>
      <end xmlns="http://schemas.wps.cn/vas-ai-hub/contract-review">116</end>
      <status xmlns="http://schemas.wps.cn/vas-ai-hub/contract-review">modified</status>
      <modifiedWord xmlns="http://schemas.wps.cn/vas-ai-hub/contract-review">应采取</modifiedWord>
      <trackRevisions xmlns="http://schemas.wps.cn/vas-ai-hub/contract-review">false</trackRevisions>
    </reviewItem>
    <reviewItem xmlns="http://schemas.wps.cn/vas-ai-hub/contract-review">
      <errorID xmlns="http://schemas.wps.cn/vas-ai-hub/contract-review">bafd2c12-0fe6-49d3-9c10-9a89df835af9</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相关内容，</item>
      </candidateList>
      <explain xmlns="http://schemas.wps.cn/vas-ai-hub/contract-review"/>
      <paraID xmlns="http://schemas.wps.cn/vas-ai-hub/contract-review">5794B7CB</paraID>
      <start xmlns="http://schemas.wps.cn/vas-ai-hub/contract-review">142</start>
      <end xmlns="http://schemas.wps.cn/vas-ai-hub/contract-review">147</end>
      <status xmlns="http://schemas.wps.cn/vas-ai-hub/contract-review">modified</status>
      <modifiedWord xmlns="http://schemas.wps.cn/vas-ai-hub/contract-review">相关内容，</modifiedWord>
      <trackRevisions xmlns="http://schemas.wps.cn/vas-ai-hub/contract-review">false</trackRevisions>
    </reviewItem>
    <reviewItem xmlns="http://schemas.wps.cn/vas-ai-hub/contract-review">
      <errorID xmlns="http://schemas.wps.cn/vas-ai-hub/contract-review">aac99ecc-c80d-4271-af3a-ba88c27757fa</errorID>
      <errorWord xmlns="http://schemas.wps.cn/vas-ai-hub/contract-review">宝鸡市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在宝鸡市</item>
      </candidateList>
      <explain xmlns="http://schemas.wps.cn/vas-ai-hub/contract-review"/>
      <paraID xmlns="http://schemas.wps.cn/vas-ai-hub/contract-review">712D4310</paraID>
      <start xmlns="http://schemas.wps.cn/vas-ai-hub/contract-review">8</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1c884fe1-f640-4fe7-8da6-aec95580c8c2</errorID>
      <errorWord xmlns="http://schemas.wps.cn/vas-ai-hub/contract-review">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中的</item>
      </candidateList>
      <explain xmlns="http://schemas.wps.cn/vas-ai-hub/contract-review"/>
      <paraID xmlns="http://schemas.wps.cn/vas-ai-hub/contract-review">712D4310</paraID>
      <start xmlns="http://schemas.wps.cn/vas-ai-hub/contract-review">27</start>
      <end xmlns="http://schemas.wps.cn/vas-ai-hub/contract-review">29</end>
      <status xmlns="http://schemas.wps.cn/vas-ai-hub/contract-review">modified</status>
      <modifiedWord xmlns="http://schemas.wps.cn/vas-ai-hub/contract-review">中的</modifiedWord>
      <trackRevisions xmlns="http://schemas.wps.cn/vas-ai-hub/contract-review">false</trackRevisions>
    </reviewItem>
    <reviewItem xmlns="http://schemas.wps.cn/vas-ai-hub/contract-review">
      <errorID xmlns="http://schemas.wps.cn/vas-ai-hub/contract-review">7b72e86a-7eb6-4b4d-82c8-9cdcbcc42341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 5110A45</paraID>
      <start xmlns="http://schemas.wps.cn/vas-ai-hub/contract-review">137</start>
      <end xmlns="http://schemas.wps.cn/vas-ai-hub/contract-review">138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2c654a7a-780a-4000-b7bb-ac3bf089a229</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 5110A45</paraID>
      <start xmlns="http://schemas.wps.cn/vas-ai-hub/contract-review">163</start>
      <end xmlns="http://schemas.wps.cn/vas-ai-hub/contract-review">164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d8f6d73d-103e-4b19-a9f6-0c4c47c73f73</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
      </candidateList>
      <explain xmlns="http://schemas.wps.cn/vas-ai-hub/contract-review"/>
      <paraID xmlns="http://schemas.wps.cn/vas-ai-hub/contract-review"> 5110A45</paraID>
      <start xmlns="http://schemas.wps.cn/vas-ai-hub/contract-review">206</start>
      <end xmlns="http://schemas.wps.cn/vas-ai-hub/contract-review">207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ee37fc14-bd80-4af3-af58-9f11f29171f3</errorID>
      <errorWord xmlns="http://schemas.wps.cn/vas-ai-hub/contract-review">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或者</item>
      </candidateList>
      <explain xmlns="http://schemas.wps.cn/vas-ai-hub/contract-review"/>
      <paraID xmlns="http://schemas.wps.cn/vas-ai-hub/contract-review">30948D3F</paraID>
      <start xmlns="http://schemas.wps.cn/vas-ai-hub/contract-review">164</start>
      <end xmlns="http://schemas.wps.cn/vas-ai-hub/contract-review">165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8f794679-b833-420f-9ede-b0c6d1168b60</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，擅自</item>
      </candidateList>
      <explain xmlns="http://schemas.wps.cn/vas-ai-hub/contract-review"/>
      <paraID xmlns="http://schemas.wps.cn/vas-ai-hub/contract-review">44C3D3D8</paraID>
      <start xmlns="http://schemas.wps.cn/vas-ai-hub/contract-review">121</start>
      <end xmlns="http://schemas.wps.cn/vas-ai-hub/contract-review">124</end>
      <status xmlns="http://schemas.wps.cn/vas-ai-hub/contract-review">modified</status>
      <modifiedWord xmlns="http://schemas.wps.cn/vas-ai-hub/contract-review">，擅自</modifiedWord>
      <trackRevisions xmlns="http://schemas.wps.cn/vas-ai-hub/contract-review">false</trackRevisions>
    </reviewItem>
    <reviewItem xmlns="http://schemas.wps.cn/vas-ai-hub/contract-review">
      <errorID xmlns="http://schemas.wps.cn/vas-ai-hub/contract-review">e36e281c-5ee2-44bb-9dee-c153c919e9aa</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44C3D3D8</paraID>
      <start xmlns="http://schemas.wps.cn/vas-ai-hub/contract-review">141</start>
      <end xmlns="http://schemas.wps.cn/vas-ai-hub/contract-review">142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f596f80b-4922-418d-9e53-382ac51b8c26</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44C3D3D8</paraID>
      <start xmlns="http://schemas.wps.cn/vas-ai-hub/contract-review">167</start>
      <end xmlns="http://schemas.wps.cn/vas-ai-hub/contract-review">168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3a87188e-b3c6-45fb-b337-9996d6110def</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
      </candidateList>
      <explain xmlns="http://schemas.wps.cn/vas-ai-hub/contract-review"/>
      <paraID xmlns="http://schemas.wps.cn/vas-ai-hub/contract-review">23DAB627</paraID>
      <start xmlns="http://schemas.wps.cn/vas-ai-hub/contract-review">206</start>
      <end xmlns="http://schemas.wps.cn/vas-ai-hub/contract-review">207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de74bdd3-a309-4fc3-b69d-0ba3efd3b2eb</errorID>
      <errorWord xmlns="http://schemas.wps.cn/vas-ai-hub/contract-review">游</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游泳</item>
      </candidateList>
      <explain xmlns="http://schemas.wps.cn/vas-ai-hub/contract-review"/>
      <paraID xmlns="http://schemas.wps.cn/vas-ai-hub/contract-review">4521FFD8</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e63630f0-b25e-4153-a64f-61c43f733b6b</errorID>
      <errorWord xmlns="http://schemas.wps.cn/vas-ai-hub/contract-review">的输送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输送</item>
      </candidateList>
      <explain xmlns="http://schemas.wps.cn/vas-ai-hub/contract-review"/>
      <paraID xmlns="http://schemas.wps.cn/vas-ai-hub/contract-review">750F6DB0</paraID>
      <start xmlns="http://schemas.wps.cn/vas-ai-hub/contract-review">31</start>
      <end xmlns="http://schemas.wps.cn/vas-ai-hub/contract-review">34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2c3ab7f3-6e14-4214-9398-e661273ea3ae</errorID>
      <errorWord xmlns="http://schemas.wps.cn/vas-ai-hub/contract-review">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或者</item>
      </candidateList>
      <explain xmlns="http://schemas.wps.cn/vas-ai-hub/contract-review"/>
      <paraID xmlns="http://schemas.wps.cn/vas-ai-hub/contract-review">41AA1F68</paraID>
      <start xmlns="http://schemas.wps.cn/vas-ai-hub/contract-review">155</start>
      <end xmlns="http://schemas.wps.cn/vas-ai-hub/contract-review">156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8a8f4cb0-c7be-4d52-b58d-8000ac67e671</errorID>
      <errorWord xmlns="http://schemas.wps.cn/vas-ai-hub/contract-review">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活动</item>
      </candidateList>
      <explain xmlns="http://schemas.wps.cn/vas-ai-hub/contract-review">❶〈动〉（肢体）〈动〉弹；运动：坐久了应该站起来～～｜出去散散步，～一下筋骨。❷〈动〉为某种目的而行动：抗战时这一带常有游击队～。❸〈动〉〈动〉摇；不稳定：这个桌子直～｜门牙～了。❹〈形〉灵活；不固定：～模型｜～房屋｜条文规定得比较～。❺〈名〉为达到某种目的而采取的行动：野外～｜文娱～｜体育～｜政治～。</explain>
      <paraID xmlns="http://schemas.wps.cn/vas-ai-hub/contract-review">33893CCC</paraID>
      <start xmlns="http://schemas.wps.cn/vas-ai-hub/contract-review">30</start>
      <end xmlns="http://schemas.wps.cn/vas-ai-hub/contract-review">31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ac53d7a4-69e7-416c-adec-51c209803b2d</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560CDF3D</paraID>
      <start xmlns="http://schemas.wps.cn/vas-ai-hub/contract-review">48</start>
      <end xmlns="http://schemas.wps.cn/vas-ai-hub/contract-review">49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f017674b-1c15-4b6d-bdfb-a1918a442edd</errorID>
      <errorWord xmlns="http://schemas.wps.cn/vas-ai-hub/contract-review">中共中央办公厅 国务院办公厅</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中共中央办公厅、国务院办公厅</item>
      </candidateList>
      <explain xmlns="http://schemas.wps.cn/vas-ai-hub/contract-review">词汇“中共中央办公厅、国务院办公厅”在特定场景下为固定表述形式，请确认此处的“中共中央办公厅 国务院办公厅”是否存在不当。</explain>
      <paraID xmlns="http://schemas.wps.cn/vas-ai-hub/contract-review">2CD3FC68</paraID>
      <start xmlns="http://schemas.wps.cn/vas-ai-hub/contract-review">3</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376a7b98-0d93-46a2-8924-5c1412af41db</errorID>
      <errorWord xmlns="http://schemas.wps.cn/vas-ai-hub/contract-review">原住居民</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5A1E3AB0</paraID>
      <start xmlns="http://schemas.wps.cn/vas-ai-hub/contract-review">2</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60086db5-1fee-4511-97e1-3f5de58bcc48</errorID>
      <errorWord xmlns="http://schemas.wps.cn/vas-ai-hub/contract-review">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活动</item>
      </candidateList>
      <explain xmlns="http://schemas.wps.cn/vas-ai-hub/contract-review">❶〈动〉（肢体）〈动〉弹；运动：坐久了应该站起来～～｜出去散散步，～一下筋骨。❷〈动〉为某种目的而行动：抗战时这一带常有游击队～。❸〈动〉〈动〉摇；不稳定：这个桌子直～｜门牙～了。❹〈形〉灵活；不固定：～模型｜～房屋｜条文规定得比较～。❺〈名〉为达到某种目的而采取的行动：野外～｜文娱～｜体育～｜政治～。</explain>
      <paraID xmlns="http://schemas.wps.cn/vas-ai-hub/contract-review">3DC96594</paraID>
      <start xmlns="http://schemas.wps.cn/vas-ai-hub/contract-review">30</start>
      <end xmlns="http://schemas.wps.cn/vas-ai-hub/contract-review">31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f909d06f-9698-4867-9cea-fe2861205699</errorID>
      <errorWord xmlns="http://schemas.wps.cn/vas-ai-hub/contract-review">免于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免予</item>
      </candidateList>
      <explain xmlns="http://schemas.wps.cn/vas-ai-hub/contract-review">存在发音相同字词的误用。</explain>
      <paraID xmlns="http://schemas.wps.cn/vas-ai-hub/contract-review">61D92AE8</paraID>
      <start xmlns="http://schemas.wps.cn/vas-ai-hub/contract-review">7</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9c4cec10-ea69-42e6-9905-c91349fc47e7</errorID>
      <errorWord xmlns="http://schemas.wps.cn/vas-ai-hub/contract-review">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意见</item>
      </candidateList>
      <explain xmlns="http://schemas.wps.cn/vas-ai-hub/contract-review"/>
      <paraID xmlns="http://schemas.wps.cn/vas-ai-hub/contract-review">7E982928</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e8b1e567-9dac-4639-962d-f11493051c27</errorID>
      <errorWord xmlns="http://schemas.wps.cn/vas-ai-hub/contract-review">中夹军委</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中央军委</item>
      </candidateList>
      <explain xmlns="http://schemas.wps.cn/vas-ai-hub/contract-review"/>
      <paraID xmlns="http://schemas.wps.cn/vas-ai-hub/contract-review">4E3F1862</paraID>
      <start xmlns="http://schemas.wps.cn/vas-ai-hub/contract-review">16</start>
      <end xmlns="http://schemas.wps.cn/vas-ai-hub/contract-review">20</end>
      <status xmlns="http://schemas.wps.cn/vas-ai-hub/contract-review">modified</status>
      <modifiedWord xmlns="http://schemas.wps.cn/vas-ai-hub/contract-review">中央军委</modifiedWord>
      <trackRevisions xmlns="http://schemas.wps.cn/vas-ai-hub/contract-review">false</trackRevisions>
    </reviewItem>
    <reviewItem xmlns="http://schemas.wps.cn/vas-ai-hub/contract-review">
      <errorID xmlns="http://schemas.wps.cn/vas-ai-hub/contract-review">702f14e3-2e99-4e27-bf99-cec5019e9bf4</errorID>
      <errorWord xmlns="http://schemas.wps.cn/vas-ai-hub/contract-review">党中夹</errorWord>
      <group xmlns="http://schemas.wps.cn/vas-ai-hub/contract-review">L1_Political</group>
      <groupName xmlns="http://schemas.wps.cn/vas-ai-hub/contract-review">政治性问题</groupName>
      <ability xmlns="http://schemas.wps.cn/vas-ai-hub/contract-review">L2_Unpolitical</ability>
      <abilityName xmlns="http://schemas.wps.cn/vas-ai-hub/contract-review">政治敏感错误</abilityName>
      <candidateList xmlns="http://schemas.wps.cn/vas-ai-hub/contract-review">
        <item xmlns="http://schemas.wps.cn/vas-ai-hub/contract-review">党中央</item>
      </candidateList>
      <explain xmlns="http://schemas.wps.cn/vas-ai-hub/contract-review"/>
      <paraID xmlns="http://schemas.wps.cn/vas-ai-hub/contract-review">3744144D</paraID>
      <start xmlns="http://schemas.wps.cn/vas-ai-hub/contract-review">1</start>
      <end xmlns="http://schemas.wps.cn/vas-ai-hub/contract-review">4</end>
      <status xmlns="http://schemas.wps.cn/vas-ai-hub/contract-review">modified</status>
      <modifiedWord xmlns="http://schemas.wps.cn/vas-ai-hub/contract-review">党中央</modifiedWord>
      <trackRevisions xmlns="http://schemas.wps.cn/vas-ai-hub/contract-review">false</trackRevisions>
    </reviewItem>
    <reviewItem xmlns="http://schemas.wps.cn/vas-ai-hub/contract-review">
      <errorID xmlns="http://schemas.wps.cn/vas-ai-hub/contract-review">2aeaf188-cc51-4ea3-be8c-4f6e69da3746</errorID>
      <errorWord xmlns="http://schemas.wps.cn/vas-ai-hub/contract-review">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功能</item>
      </candidateList>
      <explain xmlns="http://schemas.wps.cn/vas-ai-hub/contract-review"/>
      <paraID xmlns="http://schemas.wps.cn/vas-ai-hub/contract-review">144BE5BE</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a1661aaf-9818-4acb-b45e-5fc232846915</errorID>
      <errorWord xmlns="http://schemas.wps.cn/vas-ai-hub/contract-review">民政府</errorWord>
      <group xmlns="http://schemas.wps.cn/vas-ai-hub/contract-review">L1_Political</group>
      <groupName xmlns="http://schemas.wps.cn/vas-ai-hub/contract-review">政治性问题</groupName>
      <ability xmlns="http://schemas.wps.cn/vas-ai-hub/contract-review">L2_Unpolitical</ability>
      <abilityName xmlns="http://schemas.wps.cn/vas-ai-hub/contract-review">政治敏感错误</abilityName>
      <candidateList xmlns="http://schemas.wps.cn/vas-ai-hub/contract-review">
        <item xmlns="http://schemas.wps.cn/vas-ai-hub/contract-review">人民政府</item>
      </candidateList>
      <explain xmlns="http://schemas.wps.cn/vas-ai-hub/contract-review"/>
      <paraID xmlns="http://schemas.wps.cn/vas-ai-hub/contract-review"> 3308507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ac82b663-366f-478b-b895-1045050170ef</errorID>
      <errorWord xmlns="http://schemas.wps.cn/vas-ai-hub/contract-review">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措施</item>
      </candidateList>
      <explain xmlns="http://schemas.wps.cn/vas-ai-hub/contract-review">〈名〉针对某种情况而采取的处理办法（用于较大的事情）：计划已经订出，～应该跟上。</explain>
      <paraID xmlns="http://schemas.wps.cn/vas-ai-hub/contract-review">11AC1337</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07cbfae5-f7d8-4c74-9b8d-4b7501a3bf20</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，以及</item>
      </candidateList>
      <explain xmlns="http://schemas.wps.cn/vas-ai-hub/contract-review"/>
      <paraID xmlns="http://schemas.wps.cn/vas-ai-hub/contract-review">1DA80006</paraID>
      <start xmlns="http://schemas.wps.cn/vas-ai-hub/contract-review">171</start>
      <end xmlns="http://schemas.wps.cn/vas-ai-hub/contract-review">172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6473c01c-8ba8-4b05-b2fc-08e0b1207ce9</errorID>
      <errorWord xmlns="http://schemas.wps.cn/vas-ai-hub/contract-review">游</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游泳</item>
      </candidateList>
      <explain xmlns="http://schemas.wps.cn/vas-ai-hub/contract-review"/>
      <paraID xmlns="http://schemas.wps.cn/vas-ai-hub/contract-review">10952B01</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00f7f620-bfea-40d6-b654-8ec4d41d1d10</errorID>
      <errorWord xmlns="http://schemas.wps.cn/vas-ai-hub/contract-review">的输送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输送</item>
      </candidateList>
      <explain xmlns="http://schemas.wps.cn/vas-ai-hub/contract-review"/>
      <paraID xmlns="http://schemas.wps.cn/vas-ai-hub/contract-review">25229D71</paraID>
      <start xmlns="http://schemas.wps.cn/vas-ai-hub/contract-review">0</start>
      <end xmlns="http://schemas.wps.cn/vas-ai-hub/contract-review">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84061006-e658-435c-a693-dbd6850d0d73</errorID>
      <errorWord xmlns="http://schemas.wps.cn/vas-ai-hub/contract-review">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或者</item>
      </candidateList>
      <explain xmlns="http://schemas.wps.cn/vas-ai-hub/contract-review"/>
      <paraID xmlns="http://schemas.wps.cn/vas-ai-hub/contract-review">160D8487</paraID>
      <start xmlns="http://schemas.wps.cn/vas-ai-hub/contract-review">155</start>
      <end xmlns="http://schemas.wps.cn/vas-ai-hub/contract-review">156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22c99428-8065-4a82-b083-0ddb092ee9f3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44E9A6F5</paraID>
      <start xmlns="http://schemas.wps.cn/vas-ai-hub/contract-review">11</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61eb1203-beae-48c2-8363-ee81aa556ff6</errorID>
      <errorWord xmlns="http://schemas.wps.cn/vas-ai-hub/contract-review">白县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太白县</item>
      </candidateList>
      <explain xmlns="http://schemas.wps.cn/vas-ai-hub/contract-review"/>
      <paraID xmlns="http://schemas.wps.cn/vas-ai-hub/contract-review"> 2734F61</paraID>
      <start xmlns="http://schemas.wps.cn/vas-ai-hub/contract-review">5</start>
      <end xmlns="http://schemas.wps.cn/vas-ai-hub/contract-review">8</end>
      <status xmlns="http://schemas.wps.cn/vas-ai-hub/contract-review">modified</status>
      <modifiedWord xmlns="http://schemas.wps.cn/vas-ai-hub/contract-review">太白县</modifiedWord>
      <trackRevisions xmlns="http://schemas.wps.cn/vas-ai-hub/contract-review">false</trackRevisions>
    </reviewItem>
    <reviewItem xmlns="http://schemas.wps.cn/vas-ai-hub/contract-review">
      <errorID xmlns="http://schemas.wps.cn/vas-ai-hub/contract-review">123e6fda-024a-44dd-8587-166aaa6bc5e0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4876A89D</paraID>
      <start xmlns="http://schemas.wps.cn/vas-ai-hub/contract-review">11</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f5d82809-9e86-41d1-a36c-eb99e7ad0593</errorID>
      <errorWord xmlns="http://schemas.wps.cn/vas-ai-hub/contract-review">行政村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个行政村</item>
      </candidateList>
      <explain xmlns="http://schemas.wps.cn/vas-ai-hub/contract-review"/>
      <paraID xmlns="http://schemas.wps.cn/vas-ai-hub/contract-review">5FB63151</paraID>
      <start xmlns="http://schemas.wps.cn/vas-ai-hub/contract-review">10</start>
      <end xmlns="http://schemas.wps.cn/vas-ai-hub/contract-review">14</end>
      <status xmlns="http://schemas.wps.cn/vas-ai-hub/contract-review">modified</status>
      <modifiedWord xmlns="http://schemas.wps.cn/vas-ai-hub/contract-review">个行政村</modifiedWord>
      <trackRevisions xmlns="http://schemas.wps.cn/vas-ai-hub/contract-review">false</trackRevisions>
    </reviewItem>
    <reviewItem xmlns="http://schemas.wps.cn/vas-ai-hub/contract-review">
      <errorID xmlns="http://schemas.wps.cn/vas-ai-hub/contract-review">bbec9467-3604-46b4-b464-885d9f6803cc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 D81B335</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83e7bfee-6a5d-45b2-b2eb-607a5b9526f1</errorID>
      <errorWord xmlns="http://schemas.wps.cn/vas-ai-hub/contract-review">白县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太白县</item>
      </candidateList>
      <explain xmlns="http://schemas.wps.cn/vas-ai-hub/contract-review"/>
      <paraID xmlns="http://schemas.wps.cn/vas-ai-hub/contract-review">5B01E50C</paraID>
      <start xmlns="http://schemas.wps.cn/vas-ai-hub/contract-review">6</start>
      <end xmlns="http://schemas.wps.cn/vas-ai-hub/contract-review">9</end>
      <status xmlns="http://schemas.wps.cn/vas-ai-hub/contract-review">modified</status>
      <modifiedWord xmlns="http://schemas.wps.cn/vas-ai-hub/contract-review">太白县</modifiedWord>
      <trackRevisions xmlns="http://schemas.wps.cn/vas-ai-hub/contract-review">false</trackRevisions>
    </reviewItem>
    <reviewItem xmlns="http://schemas.wps.cn/vas-ai-hub/contract-review">
      <errorID xmlns="http://schemas.wps.cn/vas-ai-hub/contract-review">1dae82ba-e471-4299-81a4-fcdae749f638</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1C82FBAD</paraID>
      <start xmlns="http://schemas.wps.cn/vas-ai-hub/contract-review">21</start>
      <end xmlns="http://schemas.wps.cn/vas-ai-hub/contract-review">22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7ae550cf-78bb-43f3-92e4-708f76fc33ad</errorID>
      <errorWord xmlns="http://schemas.wps.cn/vas-ai-hub/contract-review">抛洒</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抛撒</item>
      </candidateList>
      <explain xmlns="http://schemas.wps.cn/vas-ai-hub/contract-review"/>
      <paraID xmlns="http://schemas.wps.cn/vas-ai-hub/contract-review"> 4822A08</paraID>
      <start xmlns="http://schemas.wps.cn/vas-ai-hub/contract-review">115</start>
      <end xmlns="http://schemas.wps.cn/vas-ai-hub/contract-review">117</end>
      <status xmlns="http://schemas.wps.cn/vas-ai-hub/contract-review">modified</status>
      <modifiedWord xmlns="http://schemas.wps.cn/vas-ai-hub/contract-review">抛撒</modifiedWord>
      <trackRevisions xmlns="http://schemas.wps.cn/vas-ai-hub/contract-review">false</trackRevisions>
    </reviewItem>
    <reviewItem xmlns="http://schemas.wps.cn/vas-ai-hub/contract-review">
      <errorID xmlns="http://schemas.wps.cn/vas-ai-hub/contract-review">9703da09-737d-4d0d-9fd5-a18c84c52812</errorID>
      <errorWord xmlns="http://schemas.wps.cn/vas-ai-hub/contract-review">项目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在项目</item>
      </candidateList>
      <explain xmlns="http://schemas.wps.cn/vas-ai-hub/contract-review"/>
      <paraID xmlns="http://schemas.wps.cn/vas-ai-hub/contract-review">3370C014</paraID>
      <start xmlns="http://schemas.wps.cn/vas-ai-hub/contract-review">0</start>
      <end xmlns="http://schemas.wps.cn/vas-ai-hub/contract-review">3</end>
      <status xmlns="http://schemas.wps.cn/vas-ai-hub/contract-review">modified</status>
      <modifiedWord xmlns="http://schemas.wps.cn/vas-ai-hub/contract-review">在项目</modifiedWord>
      <trackRevisions xmlns="http://schemas.wps.cn/vas-ai-hub/contract-review">false</trackRevisions>
    </reviewItem>
    <reviewItem xmlns="http://schemas.wps.cn/vas-ai-hub/contract-review">
      <errorID xmlns="http://schemas.wps.cn/vas-ai-hub/contract-review">d258f83c-db2e-41df-8d77-1151934b6973</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3370C014</paraID>
      <start xmlns="http://schemas.wps.cn/vas-ai-hub/contract-review">6</start>
      <end xmlns="http://schemas.wps.cn/vas-ai-hub/contract-review">8</end>
      <status xmlns="http://schemas.wps.cn/vas-ai-hub/contract-review">modified</status>
      <modifiedWord xmlns="http://schemas.wps.cn/vas-ai-hub/contract-review">程中</modifiedWord>
      <trackRevisions xmlns="http://schemas.wps.cn/vas-ai-hub/contract-review">false</trackRevisions>
    </reviewItem>
    <reviewItem xmlns="http://schemas.wps.cn/vas-ai-hub/contract-review">
      <errorID xmlns="http://schemas.wps.cn/vas-ai-hub/contract-review">e417eec2-efda-4b98-a7d5-d79d93c801d5</errorID>
      <errorWord xmlns="http://schemas.wps.cn/vas-ai-hub/contract-review">确保</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中，确保</item>
      </candidateList>
      <explain xmlns="http://schemas.wps.cn/vas-ai-hub/contract-review"/>
      <paraID xmlns="http://schemas.wps.cn/vas-ai-hub/contract-review">3370C014</paraID>
      <start xmlns="http://schemas.wps.cn/vas-ai-hub/contract-review">8</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fe8f0921-49d8-46fb-bca7-5754eb8b6fd7</errorID>
      <errorWord xmlns="http://schemas.wps.cn/vas-ai-hub/contract-review">项目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对项目</item>
      </candidateList>
      <explain xmlns="http://schemas.wps.cn/vas-ai-hub/contract-review"/>
      <paraID xmlns="http://schemas.wps.cn/vas-ai-hub/contract-review">3370C014</paraID>
      <start xmlns="http://schemas.wps.cn/vas-ai-hub/contract-review">49</start>
      <end xmlns="http://schemas.wps.cn/vas-ai-hub/contract-review">52</end>
      <status xmlns="http://schemas.wps.cn/vas-ai-hub/contract-review">modified</status>
      <modifiedWord xmlns="http://schemas.wps.cn/vas-ai-hub/contract-review">对项目</modifiedWord>
      <trackRevisions xmlns="http://schemas.wps.cn/vas-ai-hub/contract-review">false</trackRevisions>
    </reviewItem>
    <reviewItem xmlns="http://schemas.wps.cn/vas-ai-hub/contract-review">
      <errorID xmlns="http://schemas.wps.cn/vas-ai-hub/contract-review">f061db4f-3933-438f-ae16-c3ab461d818b</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item>
      </candidateList>
      <explain xmlns="http://schemas.wps.cn/vas-ai-hub/contract-review"/>
      <paraID xmlns="http://schemas.wps.cn/vas-ai-hub/contract-review">3370C014</paraID>
      <start xmlns="http://schemas.wps.cn/vas-ai-hub/contract-review">73</start>
      <end xmlns="http://schemas.wps.cn/vas-ai-hub/contract-review">74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7b6985a8-3e02-4956-a7b1-4c13dd031d45</errorID>
      <errorWord xmlns="http://schemas.wps.cn/vas-ai-hub/contract-review">，并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进行，</item>
      </candidateList>
      <explain xmlns="http://schemas.wps.cn/vas-ai-hub/contract-review"/>
      <paraID xmlns="http://schemas.wps.cn/vas-ai-hub/contract-review">3370C014</paraID>
      <start xmlns="http://schemas.wps.cn/vas-ai-hub/contract-review">93</start>
      <end xmlns="http://schemas.wps.cn/vas-ai-hub/contract-review">95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9f705e7f-d11e-4785-a692-5cf59756d855</errorID>
      <errorWord xmlns="http://schemas.wps.cn/vas-ai-hub/contract-review">陕西省大气污染物防治条例</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陕西省大气污染防治条例</item>
      </candidateList>
      <explain xmlns="http://schemas.wps.cn/vas-ai-hub/contract-review">当前法律法规未收录或尚未生效，注意核查是否正确。</explain>
      <paraID xmlns="http://schemas.wps.cn/vas-ai-hub/contract-review">78F0D0A9</paraID>
      <start xmlns="http://schemas.wps.cn/vas-ai-hub/contract-review">14</start>
      <end xmlns="http://schemas.wps.cn/vas-ai-hub/contract-review">26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fc80f95b-bae2-486e-9a83-9d865e96ae00</errorID>
      <errorWord xmlns="http://schemas.wps.cn/vas-ai-hub/contract-review">宝鸡市大气污染物防治条例</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宝鸡市大气污染防治条例</item>
      </candidateList>
      <explain xmlns="http://schemas.wps.cn/vas-ai-hub/contract-review">当前法律法规未收录或尚未生效，注意核查是否正确。</explain>
      <paraID xmlns="http://schemas.wps.cn/vas-ai-hub/contract-review">78F0D0A9</paraID>
      <start xmlns="http://schemas.wps.cn/vas-ai-hub/contract-review">29</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cd695dc2-4b59-482c-bcce-9badb297a529</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78F0D0A9</paraID>
      <start xmlns="http://schemas.wps.cn/vas-ai-hub/contract-review">64</start>
      <end xmlns="http://schemas.wps.cn/vas-ai-hub/contract-review">65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2502035d-60d6-4e3e-a780-3916347b410a</errorID>
      <errorWord xmlns="http://schemas.wps.cn/vas-ai-hub/contract-review">【2026】5号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〔2026〕5号</item>
      </candidateList>
      <explain xmlns="http://schemas.wps.cn/vas-ai-hub/contract-review">发文字号格式错误。</explain>
      <paraID xmlns="http://schemas.wps.cn/vas-ai-hub/contract-review">6AB6EBDD</paraID>
      <start xmlns="http://schemas.wps.cn/vas-ai-hub/contract-review">49</start>
      <end xmlns="http://schemas.wps.cn/vas-ai-hub/contract-review">57</end>
      <status xmlns="http://schemas.wps.cn/vas-ai-hub/contract-review">modified</status>
      <modifiedWord xmlns="http://schemas.wps.cn/vas-ai-hub/contract-review">〔2026〕5号</modifiedWord>
      <trackRevisions xmlns="http://schemas.wps.cn/vas-ai-hub/contract-review">false</trackRevisions>
    </reviewItem>
    <reviewItem xmlns="http://schemas.wps.cn/vas-ai-hub/contract-review">
      <errorID xmlns="http://schemas.wps.cn/vas-ai-hub/contract-review">c2a70eba-5bc6-4812-be3f-665ad8261f39</errorID>
      <errorWord xmlns="http://schemas.wps.cn/vas-ai-hub/contract-review">项目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的项目</item>
      </candidateList>
      <explain xmlns="http://schemas.wps.cn/vas-ai-hub/contract-review"/>
      <paraID xmlns="http://schemas.wps.cn/vas-ai-hub/contract-review">6AB6EBDD</paraID>
      <start xmlns="http://schemas.wps.cn/vas-ai-hub/contract-review">230</start>
      <end xmlns="http://schemas.wps.cn/vas-ai-hub/contract-review">232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31e8be47-8c80-4cf0-b07d-7140a3c32254</errorID>
      <errorWord xmlns="http://schemas.wps.cn/vas-ai-hub/contract-review">水污染防治法</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中华人民共和国水污染防治法</item>
      </candidateList>
      <explain xmlns="http://schemas.wps.cn/vas-ai-hub/contract-review">当前法律法规名称使用简称，请注意是否应当使用全称。</explain>
      <paraID xmlns="http://schemas.wps.cn/vas-ai-hub/contract-review">6AB6EBDD</paraID>
      <start xmlns="http://schemas.wps.cn/vas-ai-hub/contract-review">238</start>
      <end xmlns="http://schemas.wps.cn/vas-ai-hub/contract-review">251</end>
      <status xmlns="http://schemas.wps.cn/vas-ai-hub/contract-review">modified</status>
      <modifiedWord xmlns="http://schemas.wps.cn/vas-ai-hub/contract-review">中华人民共和国水污染防治法</modifiedWord>
      <trackRevisions xmlns="http://schemas.wps.cn/vas-ai-hub/contract-review">false</trackRevisions>
    </reviewItem>
    <reviewItem xmlns="http://schemas.wps.cn/vas-ai-hub/contract-review">
      <errorID xmlns="http://schemas.wps.cn/vas-ai-hub/contract-review">79ac9e6f-7b59-4253-97f7-ceeac87d7fd2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
      <paraID xmlns="http://schemas.wps.cn/vas-ai-hub/contract-review">6AB6EBDD</paraID>
      <start xmlns="http://schemas.wps.cn/vas-ai-hub/contract-review">272</start>
      <end xmlns="http://schemas.wps.cn/vas-ai-hub/contract-review">274</end>
      <status xmlns="http://schemas.wps.cn/vas-ai-hub/contract-review">modified</status>
      <modifiedWord xmlns="http://schemas.wps.cn/vas-ai-hub/contract-review">》等</modifiedWord>
      <trackRevisions xmlns="http://schemas.wps.cn/vas-ai-hub/contract-review">false</trackRevisions>
    </reviewItem>
    <reviewItem xmlns="http://schemas.wps.cn/vas-ai-hub/contract-review">
      <errorID xmlns="http://schemas.wps.cn/vas-ai-hub/contract-review">0641c4dc-4381-413b-91f1-4a28fcad2106</errorID>
      <errorWord xmlns="http://schemas.wps.cn/vas-ai-hub/contract-review">净化水厂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净水厂</item>
      </candidateList>
      <explain xmlns="http://schemas.wps.cn/vas-ai-hub/contract-review"/>
      <paraID xmlns="http://schemas.wps.cn/vas-ai-hub/contract-review">6C6E4A76</paraID>
      <start xmlns="http://schemas.wps.cn/vas-ai-hub/contract-review">0</start>
      <end xmlns="http://schemas.wps.cn/vas-ai-hub/contract-review">3</end>
      <status xmlns="http://schemas.wps.cn/vas-ai-hub/contract-review">modified</status>
      <modifiedWord xmlns="http://schemas.wps.cn/vas-ai-hub/contract-review">净水厂</modifiedWord>
      <trackRevisions xmlns="http://schemas.wps.cn/vas-ai-hub/contract-review">false</trackRevisions>
    </reviewItem>
    <reviewItem xmlns="http://schemas.wps.cn/vas-ai-hub/contract-review">
      <errorID xmlns="http://schemas.wps.cn/vas-ai-hub/contract-review">c7e158fe-40cf-40c1-9822-3e11d88c0848</errorID>
      <errorWord xmlns="http://schemas.wps.cn/vas-ai-hub/contract-review">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在厂</item>
      </candidateList>
      <explain xmlns="http://schemas.wps.cn/vas-ai-hub/contract-review"/>
      <paraID xmlns="http://schemas.wps.cn/vas-ai-hub/contract-review">6C6E4A76</paraID>
      <start xmlns="http://schemas.wps.cn/vas-ai-hub/contract-review">38</start>
      <end xmlns="http://schemas.wps.cn/vas-ai-hub/contract-review">40</end>
      <status xmlns="http://schemas.wps.cn/vas-ai-hub/contract-review">modified</status>
      <modifiedWord xmlns="http://schemas.wps.cn/vas-ai-hub/contract-review">在厂</modifiedWord>
      <trackRevisions xmlns="http://schemas.wps.cn/vas-ai-hub/contract-review">false</trackRevisions>
    </reviewItem>
    <reviewItem xmlns="http://schemas.wps.cn/vas-ai-hub/contract-review">
      <errorID xmlns="http://schemas.wps.cn/vas-ai-hub/contract-review">da234607-2ad4-4fcb-ae40-14cabc8f101e</errorID>
      <errorWord xmlns="http://schemas.wps.cn/vas-ai-hub/contract-review">自来水水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自来水</item>
      </candidateList>
      <explain xmlns="http://schemas.wps.cn/vas-ai-hub/contract-review"/>
      <paraID xmlns="http://schemas.wps.cn/vas-ai-hub/contract-review">33917E14</paraID>
      <start xmlns="http://schemas.wps.cn/vas-ai-hub/contract-review">7</start>
      <end xmlns="http://schemas.wps.cn/vas-ai-hub/contract-review">10</end>
      <status xmlns="http://schemas.wps.cn/vas-ai-hub/contract-review">modified</status>
      <modifiedWord xmlns="http://schemas.wps.cn/vas-ai-hub/contract-review">自来水</modifiedWord>
      <trackRevisions xmlns="http://schemas.wps.cn/vas-ai-hub/contract-review">false</trackRevisions>
    </reviewItem>
    <reviewItem xmlns="http://schemas.wps.cn/vas-ai-hub/contract-review">
      <errorID xmlns="http://schemas.wps.cn/vas-ai-hub/contract-review">dcaba74d-3a88-4e58-b02c-0f5642f38135</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 88795F6</paraID>
      <start xmlns="http://schemas.wps.cn/vas-ai-hub/contract-review">4</start>
      <end xmlns="http://schemas.wps.cn/vas-ai-hub/contract-review">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57e55218-b0e3-4d15-94e9-918b4b8ea487</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，冬</item>
      </candidateList>
      <explain xmlns="http://schemas.wps.cn/vas-ai-hub/contract-review"/>
      <paraID xmlns="http://schemas.wps.cn/vas-ai-hub/contract-review">2BB68FCA</paraID>
      <start xmlns="http://schemas.wps.cn/vas-ai-hub/contract-review">107</start>
      <end xmlns="http://schemas.wps.cn/vas-ai-hub/contract-review">109</end>
      <status xmlns="http://schemas.wps.cn/vas-ai-hub/contract-review">modified</status>
      <modifiedWord xmlns="http://schemas.wps.cn/vas-ai-hub/contract-review">，冬</modifiedWord>
      <trackRevisions xmlns="http://schemas.wps.cn/vas-ai-hub/contract-review">false</trackRevisions>
    </reviewItem>
    <reviewItem xmlns="http://schemas.wps.cn/vas-ai-hub/contract-review">
      <errorID xmlns="http://schemas.wps.cn/vas-ai-hub/contract-review">f5635179-c1ed-4193-b6ef-27f6c8445bd4</errorID>
      <errorWord xmlns="http://schemas.wps.cn/vas-ai-hub/contract-review">供水无</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供水</item>
      </candidateList>
      <explain xmlns="http://schemas.wps.cn/vas-ai-hub/contract-review"/>
      <paraID xmlns="http://schemas.wps.cn/vas-ai-hub/contract-review">2BB68FCA</paraID>
      <start xmlns="http://schemas.wps.cn/vas-ai-hub/contract-review">124</start>
      <end xmlns="http://schemas.wps.cn/vas-ai-hub/contract-review">126</end>
      <status xmlns="http://schemas.wps.cn/vas-ai-hub/contract-review">modified</status>
      <modifiedWord xmlns="http://schemas.wps.cn/vas-ai-hub/contract-review">供水</modifiedWord>
      <trackRevisions xmlns="http://schemas.wps.cn/vas-ai-hub/contract-review">false</trackRevisions>
    </reviewItem>
    <reviewItem xmlns="http://schemas.wps.cn/vas-ai-hub/contract-review">
      <errorID xmlns="http://schemas.wps.cn/vas-ai-hub/contract-review">57cd7af1-264d-4964-aec5-0008540dd9ca</errorID>
      <errorWord xmlns="http://schemas.wps.cn/vas-ai-hub/contract-review">井水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井</item>
      </candidateList>
      <explain xmlns="http://schemas.wps.cn/vas-ai-hub/contract-review"/>
      <paraID xmlns="http://schemas.wps.cn/vas-ai-hub/contract-review">1EB21519</paraID>
      <start xmlns="http://schemas.wps.cn/vas-ai-hub/contract-review">41</start>
      <end xmlns="http://schemas.wps.cn/vas-ai-hub/contract-review">42</end>
      <status xmlns="http://schemas.wps.cn/vas-ai-hub/contract-review">modified</status>
      <modifiedWord xmlns="http://schemas.wps.cn/vas-ai-hub/contract-review">井</modifiedWord>
      <trackRevisions xmlns="http://schemas.wps.cn/vas-ai-hub/contract-review">false</trackRevisions>
    </reviewItem>
    <reviewItem xmlns="http://schemas.wps.cn/vas-ai-hub/contract-review">
      <errorID xmlns="http://schemas.wps.cn/vas-ai-hub/contract-review">eb65ace3-cda3-465a-ad28-c421ef5fa226</errorID>
      <errorWord xmlns="http://schemas.wps.cn/vas-ai-hub/contract-review">深需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深度</item>
      </candidateList>
      <explain xmlns="http://schemas.wps.cn/vas-ai-hub/contract-review"/>
      <paraID xmlns="http://schemas.wps.cn/vas-ai-hub/contract-review"> 6959C95</paraID>
      <start xmlns="http://schemas.wps.cn/vas-ai-hub/contract-review">41</start>
      <end xmlns="http://schemas.wps.cn/vas-ai-hub/contract-review">43</end>
      <status xmlns="http://schemas.wps.cn/vas-ai-hub/contract-review">modified</status>
      <modifiedWord xmlns="http://schemas.wps.cn/vas-ai-hub/contract-review">深度</modifiedWord>
      <trackRevisions xmlns="http://schemas.wps.cn/vas-ai-hub/contract-review">false</trackRevisions>
    </reviewItem>
    <reviewItem xmlns="http://schemas.wps.cn/vas-ai-hub/contract-review">
      <errorID xmlns="http://schemas.wps.cn/vas-ai-hub/contract-review">fdc7e96c-7792-4b81-8033-bf11171e22ac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4DF73150</paraID>
      <start xmlns="http://schemas.wps.cn/vas-ai-hub/contract-review">7</start>
      <end xmlns="http://schemas.wps.cn/vas-ai-hub/contract-review">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9dc2eff5-6ba3-4d71-81d4-69b152747967</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20D7276F</paraID>
      <start xmlns="http://schemas.wps.cn/vas-ai-hub/contract-review">131</start>
      <end xmlns="http://schemas.wps.cn/vas-ai-hub/contract-review">132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0aca2fc9-808b-47e6-b629-5e0e3390531c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20D7276F</paraID>
      <start xmlns="http://schemas.wps.cn/vas-ai-hub/contract-review">143</start>
      <end xmlns="http://schemas.wps.cn/vas-ai-hub/contract-review">144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5f4f4e69-40ba-428b-b7e3-6fd097cca195</errorID>
      <errorWord xmlns="http://schemas.wps.cn/vas-ai-hub/contract-review">低噪音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低噪声</item>
      </candidateList>
      <explain xmlns="http://schemas.wps.cn/vas-ai-hub/contract-review"/>
      <paraID xmlns="http://schemas.wps.cn/vas-ai-hub/contract-review">3F210280</paraID>
      <start xmlns="http://schemas.wps.cn/vas-ai-hub/contract-review">6</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16c612e9-abd2-43e3-a503-a0ca358d7c30</errorID>
      <errorWord xmlns="http://schemas.wps.cn/vas-ai-hub/contract-review">回收</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进行回收</item>
      </candidateList>
      <explain xmlns="http://schemas.wps.cn/vas-ai-hub/contract-review"/>
      <paraID xmlns="http://schemas.wps.cn/vas-ai-hub/contract-review">7F1EBF64</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b323f30e-7ffe-450e-b8dd-1dfb52efd651</errorID>
      <errorWord xmlns="http://schemas.wps.cn/vas-ai-hub/contract-review">外运</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进行外运</item>
      </candidateList>
      <explain xmlns="http://schemas.wps.cn/vas-ai-hub/contract-review"/>
      <paraID xmlns="http://schemas.wps.cn/vas-ai-hub/contract-review">7F1EBF64</paraID>
      <start xmlns="http://schemas.wps.cn/vas-ai-hub/contract-review">14</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283c998d-ee19-4127-8ae1-0ed1cfc69ede</errorID>
      <errorWord xmlns="http://schemas.wps.cn/vas-ai-hub/contract-review">过程中</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在</item>
      </candidateList>
      <explain xmlns="http://schemas.wps.cn/vas-ai-hub/contract-review"/>
      <paraID xmlns="http://schemas.wps.cn/vas-ai-hub/contract-review">2C4978AB</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1ff5f265-a5d4-49d7-ac70-f86a64ed305d</errorID>
      <errorWord xmlns="http://schemas.wps.cn/vas-ai-hub/contract-review">作用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过程中起到作用</item>
      </candidateList>
      <explain xmlns="http://schemas.wps.cn/vas-ai-hub/contract-review"/>
      <paraID xmlns="http://schemas.wps.cn/vas-ai-hub/contract-review">2C4978AB</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1dc2d754-cbc1-4cd7-b6cc-a9de2a72037a</errorID>
      <errorWord xmlns="http://schemas.wps.cn/vas-ai-hub/contract-review"/>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45CEEB68</paraID>
      <start xmlns="http://schemas.wps.cn/vas-ai-hub/contract-review">143</start>
      <end xmlns="http://schemas.wps.cn/vas-ai-hub/contract-review">144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5ebc6854-8733-4d11-b9a4-87ac15d3cc8a</errorID>
      <errorWord xmlns="http://schemas.wps.cn/vas-ai-hub/contract-review">用于为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用于</item>
      </candidateList>
      <explain xmlns="http://schemas.wps.cn/vas-ai-hub/contract-review"/>
      <paraID xmlns="http://schemas.wps.cn/vas-ai-hub/contract-review">65306FDF</paraID>
      <start xmlns="http://schemas.wps.cn/vas-ai-hub/contract-review">97</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cf3788fd-da33-4971-b98f-02452348f06e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383A8E3B</paraID>
      <start xmlns="http://schemas.wps.cn/vas-ai-hub/contract-review">28</start>
      <end xmlns="http://schemas.wps.cn/vas-ai-hub/contract-review">29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345669fb-55d1-43b0-ae7c-3322ac35baa1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2387498F</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319007b7-7d68-4908-93b8-cda54a81e086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19226B22</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8c822981-f75c-4dd4-8483-b3ebb446d7a3</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6EC052D7</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09c42b1e-354f-4b88-90f5-6e3ea4e60f8c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685418DF</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01c19ee6-ab14-4ef5-a3d1-882f0b9d1b22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190BBE5A</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161bd777-17ce-4746-a13c-7ae2626c16df</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190BBE5A</paraID>
      <start xmlns="http://schemas.wps.cn/vas-ai-hub/contract-review">10</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8c2aafbe-b1a4-464f-ad7a-a3cd72920ae2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4A21E1A4</paraID>
      <start xmlns="http://schemas.wps.cn/vas-ai-hub/contract-review">35</start>
      <end xmlns="http://schemas.wps.cn/vas-ai-hub/contract-review">36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ce4fd275-b697-4540-9f50-7e0322d6cc9c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49FF0E8B</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99f2a0d8-3deb-4b81-b194-f08c8fad54b2</errorID>
      <errorWord xmlns="http://schemas.wps.cn/vas-ai-hub/contract-review">不至于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布置于</item>
      </candidateList>
      <explain xmlns="http://schemas.wps.cn/vas-ai-hub/contract-review"/>
      <paraID xmlns="http://schemas.wps.cn/vas-ai-hub/contract-review">17097A5C</paraID>
      <start xmlns="http://schemas.wps.cn/vas-ai-hub/contract-review">37</start>
      <end xmlns="http://schemas.wps.cn/vas-ai-hub/contract-review">40</end>
      <status xmlns="http://schemas.wps.cn/vas-ai-hub/contract-review">modified</status>
      <modifiedWord xmlns="http://schemas.wps.cn/vas-ai-hub/contract-review">布置于</modifiedWord>
      <trackRevisions xmlns="http://schemas.wps.cn/vas-ai-hub/contract-review">false</trackRevisions>
    </reviewItem>
    <reviewItem xmlns="http://schemas.wps.cn/vas-ai-hub/contract-review">
      <errorID xmlns="http://schemas.wps.cn/vas-ai-hub/contract-review">a14cae48-f3a2-4d3a-a879-13f3dfb4a80e</errorID>
      <errorWord xmlns="http://schemas.wps.cn/vas-ai-hub/contract-review">利用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通过</item>
      </candidateList>
      <explain xmlns="http://schemas.wps.cn/vas-ai-hub/contract-review"/>
      <paraID xmlns="http://schemas.wps.cn/vas-ai-hub/contract-review">16C908E3</paraID>
      <start xmlns="http://schemas.wps.cn/vas-ai-hub/contract-review">54</start>
      <end xmlns="http://schemas.wps.cn/vas-ai-hub/contract-review">56</end>
      <status xmlns="http://schemas.wps.cn/vas-ai-hub/contract-review">modified</status>
      <modifiedWord xmlns="http://schemas.wps.cn/vas-ai-hub/contract-review">通过</modifiedWord>
      <trackRevisions xmlns="http://schemas.wps.cn/vas-ai-hub/contract-review">false</trackRevisions>
    </reviewItem>
    <reviewItem xmlns="http://schemas.wps.cn/vas-ai-hub/contract-review">
      <errorID xmlns="http://schemas.wps.cn/vas-ai-hub/contract-review">f5f02972-ad43-46e3-8265-da05a4369085</errorID>
      <errorWord xmlns="http://schemas.wps.cn/vas-ai-hub/contract-review">经</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，经</item>
      </candidateList>
      <explain xmlns="http://schemas.wps.cn/vas-ai-hub/contract-review"/>
      <paraID xmlns="http://schemas.wps.cn/vas-ai-hub/contract-review">16C908E3</paraID>
      <start xmlns="http://schemas.wps.cn/vas-ai-hub/contract-review">61</start>
      <end xmlns="http://schemas.wps.cn/vas-ai-hub/contract-review">63</end>
      <status xmlns="http://schemas.wps.cn/vas-ai-hub/contract-review">modified</status>
      <modifiedWord xmlns="http://schemas.wps.cn/vas-ai-hub/contract-review">，经</modifiedWord>
      <trackRevisions xmlns="http://schemas.wps.cn/vas-ai-hub/contract-review">false</trackRevisions>
    </reviewItem>
    <reviewItem xmlns="http://schemas.wps.cn/vas-ai-hub/contract-review">
      <errorID xmlns="http://schemas.wps.cn/vas-ai-hub/contract-review">f523a8f6-5a54-456e-9911-39f5d0ce4c20</errorID>
      <errorWord xmlns="http://schemas.wps.cn/vas-ai-hub/contract-review">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16C908E3</paraID>
      <start xmlns="http://schemas.wps.cn/vas-ai-hub/contract-review">89</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167cad5b-462a-4781-a6c6-91d1dac0b57e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标题顺序错误，请检查标题顺序是否合理。</explain>
      <paraID xmlns="http://schemas.wps.cn/vas-ai-hub/contract-review">38C5B6C2</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0efb4c12-6680-4a4c-9c76-f7a9f4d455d6</errorID>
      <errorWord xmlns="http://schemas.wps.cn/vas-ai-hub/contract-review">继续拧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继续</item>
      </candidateList>
      <explain xmlns="http://schemas.wps.cn/vas-ai-hub/contract-review">〈动〉（活动）连下去；延长下去；不间断：～不停｜～工作｜大雨～了三昼夜。</explain>
      <paraID xmlns="http://schemas.wps.cn/vas-ai-hub/contract-review">5026DDF3</paraID>
      <start xmlns="http://schemas.wps.cn/vas-ai-hub/contract-review">29</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e4101b04-ad9e-4364-b8c8-19a115e9b53b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613FC963</paraID>
      <start xmlns="http://schemas.wps.cn/vas-ai-hub/contract-review">47</start>
      <end xmlns="http://schemas.wps.cn/vas-ai-hub/contract-review">48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0a236545-9477-4577-98f9-9f7ee65580e2</errorID>
      <errorWord xmlns="http://schemas.wps.cn/vas-ai-hub/contract-review">树杆一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数杆→</item>
      </candidateList>
      <explain xmlns="http://schemas.wps.cn/vas-ai-hub/contract-review"/>
      <paraID xmlns="http://schemas.wps.cn/vas-ai-hub/contract-review">613FC963</paraID>
      <start xmlns="http://schemas.wps.cn/vas-ai-hub/contract-review">55</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54c9b5c2-300c-4ea2-acaa-3a0783778ff5</errorID>
      <errorWord xmlns="http://schemas.wps.cn/vas-ai-hub/contract-review">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613FC963</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0628820a-ced6-434f-a966-ec54204b4689</errorID>
      <errorWord xmlns="http://schemas.wps.cn/vas-ai-hub/contract-review">一排</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→排</item>
      </candidateList>
      <explain xmlns="http://schemas.wps.cn/vas-ai-hub/contract-review"/>
      <paraID xmlns="http://schemas.wps.cn/vas-ai-hub/contract-review">613FC963</paraID>
      <start xmlns="http://schemas.wps.cn/vas-ai-hub/contract-review">66</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7bef5ccb-aa63-4c49-be24-b26bc4b23259</errorID>
      <errorWord xmlns="http://schemas.wps.cn/vas-ai-hub/contract-review">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613FC963</paraID>
      <start xmlns="http://schemas.wps.cn/vas-ai-hub/contract-review">69</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c3e43531-ada2-4972-977a-45676296a6be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613FC963</paraID>
      <start xmlns="http://schemas.wps.cn/vas-ai-hub/contract-review">220</start>
      <end xmlns="http://schemas.wps.cn/vas-ai-hub/contract-review">221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87722a56-5939-4235-a3bd-c433294f60a9</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380375AF</paraID>
      <start xmlns="http://schemas.wps.cn/vas-ai-hub/contract-review">80</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9e178e4d-7814-4387-ad62-135e5de4d1ba</errorID>
      <errorWord xmlns="http://schemas.wps.cn/vas-ai-hub/contract-review">机械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以机械</item>
      </candidateList>
      <explain xmlns="http://schemas.wps.cn/vas-ai-hub/contract-review"/>
      <paraID xmlns="http://schemas.wps.cn/vas-ai-hub/contract-review">1A45B9C5</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df1919e4-1c78-4eb1-b769-43220fda479e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1A45B9C5</paraID>
      <start xmlns="http://schemas.wps.cn/vas-ai-hub/contract-review">83</start>
      <end xmlns="http://schemas.wps.cn/vas-ai-hub/contract-review">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14ab77fd-965e-41ba-8d2f-170e3df72b77</errorID>
      <errorWord xmlns="http://schemas.wps.cn/vas-ai-hub/contract-review">同时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的同时</item>
      </candidateList>
      <explain xmlns="http://schemas.wps.cn/vas-ai-hub/contract-review"/>
      <paraID xmlns="http://schemas.wps.cn/vas-ai-hub/contract-review">1A45B9C5</paraID>
      <start xmlns="http://schemas.wps.cn/vas-ai-hub/contract-review">88</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a1e2ab0d-f3a1-446c-ad57-f56063c1cabf</errorID>
      <errorWord xmlns="http://schemas.wps.cn/vas-ai-hub/contract-review">推土机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以推土机</item>
      </candidateList>
      <explain xmlns="http://schemas.wps.cn/vas-ai-hub/contract-review"/>
      <paraID xmlns="http://schemas.wps.cn/vas-ai-hub/contract-review">1A45B9C5</paraID>
      <start xmlns="http://schemas.wps.cn/vas-ai-hub/contract-review">116</start>
      <end xmlns="http://schemas.wps.cn/vas-ai-hub/contract-review">119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a5f68f95-cb93-4d8b-980c-ae86b3d54856</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1A45B9C5</paraID>
      <start xmlns="http://schemas.wps.cn/vas-ai-hub/contract-review">182</start>
      <end xmlns="http://schemas.wps.cn/vas-ai-hub/contract-review">183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085103bf-1e5e-499f-b96d-2f18377310c2</errorID>
      <errorWord xmlns="http://schemas.wps.cn/vas-ai-hub/contract-review">20m</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2m</item>
      </candidateList>
      <explain xmlns="http://schemas.wps.cn/vas-ai-hub/contract-review"/>
      <paraID xmlns="http://schemas.wps.cn/vas-ai-hub/contract-review">5A06CCB4</paraID>
      <start xmlns="http://schemas.wps.cn/vas-ai-hub/contract-review">24</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5ab8b37f-a5a8-4939-a312-63b4e5e574e8</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1B24AB6F</paraID>
      <start xmlns="http://schemas.wps.cn/vas-ai-hub/contract-review">66</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a865e949-a2c9-4a80-987e-0d0bdef222df</errorID>
      <errorWord xmlns="http://schemas.wps.cn/vas-ai-hub/contract-review">将堆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将</item>
      </candidateList>
      <explain xmlns="http://schemas.wps.cn/vas-ai-hub/contract-review"/>
      <paraID xmlns="http://schemas.wps.cn/vas-ai-hub/contract-review">79D25A37</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d83122c1-b1bb-4082-a893-2950a6aa14d7</errorID>
      <errorWord xmlns="http://schemas.wps.cn/vas-ai-hub/contract-review">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土堆</item>
      </candidateList>
      <explain xmlns="http://schemas.wps.cn/vas-ai-hub/contract-review"/>
      <paraID xmlns="http://schemas.wps.cn/vas-ai-hub/contract-review">79D25A37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23d6f0fe-8575-403b-b243-75de8d4d0021</errorID>
      <errorWord xmlns="http://schemas.wps.cn/vas-ai-hub/contract-review">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宽度</item>
      </candidateList>
      <explain xmlns="http://schemas.wps.cn/vas-ai-hub/contract-review"/>
      <paraID xmlns="http://schemas.wps.cn/vas-ai-hub/contract-review">79D25A37</paraID>
      <start xmlns="http://schemas.wps.cn/vas-ai-hub/contract-review">24</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e9142b87-ca2e-41ee-8da0-62af08665469</errorID>
      <errorWord xmlns="http://schemas.wps.cn/vas-ai-hub/contract-review">-3m，管线施工的作业带宽度 </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- 3m，管线施工的作业带宽度</item>
      </candidateList>
      <explain xmlns="http://schemas.wps.cn/vas-ai-hub/contract-review"/>
      <paraID xmlns="http://schemas.wps.cn/vas-ai-hub/contract-review">79D25A37</paraID>
      <start xmlns="http://schemas.wps.cn/vas-ai-hub/contract-review">30</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0049bb17-bc81-4c4d-a6ee-869d3b980be0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79D25A37</paraID>
      <start xmlns="http://schemas.wps.cn/vas-ai-hub/contract-review">48</start>
      <end xmlns="http://schemas.wps.cn/vas-ai-hub/contract-review">49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0a9844bf-ab44-444a-b5c1-1b873ca3addc</errorID>
      <errorWord xmlns="http://schemas.wps.cn/vas-ai-hub/contract-review">四分点一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四分之一</item>
      </candidateList>
      <explain xmlns="http://schemas.wps.cn/vas-ai-hub/contract-review"/>
      <paraID xmlns="http://schemas.wps.cn/vas-ai-hub/contract-review"> 1C29FD2</paraID>
      <start xmlns="http://schemas.wps.cn/vas-ai-hub/contract-review">30</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dd6e95da-9b7d-4b07-972c-bcd7404b080c</errorID>
      <errorWord xmlns="http://schemas.wps.cn/vas-ai-hub/contract-review">入仓，插入式振捣器振捣</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入仓</item>
      </candidateList>
      <explain xmlns="http://schemas.wps.cn/vas-ai-hub/contract-review"/>
      <paraID xmlns="http://schemas.wps.cn/vas-ai-hub/contract-review">21BE49D0</paraID>
      <start xmlns="http://schemas.wps.cn/vas-ai-hub/contract-review">39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c0e3b449-1d1a-45a5-9a9d-7547700c91e4</errorID>
      <errorWord xmlns="http://schemas.wps.cn/vas-ai-hub/contract-review"/>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
      </candidateList>
      <explain xmlns="http://schemas.wps.cn/vas-ai-hub/contract-review">此处空格冗余，建议删除。</explain>
      <paraID xmlns="http://schemas.wps.cn/vas-ai-hub/contract-review">21BE49D0</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ec0a4f06-6217-4980-85fa-cb3f1f50cc13</errorID>
      <errorWord xmlns="http://schemas.wps.cn/vas-ai-hub/contract-review"/>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
      </candidateList>
      <explain xmlns="http://schemas.wps.cn/vas-ai-hub/contract-review">此处空格冗余，建议删除。</explain>
      <paraID xmlns="http://schemas.wps.cn/vas-ai-hub/contract-review">21BE49D0</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4eef5542-2882-4659-a037-342b2e50d6b8</errorID>
      <errorWord xmlns="http://schemas.wps.cn/vas-ai-hub/contract-review">闭水实验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闭水试验</item>
      </candidateList>
      <explain xmlns="http://schemas.wps.cn/vas-ai-hub/contract-review"/>
      <paraID xmlns="http://schemas.wps.cn/vas-ai-hub/contract-review">353A87DE</paraID>
      <start xmlns="http://schemas.wps.cn/vas-ai-hub/contract-review">0</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baefd273-00bb-4e5f-917f-35f531b450e8</errorID>
      <errorWord xmlns="http://schemas.wps.cn/vas-ai-hub/contract-review">杂硬</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杂质</item>
      </candidateList>
      <explain xmlns="http://schemas.wps.cn/vas-ai-hub/contract-review"/>
      <paraID xmlns="http://schemas.wps.cn/vas-ai-hub/contract-review">458045EE</paraID>
      <start xmlns="http://schemas.wps.cn/vas-ai-hub/contract-review">51</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696a9cbc-eb5b-40c2-84aa-e214fa1d3e64</errorID>
      <errorWord xmlns="http://schemas.wps.cn/vas-ai-hub/contract-review">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沟槽</item>
      </candidateList>
      <explain xmlns="http://schemas.wps.cn/vas-ai-hub/contract-review"/>
      <paraID xmlns="http://schemas.wps.cn/vas-ai-hub/contract-review"> D7CE424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5925c828-6afa-4d8c-88bf-b9d6f802c0b2</errorID>
      <errorWord xmlns="http://schemas.wps.cn/vas-ai-hub/contract-review">后</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完毕后</item>
      </candidateList>
      <explain xmlns="http://schemas.wps.cn/vas-ai-hub/contract-review"/>
      <paraID xmlns="http://schemas.wps.cn/vas-ai-hub/contract-review">3F25678D</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14bb22fc-9cb1-4d41-9463-270182c2a57f</errorID>
      <errorWord xmlns="http://schemas.wps.cn/vas-ai-hub/contract-review">拌合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拌和</item>
      </candidateList>
      <explain xmlns="http://schemas.wps.cn/vas-ai-hub/contract-review"/>
      <paraID xmlns="http://schemas.wps.cn/vas-ai-hub/contract-review">31C5BC46</paraID>
      <start xmlns="http://schemas.wps.cn/vas-ai-hub/contract-review">65</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724daa0e-5d26-4433-9f52-9cd917d7d7fe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2AD22099</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f82f880b-8c89-49fd-b3ee-220fe377230a</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2AD22099</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d2001c13-5beb-4fb5-8c92-0b0a3b880c06</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2AD22099</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6ee73c02-c294-4e68-8d85-009665fa7809</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2AD22099</paraID>
      <start xmlns="http://schemas.wps.cn/vas-ai-hub/contract-review">57</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30115e8b-6f52-4906-90bd-9b428798a0ab</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44B0C9F6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26edaa7f-6daa-4e7b-bba7-7218d5126d24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2E568766</paraID>
      <start xmlns="http://schemas.wps.cn/vas-ai-hub/contract-review">28</start>
      <end xmlns="http://schemas.wps.cn/vas-ai-hub/contract-review">29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9655c051-c145-431b-8875-6a7a46a86815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2E568766</paraID>
      <start xmlns="http://schemas.wps.cn/vas-ai-hub/contract-review">33</start>
      <end xmlns="http://schemas.wps.cn/vas-ai-hub/contract-review">34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16abf843-d981-4075-aaac-4586e16f4f7f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4CE2F279</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2e66e4fa-d655-4c32-8cf8-1a1b7a1d930e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4CE2F279</paraID>
      <start xmlns="http://schemas.wps.cn/vas-ai-hub/contract-review">157</start>
      <end xmlns="http://schemas.wps.cn/vas-ai-hub/contract-review">158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ed0c5dcd-1634-43c7-824e-1bc12eaef623</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72503230</paraID>
      <start xmlns="http://schemas.wps.cn/vas-ai-hub/contract-review">46</start>
      <end xmlns="http://schemas.wps.cn/vas-ai-hub/contract-review">47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fd6b5e21-8310-4eac-a409-a912e4694305</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70BE601</paraID>
      <start xmlns="http://schemas.wps.cn/vas-ai-hub/contract-review">39</start>
      <end xmlns="http://schemas.wps.cn/vas-ai-hub/contract-review">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3b5abb65-462a-4a5d-a04d-69486f9b45c5</errorID>
      <errorWord xmlns="http://schemas.wps.cn/vas-ai-hub/contract-review">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处于</item>
      </candidateList>
      <explain xmlns="http://schemas.wps.cn/vas-ai-hub/contract-review">〈动〉在某种地位或状态：～优势｜伤员～昏迷状态。</explain>
      <paraID xmlns="http://schemas.wps.cn/vas-ai-hub/contract-review">6A3FECF7</paraID>
      <start xmlns="http://schemas.wps.cn/vas-ai-hub/contract-review">119</start>
      <end xmlns="http://schemas.wps.cn/vas-ai-hub/contract-review">120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145a2b4c-8398-452d-812f-a8034cb08fe3</errorID>
      <errorWord xmlns="http://schemas.wps.cn/vas-ai-hub/contract-review">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呈</item>
      </candidateList>
      <explain xmlns="http://schemas.wps.cn/vas-ai-hub/contract-review">❶〈动〉具有（某种形式）；呈现（某种颜色、状态）：果实～长圆形｜毛皮～暗褐色。❷〈动〉恭敬地送上去：谨～｜～上名片。❸呈文：签～。❹（Chénɡ）〈名〉姓。</explain>
      <paraID xmlns="http://schemas.wps.cn/vas-ai-hub/contract-review">42F169DE</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4df6a501-dc92-4aae-8079-ee8eac418b89</errorID>
      <errorWord xmlns="http://schemas.wps.cn/vas-ai-hub/contract-review">入汇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汇入</item>
      </candidateList>
      <explain xmlns="http://schemas.wps.cn/vas-ai-hub/contract-review"/>
      <paraID xmlns="http://schemas.wps.cn/vas-ai-hub/contract-review">42F169DE</paraID>
      <start xmlns="http://schemas.wps.cn/vas-ai-hub/contract-review">150</start>
      <end xmlns="http://schemas.wps.cn/vas-ai-hub/contract-review">152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8daab111-4a28-4092-8334-c0ec57ae5349</errorID>
      <errorWord xmlns="http://schemas.wps.cn/vas-ai-hub/contract-review">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呈</item>
      </candidateList>
      <explain xmlns="http://schemas.wps.cn/vas-ai-hub/contract-review">❶〈动〉具有（某种形式）；呈现（某种颜色、状态）：果实～长圆形｜毛皮～暗褐色。❷〈动〉恭敬地送上去：谨～｜～上名片。❸呈文：签～。❹（Chénɡ）〈名〉姓。</explain>
      <paraID xmlns="http://schemas.wps.cn/vas-ai-hub/contract-review">42F169DE</paraID>
      <start xmlns="http://schemas.wps.cn/vas-ai-hub/contract-review">337</start>
      <end xmlns="http://schemas.wps.cn/vas-ai-hub/contract-review">338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1492954d-060e-4983-9454-d52b6807bae5</errorID>
      <errorWord xmlns="http://schemas.wps.cn/vas-ai-hub/contract-review">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分为</item>
      </candidateList>
      <explain xmlns="http://schemas.wps.cn/vas-ai-hub/contract-review"/>
      <paraID xmlns="http://schemas.wps.cn/vas-ai-hub/contract-review"> 3752A65</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84b83d7e-992b-4e31-86d3-210601c19ec4</errorID>
      <errorWord xmlns="http://schemas.wps.cn/vas-ai-hub/contract-review">成份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成分</item>
      </candidateList>
      <explain xmlns="http://schemas.wps.cn/vas-ai-hub/contract-review">（成份）chénɡ•fèn〈名〉❶指构成事物的各种不同的物质或因素：化学～｜营养～｜减轻了心里不安的～。❷指个人早先的主要经历或职业：工人～｜他的个人～是学生。</explain>
      <paraID xmlns="http://schemas.wps.cn/vas-ai-hub/contract-review">4D63D27F</paraID>
      <start xmlns="http://schemas.wps.cn/vas-ai-hub/contract-review">16</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4df8b38c-3e7d-4626-b395-8217b992da6f</errorID>
      <errorWord xmlns="http://schemas.wps.cn/vas-ai-hub/contract-review">成份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成分</item>
      </candidateList>
      <explain xmlns="http://schemas.wps.cn/vas-ai-hub/contract-review">（成份）chénɡ•fèn〈名〉❶指构成事物的各种不同的物质或因素：化学～｜营养～｜减轻了心里不安的～。❷指个人早先的主要经历或职业：工人～｜他的个人～是学生。</explain>
      <paraID xmlns="http://schemas.wps.cn/vas-ai-hub/contract-review">13840047</paraID>
      <start xmlns="http://schemas.wps.cn/vas-ai-hub/contract-review">34</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435383f4-7029-4886-af64-467209fc2023</errorID>
      <errorWord xmlns="http://schemas.wps.cn/vas-ai-hub/contract-review">分布相</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分布</item>
      </candidateList>
      <explain xmlns="http://schemas.wps.cn/vas-ai-hub/contract-review">〈动〉散布（在一定的地区内）：人口～图｜商业网点～得不均匀。</explain>
      <paraID xmlns="http://schemas.wps.cn/vas-ai-hub/contract-review">13840047</paraID>
      <start xmlns="http://schemas.wps.cn/vas-ai-hub/contract-review">117</start>
      <end xmlns="http://schemas.wps.cn/vas-ai-hub/contract-review">120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65cef589-8eba-4646-a5aa-600009a56348</errorID>
      <errorWord xmlns="http://schemas.wps.cn/vas-ai-hub/contract-review">白腊</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白蜡</item>
      </candidateList>
      <explain xmlns="http://schemas.wps.cn/vas-ai-hub/contract-review"/>
      <paraID xmlns="http://schemas.wps.cn/vas-ai-hub/contract-review">13840047</paraID>
      <start xmlns="http://schemas.wps.cn/vas-ai-hub/contract-review">188</start>
      <end xmlns="http://schemas.wps.cn/vas-ai-hub/contract-review">190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3be4e9cd-a4ed-492a-8b67-30a11c5e385c</errorID>
      <errorWord xmlns="http://schemas.wps.cn/vas-ai-hub/contract-review">乡之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乡</item>
      </candidateList>
      <explain xmlns="http://schemas.wps.cn/vas-ai-hub/contract-review"/>
      <paraID xmlns="http://schemas.wps.cn/vas-ai-hub/contract-review">13840047</paraID>
      <start xmlns="http://schemas.wps.cn/vas-ai-hub/contract-review">223</start>
      <end xmlns="http://schemas.wps.cn/vas-ai-hub/contract-review">224</end>
      <status xmlns="http://schemas.wps.cn/vas-ai-hub/contract-review">modified</status>
      <modifiedWord xmlns="http://schemas.wps.cn/vas-ai-hub/contract-review">乡</modifiedWord>
      <trackRevisions xmlns="http://schemas.wps.cn/vas-ai-hub/contract-review">false</trackRevisions>
    </reviewItem>
    <reviewItem xmlns="http://schemas.wps.cn/vas-ai-hub/contract-review">
      <errorID xmlns="http://schemas.wps.cn/vas-ai-hub/contract-review">3650d3ec-5649-42e9-8546-093e11d6976b</errorID>
      <errorWord xmlns="http://schemas.wps.cn/vas-ai-hub/contract-review">标椎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标准</item>
      </candidateList>
      <explain xmlns="http://schemas.wps.cn/vas-ai-hub/contract-review">❶〈名〉衡量事物的准则：技术～｜实践是检验真理的唯一～。❷〈形〉本身合于准则，可供同类事物比较核对的：～音｜～时｜她的发音很～。</explain>
      <paraID xmlns="http://schemas.wps.cn/vas-ai-hub/contract-review">5D1B8542</paraID>
      <start xmlns="http://schemas.wps.cn/vas-ai-hub/contract-review">27</start>
      <end xmlns="http://schemas.wps.cn/vas-ai-hub/contract-review">29</end>
      <status xmlns="http://schemas.wps.cn/vas-ai-hub/contract-review">modified</status>
      <modifiedWord xmlns="http://schemas.wps.cn/vas-ai-hub/contract-review">标准</modifiedWord>
      <trackRevisions xmlns="http://schemas.wps.cn/vas-ai-hub/contract-review">false</trackRevisions>
    </reviewItem>
    <reviewItem xmlns="http://schemas.wps.cn/vas-ai-hub/contract-review">
      <errorID xmlns="http://schemas.wps.cn/vas-ai-hub/contract-review">22e7246b-dcfc-4831-af74-c135158b5cbd</errorID>
      <errorWord xmlns="http://schemas.wps.cn/vas-ai-hub/contract-review">标椎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标准</item>
      </candidateList>
      <explain xmlns="http://schemas.wps.cn/vas-ai-hub/contract-review">❶〈名〉衡量事物的准则：技术～｜实践是检验真理的唯一～。❷〈形〉本身合于准则，可供同类事物比较核对的：～音｜～时｜她的发音很～。</explain>
      <paraID xmlns="http://schemas.wps.cn/vas-ai-hub/contract-review">35345FB8</paraID>
      <start xmlns="http://schemas.wps.cn/vas-ai-hub/contract-review">27</start>
      <end xmlns="http://schemas.wps.cn/vas-ai-hub/contract-review">29</end>
      <status xmlns="http://schemas.wps.cn/vas-ai-hub/contract-review">modified</status>
      <modifiedWord xmlns="http://schemas.wps.cn/vas-ai-hub/contract-review">标准</modifiedWord>
      <trackRevisions xmlns="http://schemas.wps.cn/vas-ai-hub/contract-review">false</trackRevisions>
    </reviewItem>
    <reviewItem xmlns="http://schemas.wps.cn/vas-ai-hub/contract-review">
      <errorID xmlns="http://schemas.wps.cn/vas-ai-hub/contract-review">4d95f2b3-bd03-461d-99ec-aab88628145b</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explain xmlns="http://schemas.wps.cn/vas-ai-hub/contract-review"/>
      <paraID xmlns="http://schemas.wps.cn/vas-ai-hub/contract-review">6250E356</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df9e3f7d-a2d8-44b3-a077-0ca4fbfeac95</errorID>
      <errorWord xmlns="http://schemas.wps.cn/vas-ai-hub/contract-review">附件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附近</item>
      </candidateList>
      <explain xmlns="http://schemas.wps.cn/vas-ai-hub/contract-review">❶〈形〉属性词。靠近某地的：～地区｜～居民。❷〈名〉附近的地方：他家就在～，几分钟就可以走到。</explain>
      <paraID xmlns="http://schemas.wps.cn/vas-ai-hub/contract-review">6250E356</paraID>
      <start xmlns="http://schemas.wps.cn/vas-ai-hub/contract-review">76</start>
      <end xmlns="http://schemas.wps.cn/vas-ai-hub/contract-review">78</end>
      <status xmlns="http://schemas.wps.cn/vas-ai-hub/contract-review">modified</status>
      <modifiedWord xmlns="http://schemas.wps.cn/vas-ai-hub/contract-review">附近</modifiedWord>
      <trackRevisions xmlns="http://schemas.wps.cn/vas-ai-hub/contract-review">false</trackRevisions>
    </reviewItem>
    <reviewItem xmlns="http://schemas.wps.cn/vas-ai-hub/contract-review">
      <errorID xmlns="http://schemas.wps.cn/vas-ai-hub/contract-review">cae16f40-71d5-4b95-8884-d5d7f9dd74aa</errorID>
      <errorWord xmlns="http://schemas.wps.cn/vas-ai-hub/contract-review">【2014】197号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〔2014〕197号</item>
      </candidateList>
      <explain xmlns="http://schemas.wps.cn/vas-ai-hub/contract-review">发文字号格式错误。</explain>
      <paraID xmlns="http://schemas.wps.cn/vas-ai-hub/contract-review">24A5D970</paraID>
      <start xmlns="http://schemas.wps.cn/vas-ai-hub/contract-review">7</start>
      <end xmlns="http://schemas.wps.cn/vas-ai-hub/contract-review">17</end>
      <status xmlns="http://schemas.wps.cn/vas-ai-hub/contract-review">modified</status>
      <modifiedWord xmlns="http://schemas.wps.cn/vas-ai-hub/contract-review">〔2014〕197号</modifiedWord>
      <trackRevisions xmlns="http://schemas.wps.cn/vas-ai-hub/contract-review">false</trackRevisions>
    </reviewItem>
    <reviewItem xmlns="http://schemas.wps.cn/vas-ai-hub/contract-review">
      <errorID xmlns="http://schemas.wps.cn/vas-ai-hub/contract-review">d1a43d04-86f3-44ec-958d-5e9d42ba6737</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24A5D970</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31e4666f-6d0a-4555-8bc6-bd34c640bc46</errorID>
      <errorWord xmlns="http://schemas.wps.cn/vas-ai-hub/contract-review">抛撒</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抛洒</item>
      </candidateList>
      <explain xmlns="http://schemas.wps.cn/vas-ai-hub/contract-review">存在发音相同字词的误用。</explain>
      <paraID xmlns="http://schemas.wps.cn/vas-ai-hub/contract-review">  5A1AE5</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b522e3a0-edb1-44c3-89d5-059db577393f</errorID>
      <errorWord xmlns="http://schemas.wps.cn/vas-ai-hub/contract-review">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和人</item>
      </candidateList>
      <explain xmlns="http://schemas.wps.cn/vas-ai-hub/contract-review"/>
      <paraID xmlns="http://schemas.wps.cn/vas-ai-hub/contract-review">4CA29108</paraID>
      <start xmlns="http://schemas.wps.cn/vas-ai-hub/contract-review">8</start>
      <end xmlns="http://schemas.wps.cn/vas-ai-hub/contract-review">10</end>
      <status xmlns="http://schemas.wps.cn/vas-ai-hub/contract-review">modified</status>
      <modifiedWord xmlns="http://schemas.wps.cn/vas-ai-hub/contract-review">和人</modifiedWord>
      <trackRevisions xmlns="http://schemas.wps.cn/vas-ai-hub/contract-review">false</trackRevisions>
    </reviewItem>
    <reviewItem xmlns="http://schemas.wps.cn/vas-ai-hub/contract-review">
      <errorID xmlns="http://schemas.wps.cn/vas-ai-hub/contract-review">0bc8f1bf-97f8-4f39-8f3d-330c8d788a8e</errorID>
      <errorWord xmlns="http://schemas.wps.cn/vas-ai-hub/contract-review">减小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减少</item>
      </candidateList>
      <explain xmlns="http://schemas.wps.cn/vas-ai-hub/contract-review">〈动〉减去一部分：～人员｜～麻烦｜工作中的缺点～了。</explain>
      <paraID xmlns="http://schemas.wps.cn/vas-ai-hub/contract-review"> 9C61C4B</paraID>
      <start xmlns="http://schemas.wps.cn/vas-ai-hub/contract-review">38</start>
      <end xmlns="http://schemas.wps.cn/vas-ai-hub/contract-review">40</end>
      <status xmlns="http://schemas.wps.cn/vas-ai-hub/contract-review">modified</status>
      <modifiedWord xmlns="http://schemas.wps.cn/vas-ai-hub/contract-review">减少</modifiedWord>
      <trackRevisions xmlns="http://schemas.wps.cn/vas-ai-hub/contract-review">false</trackRevisions>
    </reviewItem>
    <reviewItem xmlns="http://schemas.wps.cn/vas-ai-hub/contract-review">
      <errorID xmlns="http://schemas.wps.cn/vas-ai-hub/contract-review">32ee1d50-e6a6-4b7d-b30c-6531911f9e7e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注意检查双引号的方向是否正确。</explain>
      <paraID xmlns="http://schemas.wps.cn/vas-ai-hub/contract-review">39E42233</paraID>
      <start xmlns="http://schemas.wps.cn/vas-ai-hub/contract-review">13</start>
      <end xmlns="http://schemas.wps.cn/vas-ai-hub/contract-review">14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444d22cd-4ad6-48d3-beb7-ba179850ac1c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注意检查双引号的方向是否正确。</explain>
      <paraID xmlns="http://schemas.wps.cn/vas-ai-hub/contract-review"> 79DA446</paraID>
      <start xmlns="http://schemas.wps.cn/vas-ai-hub/contract-review">45</start>
      <end xmlns="http://schemas.wps.cn/vas-ai-hub/contract-review">46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8410e35c-4100-4107-bf10-ab571c32c304</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286B1BB2</paraID>
      <start xmlns="http://schemas.wps.cn/vas-ai-hub/contract-review">32</start>
      <end xmlns="http://schemas.wps.cn/vas-ai-hub/contract-review">34</end>
      <status xmlns="http://schemas.wps.cn/vas-ai-hub/contract-review">modified</status>
      <modifiedWord xmlns="http://schemas.wps.cn/vas-ai-hub/contract-review">程中</modifiedWord>
      <trackRevisions xmlns="http://schemas.wps.cn/vas-ai-hub/contract-review">false</trackRevisions>
    </reviewItem>
    <reviewItem xmlns="http://schemas.wps.cn/vas-ai-hub/contract-review">
      <errorID xmlns="http://schemas.wps.cn/vas-ai-hub/contract-review">904ae135-5b17-4665-844b-d9630e1c42b8</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17A608A5</paraID>
      <start xmlns="http://schemas.wps.cn/vas-ai-hub/contract-review">77</start>
      <end xmlns="http://schemas.wps.cn/vas-ai-hub/contract-review">79</end>
      <status xmlns="http://schemas.wps.cn/vas-ai-hub/contract-review">modified</status>
      <modifiedWord xmlns="http://schemas.wps.cn/vas-ai-hub/contract-review">程中</modifiedWord>
      <trackRevisions xmlns="http://schemas.wps.cn/vas-ai-hub/contract-review">false</trackRevisions>
    </reviewItem>
    <reviewItem xmlns="http://schemas.wps.cn/vas-ai-hub/contract-review">
      <errorID xmlns="http://schemas.wps.cn/vas-ai-hub/contract-review">159f011a-7cb0-458a-8e4e-8cc28d559457</errorID>
      <errorWord xmlns="http://schemas.wps.cn/vas-ai-hub/contract-review">吸音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吸声</item>
      </candidateList>
      <explain xmlns="http://schemas.wps.cn/vas-ai-hub/contract-review"/>
      <paraID xmlns="http://schemas.wps.cn/vas-ai-hub/contract-review">752B04AE</paraID>
      <start xmlns="http://schemas.wps.cn/vas-ai-hub/contract-review">36</start>
      <end xmlns="http://schemas.wps.cn/vas-ai-hub/contract-review">38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6bd4fa0e-5c11-4a1e-95cf-c31dd60de149</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59280858</paraID>
      <start xmlns="http://schemas.wps.cn/vas-ai-hub/contract-review">39</start>
      <end xmlns="http://schemas.wps.cn/vas-ai-hub/contract-review">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4a952751-caa0-4c0a-992e-3782bc17a556</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59280858</paraID>
      <start xmlns="http://schemas.wps.cn/vas-ai-hub/contract-review">45</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3388534e-c945-471e-99f4-bd764d5100dc</errorID>
      <errorWord xmlns="http://schemas.wps.cn/vas-ai-hub/contract-review">确应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确因</item>
      </candidateList>
      <explain xmlns="http://schemas.wps.cn/vas-ai-hub/contract-review">存在发音相近字词的误用。</explain>
      <paraID xmlns="http://schemas.wps.cn/vas-ai-hub/contract-review">59280858</paraID>
      <start xmlns="http://schemas.wps.cn/vas-ai-hub/contract-review">72</start>
      <end xmlns="http://schemas.wps.cn/vas-ai-hub/contract-review">74</end>
      <status xmlns="http://schemas.wps.cn/vas-ai-hub/contract-review">modified</status>
      <modifiedWord xmlns="http://schemas.wps.cn/vas-ai-hub/contract-review">确因</modifiedWord>
      <trackRevisions xmlns="http://schemas.wps.cn/vas-ai-hub/contract-review">false</trackRevisions>
    </reviewItem>
    <reviewItem xmlns="http://schemas.wps.cn/vas-ai-hub/contract-review">
      <errorID xmlns="http://schemas.wps.cn/vas-ai-hub/contract-review">b95099f0-7220-42fe-9907-db8507e252cd</errorID>
      <errorWord xmlns="http://schemas.wps.cn/vas-ai-hub/contract-review">主管部门的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主管部门</item>
      </candidateList>
      <explain xmlns="http://schemas.wps.cn/vas-ai-hub/contract-review"/>
      <paraID xmlns="http://schemas.wps.cn/vas-ai-hub/contract-review">59280858</paraID>
      <start xmlns="http://schemas.wps.cn/vas-ai-hub/contract-review">91</start>
      <end xmlns="http://schemas.wps.cn/vas-ai-hub/contract-review">96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b51b84f8-8964-4454-87ae-48eee340e6d5</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2C861A83</paraID>
      <start xmlns="http://schemas.wps.cn/vas-ai-hub/contract-review">45</start>
      <end xmlns="http://schemas.wps.cn/vas-ai-hub/contract-review">46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9060e77b-7111-436f-9011-9a789eda97e0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534DA0C4</paraID>
      <start xmlns="http://schemas.wps.cn/vas-ai-hub/contract-review">27</start>
      <end xmlns="http://schemas.wps.cn/vas-ai-hub/contract-review">28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5caabe0b-6bf3-4212-8eb2-925149cef551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534DA0C4</paraID>
      <start xmlns="http://schemas.wps.cn/vas-ai-hub/contract-review">124</start>
      <end xmlns="http://schemas.wps.cn/vas-ai-hub/contract-review">125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9442592c-2e0d-4ea3-9964-a73de2b7d688</errorID>
      <errorWord xmlns="http://schemas.wps.cn/vas-ai-hub/contract-review">工地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场地</item>
      </candidateList>
      <explain xmlns="http://schemas.wps.cn/vas-ai-hub/contract-review">存在字形相近字词的误用。</explain>
      <paraID xmlns="http://schemas.wps.cn/vas-ai-hub/contract-review">534DA0C4</paraID>
      <start xmlns="http://schemas.wps.cn/vas-ai-hub/contract-review">127</start>
      <end xmlns="http://schemas.wps.cn/vas-ai-hub/contract-review">129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af403367-9a50-4f71-824a-575abeec2724</errorID>
      <errorWord xmlns="http://schemas.wps.cn/vas-ai-hub/contract-review">建设为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建设</item>
      </candidateList>
      <explain xmlns="http://schemas.wps.cn/vas-ai-hub/contract-review">〈动〉创立新事业；增加新设施：经济～｜～家园｜～现代化强国◇组织～｜思想～。</explain>
      <paraID xmlns="http://schemas.wps.cn/vas-ai-hub/contract-review">79BE0671</paraID>
      <start xmlns="http://schemas.wps.cn/vas-ai-hub/contract-review">21</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14c43589-547d-4e2a-8b04-1611b0136784</errorID>
      <errorWord xmlns="http://schemas.wps.cn/vas-ai-hub/contract-review">最小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最低</item>
      </candidateList>
      <explain xmlns="http://schemas.wps.cn/vas-ai-hub/contract-review"/>
      <paraID xmlns="http://schemas.wps.cn/vas-ai-hub/contract-review">73C8BF02</paraID>
      <start xmlns="http://schemas.wps.cn/vas-ai-hub/contract-review">44</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13ab9892-b86a-4c7d-8ef0-ef59d58c7d25</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23CB0EF9</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054f82ef-d73a-4ffd-949b-85ce2e48346d</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530CBFB3</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ccce8aed-fe87-4eab-9c7a-469faa51dde8</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153E7918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54bb265f-c3a4-46a6-81c9-572f70a80fb7</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5C70FD81</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684d729c-737b-449b-98dc-56e1895e5a5e</errorID>
      <errorWord xmlns="http://schemas.wps.cn/vas-ai-hub/contract-review">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期间</item>
      </candidateList>
      <explain xmlns="http://schemas.wps.cn/vas-ai-hub/contract-review">〈名〉某个时期里面：农忙～｜春节～｜抗战～。</explain>
      <paraID xmlns="http://schemas.wps.cn/vas-ai-hub/contract-review">59EE38E0</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d911e79d-2752-43eb-8ec5-5c0d2162a469</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50C306C0</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4c5f2a2b-b3d7-43b7-aa24-61a4378bf49d</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5E764EEF</paraID>
      <start xmlns="http://schemas.wps.cn/vas-ai-hub/contract-review">110</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79c12e26-d68c-49fa-8a34-fe3dda1ade05</errorID>
      <errorWord xmlns="http://schemas.wps.cn/vas-ai-hub/contract-review">：域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3C03D602</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5cfc880c-3734-405e-87b3-3e5059e58b45</errorID>
      <errorWord xmlns="http://schemas.wps.cn/vas-ai-hub/contract-review">保</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保护</item>
      </candidateList>
      <explain xmlns="http://schemas.wps.cn/vas-ai-hub/contract-review"/>
      <paraID xmlns="http://schemas.wps.cn/vas-ai-hub/contract-review">61FE3293</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d45a0856-1cab-419f-82aa-a2098baa34ac</errorID>
      <errorWord xmlns="http://schemas.wps.cn/vas-ai-hub/contract-review">前对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前</item>
      </candidateList>
      <explain xmlns="http://schemas.wps.cn/vas-ai-hub/contract-review">❶〈名〉方位词。在正面的（指空间，跟“后”相对）：～门｜村～村后。❷往前走：勇往直～｜畏缩不～。❸〈名〉方位词。次序靠近头里的（跟“后”相对）：～排｜他的成绩在班里总是～三名。❹〈名〉方位词。过去的；较早的（指时间，跟“后”相对）：～天｜从～｜～几年｜～功尽弃｜～所未有｜～无古人，后无来者。❺〈名〉方位词。</explain>
      <paraID xmlns="http://schemas.wps.cn/vas-ai-hub/contract-review">734E1722</paraID>
      <start xmlns="http://schemas.wps.cn/vas-ai-hub/contract-review">14</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88574b3e-a03c-4385-b42b-f3674fb0e8b6</errorID>
      <errorWord xmlns="http://schemas.wps.cn/vas-ai-hub/contract-review">过程后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过程</item>
      </candidateList>
      <explain xmlns="http://schemas.wps.cn/vas-ai-hub/contract-review"/>
      <paraID xmlns="http://schemas.wps.cn/vas-ai-hub/contract-review">217612E1</paraID>
      <start xmlns="http://schemas.wps.cn/vas-ai-hub/contract-review">6</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113cfcec-3184-4c21-83dd-ead710855404</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79182591</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4b2b2eb5-3473-4dfe-91b3-92024af7d82f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13E8C2C4</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bd3240b2-b565-4097-ad1a-01a53bce34d1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13E8C2C4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b7d76620-dbc5-4480-b507-a23e0fdc6d8f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 B15AB39</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08b36762-36e2-48f1-8bba-3217d0c3ed9d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 B15AB39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c0d08215-e5dd-4bc3-be72-fad41b03304e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2D65F4BB</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f7622dfd-5ab0-4c34-b154-2bfb4b378f2b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2D65F4BB</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e4082cb4-6a02-4981-8fd8-e0db9a538a03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6F320048</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3debc215-8d0c-4009-a5a6-20a1df964885</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6F320048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e2a215c0-e494-41c2-b3a4-ecbb725723e9</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explain xmlns="http://schemas.wps.cn/vas-ai-hub/contract-review">同一形式括号套用。</explain>
      <paraID xmlns="http://schemas.wps.cn/vas-ai-hub/contract-review">60B92A23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7dd51304-c126-40d5-af53-cc7299b51d67</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explain xmlns="http://schemas.wps.cn/vas-ai-hub/contract-review">同一形式括号套用。</explain>
      <paraID xmlns="http://schemas.wps.cn/vas-ai-hub/contract-review">60B92A23</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149dd07f-bce9-4757-a83a-3bc28871f1a9</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explain xmlns="http://schemas.wps.cn/vas-ai-hub/contract-review">同一形式括号套用。</explain>
      <paraID xmlns="http://schemas.wps.cn/vas-ai-hub/contract-review">71588191</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d8fc10cf-00df-4a6b-b796-481a4feb695c</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explain xmlns="http://schemas.wps.cn/vas-ai-hub/contract-review">同一形式括号套用。</explain>
      <paraID xmlns="http://schemas.wps.cn/vas-ai-hub/contract-review">71588191</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c994c58a-614d-4162-bb67-75171f43567f</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2EFBF2F1</paraID>
      <start xmlns="http://schemas.wps.cn/vas-ai-hub/contract-review">128</start>
      <end xmlns="http://schemas.wps.cn/vas-ai-hub/contract-review">129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6c40e1f3-8236-4190-a9a8-948c2f017962</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存在发音相同字词的误用。</explain>
      <paraID xmlns="http://schemas.wps.cn/vas-ai-hub/contract-review"> 8954928</paraID>
      <start xmlns="http://schemas.wps.cn/vas-ai-hub/contract-review">90</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b80d7414-61da-43cb-b768-f1d0f96edc98</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
      <paraID xmlns="http://schemas.wps.cn/vas-ai-hub/contract-review">40D0084C</paraID>
      <start xmlns="http://schemas.wps.cn/vas-ai-hub/contract-review">12</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3f855fef-badd-46a4-9220-b45022b10b97</errorID>
      <errorWord xmlns="http://schemas.wps.cn/vas-ai-hub/contract-review">矿物油类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矿物油</item>
      </candidateList>
      <explain xmlns="http://schemas.wps.cn/vas-ai-hub/contract-review"/>
      <paraID xmlns="http://schemas.wps.cn/vas-ai-hub/contract-review">156ADC8A</paraID>
      <start xmlns="http://schemas.wps.cn/vas-ai-hub/contract-review">65</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3e0acca9-0947-4fae-bd47-b645cef2a784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，占</item>
      </candidateList>
      <explain xmlns="http://schemas.wps.cn/vas-ai-hub/contract-review"/>
      <paraID xmlns="http://schemas.wps.cn/vas-ai-hub/contract-review"> AFFAEA7</paraID>
      <start xmlns="http://schemas.wps.cn/vas-ai-hub/contract-review">13</start>
      <end xmlns="http://schemas.wps.cn/vas-ai-hub/contract-review">15</end>
      <status xmlns="http://schemas.wps.cn/vas-ai-hub/contract-review">modified</status>
      <modifiedWord xmlns="http://schemas.wps.cn/vas-ai-hub/contract-review">，占</modifiedWord>
      <trackRevisions xmlns="http://schemas.wps.cn/vas-ai-hub/contract-review">false</trackRevisions>
    </reviewItem>
    <reviewItem xmlns="http://schemas.wps.cn/vas-ai-hub/contract-review">
      <errorID xmlns="http://schemas.wps.cn/vas-ai-hub/contract-review">1d67443b-e409-4235-ab8e-40ef8ec82f02</errorID>
      <errorWord xmlns="http://schemas.wps.cn/vas-ai-hub/contract-review">减震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减振</item>
      </candidateList>
      <explain xmlns="http://schemas.wps.cn/vas-ai-hub/contract-review">存在发音相同字词的误用。</explain>
      <paraID xmlns="http://schemas.wps.cn/vas-ai-hub/contract-review">3EF265AC</paraID>
      <start xmlns="http://schemas.wps.cn/vas-ai-hub/contract-review">9</start>
      <end xmlns="http://schemas.wps.cn/vas-ai-hub/contract-review">11</end>
      <status xmlns="http://schemas.wps.cn/vas-ai-hub/contract-review">modified</status>
      <modifiedWord xmlns="http://schemas.wps.cn/vas-ai-hub/contract-review">减振</modifiedWord>
      <trackRevisions xmlns="http://schemas.wps.cn/vas-ai-hub/contract-review">false</trackRevisions>
    </reviewItem>
    <reviewItem xmlns="http://schemas.wps.cn/vas-ai-hub/contract-review">
      <errorID xmlns="http://schemas.wps.cn/vas-ai-hub/contract-review">f7a5a4b5-6a0b-438e-b567-e06498d292af</errorID>
      <errorWord xmlns="http://schemas.wps.cn/vas-ai-hub/contract-review">交有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交由</item>
      </candidateList>
      <explain xmlns="http://schemas.wps.cn/vas-ai-hub/contract-review"/>
      <paraID xmlns="http://schemas.wps.cn/vas-ai-hub/contract-review">17AB6878</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54f6f5f7-84db-49e5-b8fa-9722efd17eb8</errorID>
      <errorWord xmlns="http://schemas.wps.cn/vas-ai-hub/contract-review">环境保护皎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环境保护</item>
      </candidateList>
      <explain xmlns="http://schemas.wps.cn/vas-ai-hub/contract-review"/>
      <paraID xmlns="http://schemas.wps.cn/vas-ai-hub/contract-review">51F1880C</paraID>
      <start xmlns="http://schemas.wps.cn/vas-ai-hub/contract-review">1</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309b67-729f-441d-86e0-8215b12a8394}">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98</Pages>
  <Words>304</Words>
  <Characters>414</Characters>
  <Lines>13</Lines>
  <Paragraphs>3</Paragraphs>
  <TotalTime>1</TotalTime>
  <ScaleCrop>false</ScaleCrop>
  <LinksUpToDate>false</LinksUpToDate>
  <CharactersWithSpaces>475</CharactersWithSpaces>
  <Application>WPS Office_12.1.0.17900_F1E327BC-269C-435d-A152-05C5408002CA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。抱歉丶</cp:lastModifiedBy>
  <cp:lastPrinted>2026-06-29T17:10:00Z</cp:lastPrinted>
  <dcterms:modified xsi:type="dcterms:W3CDTF">2026-07-07T16:54:50Z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2052-12.1.0.17900</vt:lpwstr>
  </property>
  <property fmtid="{D5CDD505-2E9C-101B-9397-08002B2CF9AE}" pid="3" name="ICV">
    <vt:lpwstr>1349DD82B732464A875E2D8A660CFDA7_13</vt:lpwstr>
  </property>
  <property fmtid="{D5CDD505-2E9C-101B-9397-08002B2CF9AE}" pid="4" name="KSOTemplateDocerSaveRecord">
    <vt:lpwstr>eyJoZGlkIjoiYTMxZmQ2NDUxYTIzYWRlY2M0ZjhiMmQxZTJiYTVkNTEiLCJ1c2VySWQiOiIyMTk0NzIxNjYifQ==</vt:lpwstr>
  </property>
</Properties>
</file>