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>宝环太字</w:t>
      </w:r>
      <w:r>
        <w:rPr>
          <w:rFonts w:hint="eastAsia" w:ascii="仿宋_GB2312" w:hAnsi="仿宋_GB2312" w:eastAsia="仿宋_GB2312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签发人：张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mall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宝鸡市生态环</w:t>
      </w:r>
      <w:bookmarkStart w:id="0" w:name="_GoBack"/>
      <w:bookmarkEnd w:id="0"/>
      <w:r>
        <w:rPr>
          <w:rFonts w:hint="eastAsia"/>
          <w:lang w:val="en-US" w:eastAsia="zh-CN"/>
        </w:rPr>
        <w:t>境局太白分局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关于报送2023年度生态环境保护责任履行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情况的报告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县政府办：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按照省生态环境保护委员会《关于印发（陕西省推动职能部门做好生态环境保护工作的若干措施）的通知》的文件要求</w:t>
      </w:r>
      <w:r>
        <w:rPr>
          <w:rFonts w:hint="default"/>
          <w:lang w:val="en-US" w:eastAsia="zh-CN"/>
        </w:rPr>
        <w:t>，现将我局202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年度生态环境保护责任履行情况报告如下：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一、生态环境基本情况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2023年，全县生态环境质量保持稳中向好态势，主要污染物减排年度任务顺利完成，各项生态环境保护指标稳居省市前列。我县空气质量二级以上优良天数352天，优良率96.4%，空气质量综合指数</w:t>
      </w:r>
      <w:r>
        <w:rPr>
          <w:rFonts w:hint="eastAsia"/>
          <w:highlight w:val="none"/>
          <w:lang w:val="en-US" w:eastAsia="zh-CN"/>
        </w:rPr>
        <w:t>2.45</w:t>
      </w:r>
      <w:r>
        <w:rPr>
          <w:rFonts w:hint="default"/>
          <w:highlight w:val="none"/>
          <w:lang w:val="en-US" w:eastAsia="zh-CN"/>
        </w:rPr>
        <w:t>，均位列全市第二，六项污染物监测指标平均浓度稳定达到国家空气质量二级标准。全县主要河流出境断面水质均达到《地表水环境质量标准》（GB3838-2002）Ⅱ类水质，饮用水源地稳定保持Ⅱ类水质。全县无受污染耕地，土壤环境质量点位达标率100%，耕地土壤环境质量点位达标率100%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</w:t>
      </w:r>
      <w:r>
        <w:rPr>
          <w:rFonts w:hint="eastAsia"/>
          <w:lang w:val="en-US" w:eastAsia="zh-CN"/>
        </w:rPr>
        <w:t>全面开展大气污染治理专项行动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整体调度全县大气污染治理工作。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召开全县大气污染治理专项行动动员会，下发《太白县大气污染治理专项行动方案（2023-2027年）》，签订了《大气污染治理专项行动方案（2023-2027年）责任状》，进一步明确目标任务、夯实工作责任。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扎实推进重点领域大气污染防治工作。以眉太高速施工扬尘污染为重点，采取集中约谈，专项检查、集中督办的方式督促全县各工地开展扬尘治理工作。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lang w:val="en-US" w:eastAsia="zh-CN"/>
        </w:rPr>
        <w:t>深入开展</w:t>
      </w:r>
      <w:r>
        <w:rPr>
          <w:rFonts w:hint="eastAsia" w:ascii="仿宋_GB2312" w:hAnsi="仿宋_GB2312" w:eastAsia="仿宋_GB2312" w:cs="仿宋_GB2312"/>
          <w:lang w:eastAsia="zh-CN"/>
        </w:rPr>
        <w:t>车辆优化。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加强机动车和非道路移动机械排气污染治理，常态化开展尾气监督抽测，共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抽检重型柴油货车16辆、非道路移动机械50台。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lang w:val="en-US" w:eastAsia="zh-CN"/>
        </w:rPr>
        <w:t>积极开展锅炉整治。开展全县供暖锅炉监督性监测，共监测燃气锅炉67台、生物质锅炉3台。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lang w:val="en-US" w:eastAsia="zh-CN"/>
        </w:rPr>
        <w:t>认真开展</w:t>
      </w:r>
      <w:r>
        <w:rPr>
          <w:rFonts w:hint="eastAsia" w:ascii="仿宋_GB2312" w:hAnsi="仿宋_GB2312" w:eastAsia="仿宋_GB2312" w:cs="仿宋_GB2312"/>
        </w:rPr>
        <w:t>重污染天气应对行动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印发了《太白县重污染天气应急预案（2023）》，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启动县级重污染天气预警及响应1次，共出50余人次，累计检查涉气企业及施工工地25家次,移动源20余辆。</w:t>
      </w:r>
    </w:p>
    <w:p>
      <w:pPr>
        <w:pStyle w:val="4"/>
        <w:bidi w:val="0"/>
        <w:rPr>
          <w:rFonts w:hint="default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</w:rPr>
        <w:t>着力打好碧水保卫战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做好总投资500万元的咀头镇及鹦鸽镇省级农村污水治理项目收尾及验收工作，确保已建成的污水治理设施投入运行，发挥环境效益。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争取农村环境整治专项资金500万元，对黄柏塬镇、靖口镇5个村的农村污水进行深度治理，目前该项目已取得市财政局、市生态环境局批复，已完成主体建设内容，正在进行项目收尾审计。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按期对我县石头河、太白河地表水出境断面水质及石沟河饮用水源地水质进行监测，各断面水质均达到Ⅱ类标准，有力保证了全县及关中三市一区的饮水安全。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全县各医疗机构、污水处理厂自行监测进行监督，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开展消毒剂投加和自行监测余氯指标工作，每日收集监测数据并上报，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确保污水处理设施正常运转，污水达标排放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4"/>
        <w:bidi w:val="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>扎实推进净土保卫战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按照省市要求，做好本年度重点建设用地安全利用考核相关工作，完成县域内一块重点建设用地的污染状况调查、评审、地块信息填报等工作。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联合自然资源局形成联动机制，采取“净土收储”“净土供应”“净土开发”或“环境修复+开发建设”等模式，严格污染地块用途管制，落实准入管理要求。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推进县域土壤污染防治源头治理工作。按照上级工作要求，动态更新土壤污染重点监管单位名录，定期检查土壤污染重点监管单位隐患排查问题整改成效。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default"/>
          <w:lang w:val="en-US" w:eastAsia="zh-CN"/>
        </w:rPr>
        <w:t>强化执法监管，敢于向违法者“亮剑”</w:t>
      </w:r>
    </w:p>
    <w:p>
      <w:pPr>
        <w:bidi w:val="0"/>
        <w:rPr>
          <w:rFonts w:hint="default" w:ascii="Times New Roman" w:hAnsi="Times New Roman" w:eastAsia="仿宋_GB2312" w:cs="Times New Roman"/>
          <w:snapToGrid w:val="0"/>
          <w:color w:val="000000"/>
          <w:kern w:val="0"/>
          <w:szCs w:val="32"/>
          <w:lang w:val="en-US" w:eastAsia="zh-CN" w:bidi="ar-SA"/>
        </w:rPr>
      </w:pPr>
      <w:r>
        <w:rPr>
          <w:rFonts w:hint="default"/>
          <w:lang w:val="en-US" w:eastAsia="zh-CN"/>
        </w:rPr>
        <w:t>我局采取定期检查与不定期抽查相结合、“双随机、一公开”、交叉执法、专项检查等方式，对县区各企业分类施策，基本做到“全覆盖”执法检查。截止23年底，共出动执法检查人员600余人次，执法车辆200余次，检查企事业单位、点位300余家次，开展“双随机、一公开”抽查检查11家次，公示检查信息11条，公示率100%。依法依规办理生态环境违法案件5起，罚款金额26万元。</w:t>
      </w:r>
      <w:r>
        <w:rPr>
          <w:rFonts w:hint="default"/>
          <w:b/>
          <w:bCs/>
          <w:lang w:val="en-US" w:eastAsia="zh-CN"/>
        </w:rPr>
        <w:t>一是</w:t>
      </w:r>
      <w:r>
        <w:rPr>
          <w:rFonts w:hint="default"/>
          <w:lang w:val="en-US" w:eastAsia="zh-CN"/>
        </w:rPr>
        <w:t>以行业乱点乱象整治为抓手，结合日常执法检查、“三书一函”及信访线索排查等工作，严厉打击环境违法行为。</w:t>
      </w:r>
      <w:r>
        <w:rPr>
          <w:rFonts w:hint="default"/>
          <w:b/>
          <w:bCs/>
          <w:lang w:val="en-US" w:eastAsia="zh-CN"/>
        </w:rPr>
        <w:t>二是</w:t>
      </w:r>
      <w:r>
        <w:rPr>
          <w:rFonts w:hint="default"/>
          <w:lang w:val="en-US" w:eastAsia="zh-CN"/>
        </w:rPr>
        <w:t>以“春风行动”“利剑治污”等专项行动为契机，开展排污许可、秦岭保护等10余项执法检查，分层次盯重点，确保县域内无重大环境事件发生。</w:t>
      </w:r>
      <w:r>
        <w:rPr>
          <w:rFonts w:hint="default"/>
          <w:b/>
          <w:bCs/>
          <w:lang w:val="en-US" w:eastAsia="zh-CN"/>
        </w:rPr>
        <w:t>三是</w:t>
      </w:r>
      <w:r>
        <w:rPr>
          <w:rFonts w:hint="default"/>
          <w:lang w:val="en-US" w:eastAsia="zh-CN"/>
        </w:rPr>
        <w:t>联合县秦岭办完成4个批次共18个点位的秦岭图斑核查工作，持续巩固秦岭区域“乱排乱放”问题的整治成效；配合完成了秦岭生态环境保护联合交叉执法检查工作，确保秦岭生态环境保护长效长治。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default"/>
          <w:lang w:val="en-US" w:eastAsia="zh-CN"/>
        </w:rPr>
        <w:t>加大环境监管力度，提升环境质量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一是</w:t>
      </w:r>
      <w:r>
        <w:rPr>
          <w:rFonts w:hint="default"/>
          <w:lang w:val="en-US" w:eastAsia="zh-CN"/>
        </w:rPr>
        <w:t>稳定开展环境监测。定期组织开展环境质量、辖区水源地、污染源及污染源周边环境敏感点监测，做好环境质量、污染源自行监测及监测数据公示工作，自行监测公布率达到100%。</w:t>
      </w:r>
      <w:r>
        <w:rPr>
          <w:rFonts w:hint="default"/>
          <w:b/>
          <w:bCs/>
          <w:lang w:val="en-US" w:eastAsia="zh-CN"/>
        </w:rPr>
        <w:t>二是</w:t>
      </w:r>
      <w:r>
        <w:rPr>
          <w:rFonts w:hint="default"/>
          <w:lang w:val="en-US" w:eastAsia="zh-CN"/>
        </w:rPr>
        <w:t>做好项目审批服务工作。强化建设项目环境管理，积极主动做好企业咨询、协调、服务工作。</w:t>
      </w:r>
      <w:r>
        <w:rPr>
          <w:rFonts w:hint="eastAsia"/>
          <w:highlight w:val="none"/>
          <w:lang w:val="en-US" w:eastAsia="zh-CN"/>
        </w:rPr>
        <w:t>全年完成项目审批8个</w:t>
      </w:r>
      <w:r>
        <w:rPr>
          <w:rFonts w:hint="default"/>
          <w:highlight w:val="none"/>
          <w:lang w:val="en-US" w:eastAsia="zh-CN"/>
        </w:rPr>
        <w:t>，登记表备案表</w:t>
      </w:r>
      <w:r>
        <w:rPr>
          <w:rFonts w:hint="eastAsia"/>
          <w:highlight w:val="none"/>
          <w:lang w:val="en-US" w:eastAsia="zh-CN"/>
        </w:rPr>
        <w:t>92</w:t>
      </w:r>
      <w:r>
        <w:rPr>
          <w:rFonts w:hint="default"/>
          <w:highlight w:val="none"/>
          <w:lang w:val="en-US" w:eastAsia="zh-CN"/>
        </w:rPr>
        <w:t>个。</w:t>
      </w:r>
      <w:r>
        <w:rPr>
          <w:rFonts w:hint="default"/>
          <w:b/>
          <w:bCs/>
          <w:lang w:val="en-US" w:eastAsia="zh-CN"/>
        </w:rPr>
        <w:t>三是</w:t>
      </w:r>
      <w:r>
        <w:rPr>
          <w:rFonts w:hint="default"/>
          <w:lang w:val="en-US" w:eastAsia="zh-CN"/>
        </w:rPr>
        <w:t>定期开展生态环境安全风险隐患排查，制定印发生态环境领域重大事故隐患排查整治方案，对全县重点行业、重点企业，涉及危险化学品、危险废物、尾矿库等企业开展隐患排查，做到全覆盖。认真分析研判，县域生态安全稳定可控；科学有效地做好突发环境事件处置，配备环境应急物资，进一步提升环境应急能力。</w:t>
      </w:r>
      <w:r>
        <w:rPr>
          <w:rFonts w:hint="default"/>
          <w:b/>
          <w:bCs/>
          <w:lang w:val="en-US" w:eastAsia="zh-CN"/>
        </w:rPr>
        <w:t>四是</w:t>
      </w:r>
      <w:r>
        <w:rPr>
          <w:rFonts w:hint="default"/>
          <w:lang w:val="en-US" w:eastAsia="zh-CN"/>
        </w:rPr>
        <w:t>持续推进排污许可制，</w:t>
      </w:r>
      <w:r>
        <w:rPr>
          <w:rFonts w:hint="default"/>
          <w:highlight w:val="none"/>
          <w:lang w:val="en-US" w:eastAsia="zh-CN"/>
        </w:rPr>
        <w:t>累计核发10家排污许可证，审核202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default"/>
          <w:highlight w:val="none"/>
          <w:lang w:val="en-US" w:eastAsia="zh-CN"/>
        </w:rPr>
        <w:t>年年度执行报告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default"/>
          <w:highlight w:val="none"/>
          <w:lang w:val="en-US" w:eastAsia="zh-CN"/>
        </w:rPr>
        <w:t>份，审核率100%</w:t>
      </w:r>
      <w:r>
        <w:rPr>
          <w:rFonts w:hint="eastAsia"/>
          <w:highlight w:val="none"/>
          <w:lang w:val="en-US" w:eastAsia="zh-CN"/>
        </w:rPr>
        <w:t>。</w:t>
      </w:r>
      <w:r>
        <w:rPr>
          <w:rFonts w:hint="default"/>
          <w:b/>
          <w:bCs/>
          <w:lang w:val="en-US" w:eastAsia="zh-CN"/>
        </w:rPr>
        <w:t>五是</w:t>
      </w:r>
      <w:r>
        <w:rPr>
          <w:rFonts w:hint="default"/>
          <w:lang w:val="en-US" w:eastAsia="zh-CN"/>
        </w:rPr>
        <w:t>开展营商环境提升活动，按照县职转办统一安排部署，制定2023年工作方案，从环评办理、依法执法等重点事项推动管理服务水平不断提高</w:t>
      </w:r>
      <w:r>
        <w:rPr>
          <w:rFonts w:hint="eastAsia"/>
          <w:lang w:val="en-US" w:eastAsia="zh-CN"/>
        </w:rPr>
        <w:t>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</w:t>
      </w:r>
      <w:r>
        <w:rPr>
          <w:rFonts w:hint="default"/>
          <w:lang w:val="en-US" w:eastAsia="zh-CN"/>
        </w:rPr>
        <w:t>加强环保宣传，提高公众环保意识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充分利用多种形式开展安全宣传活动，不断提高全民安全意识，夯实安全基础。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开展世界环境日、国家安全日、512全国防灾救灾等相关生态环境保护知识及法律法规宣传，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利用播放录音、发放宣传材料、展板、悬挂横幅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电子屏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等多种形式，使群众进一步认识到掌握与生活息息相关的环保法律法规知识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并了解环境污染防治的紧迫感和重要性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累计宣传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10次，悬挂宣传横幅24余条，发放宣传资料1600余份，宣传袋820余个。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执法检查过程中，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发放宣传资料，对广大群众进行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生态环境保护、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生产、平安建设、扫黑除恶及反邪教等一系列政策讲解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要求企业严格落实环境安全主体责任，积极开展风险隐患自查整改，坚决守住生态环境安全底线。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一步，我局将深入开展蓝天、碧水、净土三大保卫战，坚决落实环境保护责任，全面推进重大项目的建设进程，并持续开展生态环境问题的全面排查与整治工作，以确保我县环境质量持续改善，为人民群众创造更加宜居的环境。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ind w:firstLine="3840" w:firstLineChars="1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宝鸡市生态环境局太白分局</w:t>
      </w:r>
    </w:p>
    <w:p>
      <w:pPr>
        <w:ind w:firstLine="4480" w:firstLineChars="1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月2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>宝鸡市生态环境局太白分局                202</w:t>
      </w:r>
      <w:r>
        <w:rPr>
          <w:rFonts w:hint="eastAsia" w:cs="仿宋_GB2312"/>
          <w:sz w:val="28"/>
          <w:szCs w:val="28"/>
          <w:u w:val="thick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>年</w:t>
      </w:r>
      <w:r>
        <w:rPr>
          <w:rFonts w:hint="eastAsia" w:cs="仿宋_GB2312"/>
          <w:sz w:val="28"/>
          <w:szCs w:val="28"/>
          <w:u w:val="thick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>月</w:t>
      </w:r>
      <w:r>
        <w:rPr>
          <w:rFonts w:hint="eastAsia" w:cs="仿宋_GB2312"/>
          <w:sz w:val="28"/>
          <w:szCs w:val="28"/>
          <w:u w:val="thick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日印发  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39A79F4-8753-40A8-85E8-743F285A3E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kJRY80QAAAAgBAAAPAAAAAAAAAAEAIAAAACIAAABkcnMvZG93bnJldi54&#10;bWxQSwECFAAUAAAACACHTuJA5KL+z8gBAACZ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OTY3NGFiOTYzNWI0N2NhYjIwOTk1NzlmYzIyYWEifQ=="/>
  </w:docVars>
  <w:rsids>
    <w:rsidRoot w:val="00000000"/>
    <w:rsid w:val="01337181"/>
    <w:rsid w:val="01804A4C"/>
    <w:rsid w:val="03633D68"/>
    <w:rsid w:val="07862E93"/>
    <w:rsid w:val="08545039"/>
    <w:rsid w:val="093A65B1"/>
    <w:rsid w:val="0D1245AD"/>
    <w:rsid w:val="0EEB6487"/>
    <w:rsid w:val="0EFF00FE"/>
    <w:rsid w:val="0F783207"/>
    <w:rsid w:val="10800EB1"/>
    <w:rsid w:val="14325EE2"/>
    <w:rsid w:val="15EF5D0A"/>
    <w:rsid w:val="18186614"/>
    <w:rsid w:val="1D1F1166"/>
    <w:rsid w:val="1EA9759F"/>
    <w:rsid w:val="20967B12"/>
    <w:rsid w:val="262D20DA"/>
    <w:rsid w:val="26D27249"/>
    <w:rsid w:val="26D94B49"/>
    <w:rsid w:val="283205FE"/>
    <w:rsid w:val="286C00A3"/>
    <w:rsid w:val="299C5651"/>
    <w:rsid w:val="2DA32FAF"/>
    <w:rsid w:val="30824C27"/>
    <w:rsid w:val="30997877"/>
    <w:rsid w:val="313708CB"/>
    <w:rsid w:val="3151575F"/>
    <w:rsid w:val="389A320A"/>
    <w:rsid w:val="39DC5337"/>
    <w:rsid w:val="3E1F291C"/>
    <w:rsid w:val="3EE7671D"/>
    <w:rsid w:val="40740350"/>
    <w:rsid w:val="418A4D35"/>
    <w:rsid w:val="43F87C41"/>
    <w:rsid w:val="4924150C"/>
    <w:rsid w:val="4A7A403C"/>
    <w:rsid w:val="504800FE"/>
    <w:rsid w:val="513111F6"/>
    <w:rsid w:val="526439C9"/>
    <w:rsid w:val="53085194"/>
    <w:rsid w:val="53516B9C"/>
    <w:rsid w:val="57CA1416"/>
    <w:rsid w:val="589C009B"/>
    <w:rsid w:val="5A1D5B0A"/>
    <w:rsid w:val="614F54B5"/>
    <w:rsid w:val="61817260"/>
    <w:rsid w:val="680330B5"/>
    <w:rsid w:val="69020CEC"/>
    <w:rsid w:val="6CC94A7F"/>
    <w:rsid w:val="711F4406"/>
    <w:rsid w:val="736E69FD"/>
    <w:rsid w:val="74045234"/>
    <w:rsid w:val="7B3F5E27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adjustRightInd w:val="0"/>
      <w:snapToGrid w:val="0"/>
      <w:spacing w:beforeAutospacing="0" w:after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6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b/>
    </w:rPr>
  </w:style>
  <w:style w:type="paragraph" w:styleId="6">
    <w:name w:val="heading 4"/>
    <w:basedOn w:val="1"/>
    <w:next w:val="1"/>
    <w:link w:val="15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99"/>
    <w:pPr>
      <w:ind w:left="420" w:hanging="420"/>
      <w:jc w:val="left"/>
    </w:pPr>
    <w:rPr>
      <w:rFonts w:ascii="Calibri" w:hAnsi="Calibri"/>
      <w:smallCaps/>
      <w:sz w:val="20"/>
    </w:rPr>
  </w:style>
  <w:style w:type="paragraph" w:styleId="7">
    <w:name w:val="Body Text Indent"/>
    <w:basedOn w:val="1"/>
    <w:autoRedefine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360" w:lineRule="auto"/>
      <w:ind w:firstLine="0" w:firstLineChars="0"/>
      <w:jc w:val="center"/>
    </w:pPr>
    <w:rPr>
      <w:rFonts w:ascii="宋体" w:hAnsi="宋体" w:eastAsia="宋体"/>
      <w:sz w:val="2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标题 4 Char"/>
    <w:link w:val="6"/>
    <w:autoRedefine/>
    <w:qFormat/>
    <w:uiPriority w:val="0"/>
    <w:rPr>
      <w:rFonts w:ascii="仿宋_GB2312" w:hAnsi="仿宋_GB2312" w:eastAsia="仿宋_GB2312"/>
      <w:b/>
      <w:sz w:val="32"/>
    </w:rPr>
  </w:style>
  <w:style w:type="character" w:customStyle="1" w:styleId="16">
    <w:name w:val="标题 3 Char"/>
    <w:link w:val="5"/>
    <w:autoRedefine/>
    <w:qFormat/>
    <w:uiPriority w:val="0"/>
    <w:rPr>
      <w:rFonts w:ascii="楷体_GB2312" w:hAnsi="楷体_GB2312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faerie</cp:lastModifiedBy>
  <cp:lastPrinted>2024-03-20T08:44:00Z</cp:lastPrinted>
  <dcterms:modified xsi:type="dcterms:W3CDTF">2024-03-27T02:19:01Z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B8A028FA791C40C3B2352914EDBF78E7_13</vt:lpwstr>
  </property>
</Properties>
</file>