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5"/>
        <w:rPr>
          <w:rFonts w:ascii="Times New Roman"/>
          <w:sz w:val="20"/>
        </w:rPr>
      </w:pPr>
    </w:p>
    <w:p>
      <w:pPr>
        <w:spacing w:before="37"/>
        <w:ind w:left="3530" w:right="3500" w:firstLine="0"/>
        <w:jc w:val="center"/>
        <w:rPr>
          <w:rFonts w:hint="eastAsia" w:ascii="仿宋_GB2312" w:eastAsia="仿宋_GB2312"/>
          <w:b/>
          <w:sz w:val="44"/>
        </w:rPr>
      </w:pPr>
      <w:r>
        <w:rPr>
          <w:rFonts w:hint="eastAsia" w:ascii="仿宋_GB2312" w:eastAsia="仿宋_GB2312"/>
          <w:b/>
          <w:sz w:val="44"/>
        </w:rPr>
        <w:t>太白县王家</w:t>
      </w:r>
      <w:r>
        <w:rPr>
          <w:b/>
          <w:sz w:val="44"/>
        </w:rPr>
        <w:t>堎</w:t>
      </w:r>
      <w:r>
        <w:rPr>
          <w:rFonts w:hint="eastAsia" w:ascii="仿宋_GB2312" w:eastAsia="仿宋_GB2312"/>
          <w:b/>
          <w:spacing w:val="-55"/>
          <w:sz w:val="44"/>
        </w:rPr>
        <w:t xml:space="preserve">镇 </w:t>
      </w:r>
      <w:r>
        <w:rPr>
          <w:rFonts w:hint="eastAsia" w:ascii="仿宋_GB2312" w:eastAsia="仿宋_GB2312"/>
          <w:b/>
          <w:sz w:val="44"/>
        </w:rPr>
        <w:t>2018</w:t>
      </w:r>
      <w:r>
        <w:rPr>
          <w:rFonts w:hint="eastAsia" w:ascii="仿宋_GB2312" w:eastAsia="仿宋_GB2312"/>
          <w:b/>
          <w:spacing w:val="-14"/>
          <w:sz w:val="44"/>
        </w:rPr>
        <w:t xml:space="preserve"> 年部门预算综合说明</w:t>
      </w:r>
    </w:p>
    <w:p>
      <w:pPr>
        <w:pStyle w:val="2"/>
        <w:spacing w:before="128"/>
      </w:pPr>
      <w:r>
        <w:t>一、部门主要职责</w:t>
      </w:r>
    </w:p>
    <w:p>
      <w:pPr>
        <w:pStyle w:val="3"/>
        <w:spacing w:before="17"/>
        <w:ind w:left="1266"/>
      </w:pPr>
      <w:r>
        <w:t>（一）镇党委：</w:t>
      </w:r>
    </w:p>
    <w:p>
      <w:pPr>
        <w:pStyle w:val="3"/>
        <w:spacing w:before="212"/>
        <w:ind w:left="1588"/>
      </w:pPr>
      <w:r>
        <w:t>1、宣传和贯彻执行党的路线、方针、政策和上级党组织及本镇党委(或党员大会)的决议。</w:t>
      </w:r>
    </w:p>
    <w:p>
      <w:pPr>
        <w:pStyle w:val="3"/>
        <w:spacing w:before="211" w:line="364" w:lineRule="auto"/>
        <w:ind w:left="640" w:right="619" w:firstLine="948"/>
      </w:pPr>
      <w:r>
        <w:t>2、领导镇政府机关和群众组织，支持和保证这些机关和组织依照国家法律法规及各自章程充分行使职权。</w:t>
      </w:r>
    </w:p>
    <w:p>
      <w:pPr>
        <w:pStyle w:val="3"/>
        <w:spacing w:line="364" w:lineRule="auto"/>
        <w:ind w:left="640" w:right="619" w:firstLine="948"/>
      </w:pPr>
      <w:r>
        <w:t>3、讨论决定本镇经济建设和社会发展中的重大问题，需由镇政府机关或集体经济组织决定的问题，由镇政府机关或集体经济组织依照法律和有关法规作出决定。</w:t>
      </w:r>
    </w:p>
    <w:p>
      <w:pPr>
        <w:pStyle w:val="3"/>
        <w:spacing w:line="364" w:lineRule="auto"/>
        <w:ind w:left="640" w:right="614" w:firstLine="948"/>
        <w:jc w:val="both"/>
      </w:pPr>
      <w:r>
        <w:t>4、加强党委自身建设和以党支部为核心的村级组织建设。按照干部管理权限，负责对本级镇</w:t>
      </w:r>
      <w:r>
        <w:rPr>
          <w:spacing w:val="-9"/>
          <w:w w:val="95"/>
        </w:rPr>
        <w:t xml:space="preserve">村干部的教育、管理、选拔和监督工作，提高干部队伍素质，严格党的组织生活，维护和执行党的纪   </w:t>
      </w:r>
      <w:r>
        <w:rPr>
          <w:spacing w:val="-12"/>
          <w:w w:val="95"/>
        </w:rPr>
        <w:t xml:space="preserve">律，监督党员切实履行义务，保障党员的权利不受侵犯。监督党员干部和其他工作人员严格遵守党纪   国法，严格遵守国家的财经制度，不得侵占国家、集体和群众的利益。教育党员干部和群众自觉抵制   </w:t>
      </w:r>
      <w:r>
        <w:rPr>
          <w:spacing w:val="-12"/>
        </w:rPr>
        <w:t>不良倾向，坚决同各种违法犯罪行为作斗争。</w:t>
      </w:r>
    </w:p>
    <w:p>
      <w:pPr>
        <w:pStyle w:val="3"/>
        <w:spacing w:line="404" w:lineRule="exact"/>
        <w:ind w:left="1319"/>
      </w:pPr>
      <w:r>
        <w:t>5、密切联系群众，经常了解群众对镇村党员干部工作的批评和意见，维护群众的正当权利和利</w:t>
      </w:r>
    </w:p>
    <w:p>
      <w:pPr>
        <w:pStyle w:val="3"/>
        <w:rPr>
          <w:sz w:val="20"/>
        </w:rPr>
      </w:pPr>
    </w:p>
    <w:p>
      <w:pPr>
        <w:pStyle w:val="3"/>
        <w:spacing w:before="5"/>
        <w:rPr>
          <w:sz w:val="18"/>
        </w:rPr>
      </w:pPr>
    </w:p>
    <w:p>
      <w:pPr>
        <w:spacing w:before="0"/>
        <w:ind w:left="20" w:right="0" w:firstLine="0"/>
        <w:jc w:val="center"/>
        <w:rPr>
          <w:rFonts w:ascii="Times New Roman"/>
          <w:sz w:val="18"/>
        </w:rPr>
        <w:sectPr>
          <w:footerReference r:id="rId3" w:type="default"/>
          <w:type w:val="continuous"/>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640"/>
      </w:pPr>
      <w:r>
        <w:t>益。</w:t>
      </w:r>
    </w:p>
    <w:p>
      <w:pPr>
        <w:pStyle w:val="3"/>
        <w:spacing w:before="212" w:line="364" w:lineRule="auto"/>
        <w:ind w:left="640" w:right="621" w:firstLine="626"/>
      </w:pPr>
      <w:r>
        <w:t>6、对要求入党的积极分子进行教育和培养，做好经常性地发展党员工作，重视在农村基层工作的青年和妇女中发展党员。</w:t>
      </w:r>
    </w:p>
    <w:p>
      <w:pPr>
        <w:pStyle w:val="3"/>
        <w:spacing w:line="409" w:lineRule="exact"/>
        <w:ind w:left="1266"/>
      </w:pPr>
      <w:r>
        <w:t>7、领导本镇的三个文明建设，做好社会治安综合治理及计划生育、环境保护。</w:t>
      </w:r>
    </w:p>
    <w:p>
      <w:pPr>
        <w:pStyle w:val="3"/>
        <w:spacing w:before="212"/>
        <w:ind w:left="1266"/>
      </w:pPr>
      <w:r>
        <w:t>8、承办县委交办的其他各项工作。</w:t>
      </w:r>
    </w:p>
    <w:p>
      <w:pPr>
        <w:pStyle w:val="3"/>
        <w:spacing w:before="214"/>
        <w:ind w:left="1266"/>
      </w:pPr>
      <w:r>
        <w:t>（二）镇政府：</w:t>
      </w:r>
    </w:p>
    <w:p>
      <w:pPr>
        <w:pStyle w:val="3"/>
        <w:spacing w:before="211" w:line="364" w:lineRule="auto"/>
        <w:ind w:left="640" w:right="619" w:firstLine="626"/>
      </w:pPr>
      <w:r>
        <w:t>1、执行上级国家行政机关的决定、命令和国家制定的法令、法规，接受同级党委的领导，执行本级人民代表大会的各项决议，并报告执行决议、决定和命令的情况。</w:t>
      </w:r>
    </w:p>
    <w:p>
      <w:pPr>
        <w:pStyle w:val="3"/>
        <w:spacing w:line="364" w:lineRule="auto"/>
        <w:ind w:left="640" w:right="458" w:firstLine="626"/>
      </w:pPr>
      <w:r>
        <w:rPr>
          <w:w w:val="95"/>
        </w:rPr>
        <w:t>2</w:t>
      </w:r>
      <w:r>
        <w:rPr>
          <w:spacing w:val="-11"/>
          <w:w w:val="95"/>
        </w:rPr>
        <w:t xml:space="preserve">、制定并落实本行政区域的经济计划和措施，促进产业结构调整及其他经济保持平衡协调发展，   </w:t>
      </w:r>
      <w:r>
        <w:rPr>
          <w:spacing w:val="-11"/>
        </w:rPr>
        <w:t>全面提高人民群众的生活水平和生活质量。</w:t>
      </w:r>
    </w:p>
    <w:p>
      <w:pPr>
        <w:pStyle w:val="3"/>
        <w:spacing w:line="364" w:lineRule="auto"/>
        <w:ind w:left="640" w:right="616" w:firstLine="626"/>
      </w:pPr>
      <w:r>
        <w:rPr>
          <w:w w:val="95"/>
        </w:rPr>
        <w:t>3</w:t>
      </w:r>
      <w:r>
        <w:rPr>
          <w:spacing w:val="-11"/>
          <w:w w:val="95"/>
        </w:rPr>
        <w:t xml:space="preserve">、承担国有资产、集体资产管理、监督及增值保值责任;保护公民私人所有合法财产，保障集体   </w:t>
      </w:r>
      <w:r>
        <w:rPr>
          <w:spacing w:val="-11"/>
        </w:rPr>
        <w:t>经济组织应有的自主权，监督企业和各种经济联合体、个体户认真执行国家的法律、法令和政策， 履行经济合同。</w:t>
      </w:r>
    </w:p>
    <w:p>
      <w:pPr>
        <w:pStyle w:val="3"/>
        <w:spacing w:line="408" w:lineRule="exact"/>
        <w:ind w:left="1266"/>
      </w:pPr>
      <w:r>
        <w:t>4、开展社会主义民主和法治的宣传教育，保障公民的权利，制定社会治安综合治理工作规划并组</w:t>
      </w:r>
    </w:p>
    <w:p>
      <w:pPr>
        <w:pStyle w:val="3"/>
        <w:rPr>
          <w:sz w:val="20"/>
        </w:rPr>
      </w:pPr>
    </w:p>
    <w:p>
      <w:pPr>
        <w:pStyle w:val="3"/>
        <w:spacing w:before="6"/>
        <w:rPr>
          <w:sz w:val="27"/>
        </w:rPr>
      </w:pPr>
    </w:p>
    <w:p>
      <w:pPr>
        <w:spacing w:before="92"/>
        <w:ind w:left="20" w:right="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line="364" w:lineRule="auto"/>
        <w:ind w:left="640" w:right="782"/>
      </w:pPr>
      <w:r>
        <w:t>织实施，加强镇村管理工作，依法管理外来流动人口，处理人民来信来访，调解民间纠纷，打击违法犯罪，维护社会稳定。</w:t>
      </w:r>
    </w:p>
    <w:p>
      <w:pPr>
        <w:pStyle w:val="3"/>
        <w:spacing w:line="409" w:lineRule="exact"/>
        <w:ind w:left="1266"/>
      </w:pPr>
      <w:r>
        <w:t>5、制定社会各项事业发展计划，发展教育、卫生、科技、民政、广播电视、文化、体育事业</w:t>
      </w:r>
    </w:p>
    <w:p>
      <w:pPr>
        <w:pStyle w:val="3"/>
        <w:spacing w:before="212" w:line="364" w:lineRule="auto"/>
        <w:ind w:left="640" w:right="618"/>
      </w:pPr>
      <w:r>
        <w:rPr>
          <w:spacing w:val="-4"/>
          <w:w w:val="95"/>
        </w:rPr>
        <w:t xml:space="preserve">，组织实施义务教育和其他各类教育，加强计划生育工作，推进社会保障、社会福利事业和养老保险   </w:t>
      </w:r>
      <w:r>
        <w:rPr>
          <w:spacing w:val="-4"/>
        </w:rPr>
        <w:t>工作，做好劳动管理、科普、老龄及宗教、侨务等工作。</w:t>
      </w:r>
    </w:p>
    <w:p>
      <w:pPr>
        <w:pStyle w:val="3"/>
        <w:spacing w:line="364" w:lineRule="auto"/>
        <w:ind w:left="640" w:right="619" w:firstLine="626"/>
      </w:pPr>
      <w:r>
        <w:t>6、加强镇级财政的监督和管理，按计划组织、管理镇财政收入和支出，执行国家有关财经纪律和政策，保证国家财政收入的完成，做好统计工作。</w:t>
      </w:r>
    </w:p>
    <w:p>
      <w:pPr>
        <w:pStyle w:val="3"/>
        <w:spacing w:line="364" w:lineRule="auto"/>
        <w:ind w:left="640" w:right="619" w:firstLine="626"/>
      </w:pPr>
      <w:r>
        <w:t>7、指导、支持、帮助村(居)民委员会的组织制度建设和业务建设，促进村(居)民委员会民主自治。</w:t>
      </w:r>
    </w:p>
    <w:p>
      <w:pPr>
        <w:pStyle w:val="3"/>
        <w:spacing w:line="364" w:lineRule="auto"/>
        <w:ind w:left="640" w:right="614" w:firstLine="626"/>
      </w:pPr>
      <w:r>
        <w:rPr>
          <w:w w:val="95"/>
        </w:rPr>
        <w:t>8</w:t>
      </w:r>
      <w:r>
        <w:rPr>
          <w:spacing w:val="-10"/>
          <w:w w:val="95"/>
        </w:rPr>
        <w:t xml:space="preserve">、制定和组织实施镇村建设规划;加强公用、市政设施、水利建设和管理以及房屋土地管理和环   </w:t>
      </w:r>
      <w:r>
        <w:rPr>
          <w:spacing w:val="-10"/>
        </w:rPr>
        <w:t>境综合整治工作，保护和改善生活环境和生态环境。</w:t>
      </w:r>
    </w:p>
    <w:p>
      <w:pPr>
        <w:pStyle w:val="3"/>
        <w:spacing w:line="364" w:lineRule="auto"/>
        <w:ind w:left="640" w:right="619" w:firstLine="626"/>
      </w:pPr>
      <w:r>
        <w:t>9、协助和支持设置在本行政区域内不隶属于镇的国家机关和企事业单位工作，监督其遵守和执行国家的法律、法规和政策。</w:t>
      </w:r>
    </w:p>
    <w:p>
      <w:pPr>
        <w:pStyle w:val="3"/>
        <w:spacing w:line="409" w:lineRule="exact"/>
        <w:ind w:left="1266"/>
      </w:pPr>
      <w:r>
        <w:t>10、承办县人民政府交办的其它事项。</w:t>
      </w:r>
    </w:p>
    <w:p>
      <w:pPr>
        <w:pStyle w:val="3"/>
        <w:rPr>
          <w:sz w:val="20"/>
        </w:rPr>
      </w:pPr>
    </w:p>
    <w:p>
      <w:pPr>
        <w:pStyle w:val="3"/>
        <w:spacing w:before="2"/>
        <w:rPr>
          <w:sz w:val="27"/>
        </w:rPr>
      </w:pPr>
    </w:p>
    <w:p>
      <w:pPr>
        <w:spacing w:before="92"/>
        <w:ind w:left="20" w:right="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1266"/>
      </w:pPr>
      <w:r>
        <w:t>（三）财政管理所：</w:t>
      </w:r>
    </w:p>
    <w:p>
      <w:pPr>
        <w:pStyle w:val="3"/>
        <w:spacing w:before="212"/>
        <w:ind w:left="1266"/>
      </w:pPr>
      <w:r>
        <w:t>1、负责乡镇财政预决算编制、预算执行、预算调整和预算内外收支管理。</w:t>
      </w:r>
    </w:p>
    <w:p>
      <w:pPr>
        <w:pStyle w:val="3"/>
        <w:spacing w:before="214"/>
        <w:ind w:left="1266"/>
      </w:pPr>
      <w:r>
        <w:t>2、负责乡镇政府预算单位的财务管理和核算。</w:t>
      </w:r>
    </w:p>
    <w:p>
      <w:pPr>
        <w:pStyle w:val="3"/>
        <w:spacing w:before="212"/>
        <w:ind w:left="1266"/>
      </w:pPr>
      <w:r>
        <w:t>3、负责乡镇涉农及社会保障等专户资金的管理和核算。</w:t>
      </w:r>
    </w:p>
    <w:p>
      <w:pPr>
        <w:pStyle w:val="3"/>
        <w:spacing w:before="211"/>
        <w:ind w:left="1266"/>
      </w:pPr>
      <w:r>
        <w:t>4、负责村级资金专户存储、核拨和监督管理。</w:t>
      </w:r>
    </w:p>
    <w:p>
      <w:pPr>
        <w:pStyle w:val="3"/>
        <w:spacing w:before="214"/>
        <w:ind w:left="1266"/>
      </w:pPr>
      <w:r>
        <w:t>5、负责各项农民补贴的核定和兑付工作。</w:t>
      </w:r>
    </w:p>
    <w:p>
      <w:pPr>
        <w:pStyle w:val="3"/>
        <w:spacing w:before="212"/>
        <w:ind w:left="1266"/>
      </w:pPr>
      <w:r>
        <w:t>（四）公用事业服务站：</w:t>
      </w:r>
    </w:p>
    <w:p>
      <w:pPr>
        <w:pStyle w:val="3"/>
        <w:spacing w:before="211" w:line="364" w:lineRule="auto"/>
        <w:ind w:left="640" w:right="941" w:firstLine="626"/>
      </w:pPr>
      <w:r>
        <w:t>1、贯彻执行国家、省、市有关市政公用建设方面的方针、政策和法规，负责起草市政公用建设、管理方面的实施细则和办法。</w:t>
      </w:r>
    </w:p>
    <w:p>
      <w:pPr>
        <w:pStyle w:val="3"/>
        <w:spacing w:line="409" w:lineRule="exact"/>
        <w:ind w:left="1266"/>
      </w:pPr>
      <w:r>
        <w:t>2、依照全县整体规划，编制全县供水、供热、燃气、排水、路灯等长远规划。</w:t>
      </w:r>
    </w:p>
    <w:p>
      <w:pPr>
        <w:pStyle w:val="3"/>
        <w:spacing w:before="214"/>
        <w:ind w:left="1266"/>
      </w:pPr>
      <w:r>
        <w:t>3、指导和管理县内供水、供热、燃气、排水、路灯设施等工作。</w:t>
      </w:r>
    </w:p>
    <w:p>
      <w:pPr>
        <w:pStyle w:val="3"/>
        <w:spacing w:before="212"/>
        <w:ind w:left="1266"/>
      </w:pPr>
      <w:r>
        <w:t>（五）社会保障服务站：</w:t>
      </w:r>
    </w:p>
    <w:p>
      <w:pPr>
        <w:pStyle w:val="3"/>
        <w:spacing w:before="212" w:line="364" w:lineRule="auto"/>
        <w:ind w:left="640" w:right="619" w:firstLine="626"/>
      </w:pPr>
      <w:r>
        <w:t>1、认真宣传国家城乡劳动就业和社会保障工作的方针政策，提供城乡劳动就业和社会保障政策咨询服务。</w:t>
      </w:r>
    </w:p>
    <w:p>
      <w:pPr>
        <w:pStyle w:val="3"/>
        <w:rPr>
          <w:sz w:val="20"/>
        </w:rPr>
      </w:pPr>
    </w:p>
    <w:p>
      <w:pPr>
        <w:pStyle w:val="3"/>
        <w:spacing w:before="2"/>
        <w:rPr>
          <w:sz w:val="18"/>
        </w:rPr>
      </w:pPr>
    </w:p>
    <w:p>
      <w:pPr>
        <w:spacing w:before="0"/>
        <w:ind w:left="20" w:right="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1266"/>
      </w:pPr>
      <w:r>
        <w:t>2、负责辖区内劳动力资源调查与登记建档，实行动态管理。</w:t>
      </w:r>
    </w:p>
    <w:p>
      <w:pPr>
        <w:pStyle w:val="3"/>
        <w:spacing w:before="212"/>
        <w:ind w:left="1266"/>
      </w:pPr>
      <w:r>
        <w:t>3、协助社保经办机构办理有关养老、医疗、失业、工伤、生育等社会保险事务。</w:t>
      </w:r>
    </w:p>
    <w:p>
      <w:pPr>
        <w:pStyle w:val="3"/>
        <w:spacing w:before="214"/>
        <w:ind w:left="1266"/>
      </w:pPr>
      <w:r>
        <w:t>4、负责辖区内养老保险、新型农村合作医疗收缴工作。</w:t>
      </w:r>
    </w:p>
    <w:p>
      <w:pPr>
        <w:pStyle w:val="3"/>
        <w:spacing w:before="212"/>
        <w:ind w:left="1266"/>
      </w:pPr>
      <w:r>
        <w:t>5、完成镇党委镇政府交办的其他中心工作。</w:t>
      </w:r>
    </w:p>
    <w:p>
      <w:pPr>
        <w:pStyle w:val="3"/>
        <w:spacing w:before="211"/>
        <w:ind w:left="1266"/>
      </w:pPr>
      <w:r>
        <w:t>（六）经济综合服务站：</w:t>
      </w:r>
    </w:p>
    <w:p>
      <w:pPr>
        <w:pStyle w:val="3"/>
        <w:spacing w:before="214" w:line="364" w:lineRule="auto"/>
        <w:ind w:left="640" w:right="619" w:firstLine="626"/>
      </w:pPr>
      <w:r>
        <w:t>1、贯彻执行上级财务、农业、林业、水利、项目建设及招工招商等系列政策、法律法规，编制全镇经济发展规划并组织实施。</w:t>
      </w:r>
    </w:p>
    <w:p>
      <w:pPr>
        <w:pStyle w:val="3"/>
        <w:spacing w:line="407" w:lineRule="exact"/>
        <w:ind w:left="1266"/>
      </w:pPr>
      <w:r>
        <w:t>2、负责做好农业农机技术推广，积极开展农业农机技术咨询、培训等工作。</w:t>
      </w:r>
    </w:p>
    <w:p>
      <w:pPr>
        <w:pStyle w:val="3"/>
        <w:spacing w:before="214"/>
        <w:ind w:left="1266"/>
      </w:pPr>
      <w:r>
        <w:t>3、组织群众做好防汛抗旱、除涝、防止水土流失、农田水利基本建设等工作。</w:t>
      </w:r>
    </w:p>
    <w:p>
      <w:pPr>
        <w:pStyle w:val="3"/>
        <w:spacing w:before="212"/>
        <w:ind w:left="1266"/>
      </w:pPr>
      <w:r>
        <w:t>（七）林业站：</w:t>
      </w:r>
    </w:p>
    <w:p>
      <w:pPr>
        <w:pStyle w:val="3"/>
        <w:spacing w:before="214"/>
        <w:ind w:left="1266"/>
      </w:pPr>
      <w:r>
        <w:t>1、宣传贯彻执行森林和野生动植物保护等法律、法规和各项林业方针政策。</w:t>
      </w:r>
    </w:p>
    <w:p>
      <w:pPr>
        <w:pStyle w:val="3"/>
        <w:spacing w:before="211" w:line="364" w:lineRule="auto"/>
        <w:ind w:left="640" w:right="619" w:firstLine="626"/>
      </w:pPr>
      <w:r>
        <w:t>2、协助乡镇人民政府制定林业发展和年度计划，组织和指导农村集体、个人开展林业生产经营活动。</w:t>
      </w:r>
    </w:p>
    <w:p>
      <w:pPr>
        <w:pStyle w:val="3"/>
        <w:spacing w:line="409" w:lineRule="exact"/>
        <w:ind w:left="1266"/>
      </w:pPr>
      <w:r>
        <w:t>3、配合林业行政主管部门开展资源调查，造林检查验收，林业统计和森林资源档案管理工作，</w:t>
      </w:r>
    </w:p>
    <w:p>
      <w:pPr>
        <w:pStyle w:val="3"/>
        <w:rPr>
          <w:sz w:val="20"/>
        </w:rPr>
      </w:pPr>
    </w:p>
    <w:p>
      <w:pPr>
        <w:pStyle w:val="3"/>
        <w:spacing w:before="8"/>
        <w:rPr>
          <w:sz w:val="27"/>
        </w:rPr>
      </w:pPr>
    </w:p>
    <w:p>
      <w:pPr>
        <w:spacing w:before="92"/>
        <w:ind w:left="20" w:right="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640"/>
      </w:pPr>
      <w:r>
        <w:t>掌握辖区内森林资源消长和野生动植物物种变化情况。</w:t>
      </w:r>
    </w:p>
    <w:p>
      <w:pPr>
        <w:pStyle w:val="3"/>
        <w:spacing w:before="212" w:line="364" w:lineRule="auto"/>
        <w:ind w:left="640" w:right="619" w:firstLine="626"/>
      </w:pPr>
      <w:r>
        <w:t>4、协助林业行政主管部门管理林木采伐工作，配合做好林木采伐的伐区调查设计，并参与监督伐区作业和伐区验收工作。</w:t>
      </w:r>
    </w:p>
    <w:p>
      <w:pPr>
        <w:pStyle w:val="3"/>
        <w:spacing w:line="409" w:lineRule="exact"/>
        <w:ind w:left="1266"/>
      </w:pPr>
      <w:r>
        <w:t>5、配合林业行政主管部门和乡镇人民政府做好森林防火、森林病虫害防治工作。</w:t>
      </w:r>
    </w:p>
    <w:p>
      <w:pPr>
        <w:pStyle w:val="3"/>
        <w:spacing w:before="212"/>
        <w:ind w:left="1266"/>
      </w:pPr>
      <w:r>
        <w:t>6、依法保护、管理森林资源和野生动植物资源，依法保护湿地资源。</w:t>
      </w:r>
    </w:p>
    <w:p>
      <w:pPr>
        <w:pStyle w:val="3"/>
        <w:spacing w:before="214" w:line="364" w:lineRule="auto"/>
        <w:ind w:left="640" w:right="619" w:firstLine="626"/>
      </w:pPr>
      <w:r>
        <w:t>7、协助有关部门处理森林、林木和林地所有权或者使用权争议，查处破坏森林和野生动植物资源案件。</w:t>
      </w:r>
    </w:p>
    <w:p>
      <w:pPr>
        <w:pStyle w:val="3"/>
        <w:spacing w:line="407" w:lineRule="exact"/>
        <w:ind w:left="1266"/>
      </w:pPr>
      <w:r>
        <w:t>8、协助林业行政主管部门管理辖区内的乡村林偿、个体林偿。</w:t>
      </w:r>
    </w:p>
    <w:p>
      <w:pPr>
        <w:pStyle w:val="3"/>
        <w:spacing w:before="214"/>
        <w:ind w:left="1266"/>
      </w:pPr>
      <w:r>
        <w:t>9、配合乡镇人民政府建立健全乡村护林网络，负责乡村护林队伍的管理。</w:t>
      </w:r>
    </w:p>
    <w:p>
      <w:pPr>
        <w:pStyle w:val="3"/>
        <w:spacing w:before="211" w:line="364" w:lineRule="auto"/>
        <w:ind w:left="640" w:right="616" w:firstLine="626"/>
      </w:pPr>
      <w:r>
        <w:t>10</w:t>
      </w:r>
      <w:r>
        <w:rPr>
          <w:spacing w:val="-11"/>
        </w:rPr>
        <w:t>、推广林业科学技术，开展林业技术培训，技术咨询和技术服务等林业社会化服务，为林农提供产前、产后、产中服务。</w:t>
      </w:r>
    </w:p>
    <w:p>
      <w:pPr>
        <w:pStyle w:val="3"/>
        <w:spacing w:line="409" w:lineRule="exact"/>
        <w:ind w:left="1266"/>
      </w:pPr>
      <w:r>
        <w:t>11、根据国家有关规定代收和协助管理各项林业行政事业性收费等。</w:t>
      </w:r>
    </w:p>
    <w:p>
      <w:pPr>
        <w:pStyle w:val="3"/>
        <w:spacing w:before="212"/>
        <w:ind w:left="1266"/>
      </w:pPr>
      <w:r>
        <w:t>12、承担县级林业行政主管部门委托的其它事项。</w:t>
      </w:r>
    </w:p>
    <w:p>
      <w:pPr>
        <w:pStyle w:val="3"/>
        <w:spacing w:before="214"/>
        <w:ind w:left="1266"/>
      </w:pPr>
      <w:r>
        <w:t>（八）畜牧兽医技术推广站：</w:t>
      </w:r>
    </w:p>
    <w:p>
      <w:pPr>
        <w:pStyle w:val="3"/>
        <w:rPr>
          <w:sz w:val="20"/>
        </w:rPr>
      </w:pPr>
    </w:p>
    <w:p>
      <w:pPr>
        <w:pStyle w:val="3"/>
        <w:spacing w:before="7"/>
        <w:rPr>
          <w:sz w:val="27"/>
        </w:rPr>
      </w:pPr>
    </w:p>
    <w:p>
      <w:pPr>
        <w:spacing w:before="93"/>
        <w:ind w:left="20" w:right="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1266"/>
      </w:pPr>
      <w:r>
        <w:t>1、负责全县畜禽品种改良区划布局和技术指导，根据生产发展需要提出畜禽品种引进建议。</w:t>
      </w:r>
    </w:p>
    <w:p>
      <w:pPr>
        <w:pStyle w:val="3"/>
        <w:spacing w:before="212"/>
        <w:ind w:left="1266"/>
      </w:pPr>
      <w:r>
        <w:t>2、负责落实原始品种和珍稀畜禽品种保护措施。</w:t>
      </w:r>
    </w:p>
    <w:p>
      <w:pPr>
        <w:pStyle w:val="3"/>
        <w:spacing w:before="214"/>
        <w:ind w:left="1266"/>
      </w:pPr>
      <w:r>
        <w:t>3、承担和指导基层推广畜牧业实用技术，提出引进畜牧高新技术方案，并负责进行实施。</w:t>
      </w:r>
    </w:p>
    <w:p>
      <w:pPr>
        <w:pStyle w:val="3"/>
        <w:spacing w:before="212"/>
        <w:ind w:left="1266"/>
      </w:pPr>
      <w:r>
        <w:t>4、负责全镇草地建设规划，种草计划，牧草新品种引进推广。</w:t>
      </w:r>
    </w:p>
    <w:p>
      <w:pPr>
        <w:pStyle w:val="3"/>
        <w:spacing w:before="211"/>
        <w:ind w:left="1266"/>
      </w:pPr>
      <w:r>
        <w:t>5、承担农民的畜牧业技术培训工作。</w:t>
      </w:r>
    </w:p>
    <w:p>
      <w:pPr>
        <w:pStyle w:val="3"/>
        <w:spacing w:before="214"/>
        <w:ind w:left="1266"/>
      </w:pPr>
      <w:r>
        <w:t>6、完成上级交办的其他工作。</w:t>
      </w:r>
    </w:p>
    <w:p>
      <w:pPr>
        <w:pStyle w:val="3"/>
        <w:spacing w:before="212"/>
        <w:ind w:left="1266"/>
      </w:pPr>
      <w:r>
        <w:t>（九）食品药品监督管理所：</w:t>
      </w:r>
    </w:p>
    <w:p>
      <w:pPr>
        <w:pStyle w:val="3"/>
        <w:spacing w:before="211" w:line="364" w:lineRule="auto"/>
        <w:ind w:left="640" w:right="619" w:firstLine="626"/>
      </w:pPr>
      <w:r>
        <w:t>1、贯彻执行中、省、市有关食品、药品、医疗器械、保健品、化妆品、安全监督管理的法律法规和方针政策。</w:t>
      </w:r>
    </w:p>
    <w:p>
      <w:pPr>
        <w:pStyle w:val="3"/>
        <w:spacing w:line="409" w:lineRule="exact"/>
        <w:ind w:left="1266"/>
      </w:pPr>
      <w:r>
        <w:rPr>
          <w:w w:val="95"/>
        </w:rPr>
        <w:t>2、承担辖区内食品生产加工、食品流通、餐饮等环节监管工作。</w:t>
      </w:r>
    </w:p>
    <w:p>
      <w:pPr>
        <w:pStyle w:val="3"/>
        <w:spacing w:before="214"/>
        <w:ind w:left="1266"/>
      </w:pPr>
      <w:r>
        <w:rPr>
          <w:w w:val="95"/>
        </w:rPr>
        <w:t>3、承担辖区内药品、医疗器械、保健品、化妆品安全监管工作。</w:t>
      </w:r>
    </w:p>
    <w:p>
      <w:pPr>
        <w:pStyle w:val="3"/>
        <w:spacing w:before="212"/>
        <w:ind w:left="1266"/>
      </w:pPr>
      <w:r>
        <w:t>4、做好辖区食品药品安全隐患排查、信息收集报告工作。</w:t>
      </w:r>
    </w:p>
    <w:p>
      <w:pPr>
        <w:pStyle w:val="3"/>
        <w:spacing w:before="212"/>
        <w:ind w:left="1266"/>
      </w:pPr>
      <w:r>
        <w:t>5、做好辖区食品药品安全宣传教育培训工作。</w:t>
      </w:r>
    </w:p>
    <w:p>
      <w:pPr>
        <w:pStyle w:val="3"/>
        <w:spacing w:before="214"/>
        <w:ind w:left="1266"/>
      </w:pPr>
      <w:r>
        <w:t>6、承担上级主管部门交办的其他工作。</w:t>
      </w:r>
    </w:p>
    <w:p>
      <w:pPr>
        <w:pStyle w:val="3"/>
        <w:rPr>
          <w:sz w:val="20"/>
        </w:rPr>
      </w:pPr>
    </w:p>
    <w:p>
      <w:pPr>
        <w:pStyle w:val="3"/>
        <w:spacing w:before="7"/>
        <w:rPr>
          <w:sz w:val="27"/>
        </w:rPr>
      </w:pPr>
    </w:p>
    <w:p>
      <w:pPr>
        <w:spacing w:before="92"/>
        <w:ind w:left="20" w:right="0" w:firstLine="0"/>
        <w:jc w:val="center"/>
        <w:rPr>
          <w:rFonts w:ascii="Times New Roman"/>
          <w:sz w:val="18"/>
        </w:rPr>
        <w:sectPr>
          <w:pgSz w:w="16840" w:h="11910" w:orient="landscape"/>
          <w:pgMar w:top="1100" w:right="821" w:bottom="280" w:left="800" w:header="720" w:footer="720" w:gutter="0"/>
        </w:sectPr>
      </w:pPr>
    </w:p>
    <w:p>
      <w:pPr>
        <w:pStyle w:val="3"/>
        <w:rPr>
          <w:rFonts w:ascii="Times New Roman"/>
          <w:sz w:val="20"/>
        </w:rPr>
      </w:pPr>
    </w:p>
    <w:p>
      <w:pPr>
        <w:pStyle w:val="3"/>
        <w:spacing w:before="8"/>
        <w:rPr>
          <w:rFonts w:ascii="Times New Roman"/>
          <w:sz w:val="18"/>
        </w:rPr>
      </w:pPr>
    </w:p>
    <w:p>
      <w:pPr>
        <w:pStyle w:val="3"/>
        <w:spacing w:before="55"/>
        <w:ind w:left="1280"/>
      </w:pPr>
      <w:r>
        <w:t>（十）村集体经济组织主要职责：</w:t>
      </w:r>
    </w:p>
    <w:p>
      <w:pPr>
        <w:pStyle w:val="3"/>
        <w:spacing w:before="214" w:line="364" w:lineRule="auto"/>
        <w:ind w:left="640" w:right="614" w:firstLine="640"/>
        <w:jc w:val="both"/>
      </w:pPr>
      <w:r>
        <w:t>1、宣传贯彻宪法、法律、法规和国家的政策，维护村民合法权益，教育和推动村民履行法律、</w:t>
      </w:r>
      <w:r>
        <w:rPr>
          <w:spacing w:val="-8"/>
          <w:w w:val="95"/>
        </w:rPr>
        <w:t xml:space="preserve">法规规定的义务，发展文化教育，普及科技知识，促进村和村之间的团结、互助，开展多种形式的社   </w:t>
      </w:r>
      <w:r>
        <w:rPr>
          <w:spacing w:val="-8"/>
        </w:rPr>
        <w:t>会主义精神文明建设活动。</w:t>
      </w:r>
    </w:p>
    <w:p>
      <w:pPr>
        <w:pStyle w:val="3"/>
        <w:spacing w:before="2" w:line="364" w:lineRule="auto"/>
        <w:ind w:left="640" w:right="619" w:firstLine="640"/>
      </w:pPr>
      <w:r>
        <w:t>2、依照法律规定，管理本村属于村农民集体所有的土地、和其他财产，教育村民合理利用自然资源，保护和改善生态环境。</w:t>
      </w:r>
    </w:p>
    <w:p>
      <w:pPr>
        <w:pStyle w:val="3"/>
        <w:spacing w:before="2" w:line="364" w:lineRule="auto"/>
        <w:ind w:left="640" w:right="458" w:firstLine="640"/>
      </w:pPr>
      <w:r>
        <w:rPr>
          <w:w w:val="95"/>
        </w:rPr>
        <w:t>3</w:t>
      </w:r>
      <w:r>
        <w:rPr>
          <w:spacing w:val="-11"/>
          <w:w w:val="95"/>
        </w:rPr>
        <w:t xml:space="preserve">、支持和组织村民依法发展各种形式的合作经济和其他经济，承担本村生产的服务和协调工作，   </w:t>
      </w:r>
      <w:r>
        <w:rPr>
          <w:spacing w:val="-11"/>
        </w:rPr>
        <w:t>促进农村生产和社会主义市场经济的发展。</w:t>
      </w:r>
    </w:p>
    <w:p>
      <w:pPr>
        <w:pStyle w:val="3"/>
        <w:spacing w:before="1" w:line="364" w:lineRule="auto"/>
        <w:ind w:left="640" w:right="619" w:firstLine="640"/>
        <w:jc w:val="both"/>
      </w:pPr>
      <w:r>
        <w:t>4、尊重村集体经济组织依法独立进行经济活动的自主权，维护以家庭承包经营为基础，统分结</w:t>
      </w:r>
      <w:r>
        <w:rPr>
          <w:spacing w:val="-9"/>
          <w:w w:val="95"/>
        </w:rPr>
        <w:t xml:space="preserve">合的双层经营体制，保障集体经济组织和村民、承包经营户、联户或者合伙的合法的财产权和其他合   </w:t>
      </w:r>
      <w:r>
        <w:rPr>
          <w:spacing w:val="-9"/>
        </w:rPr>
        <w:t>法的权利和利益。</w:t>
      </w:r>
    </w:p>
    <w:p>
      <w:pPr>
        <w:pStyle w:val="3"/>
        <w:spacing w:before="3"/>
        <w:ind w:left="1280"/>
      </w:pPr>
      <w:r>
        <w:t>5、举办和管理本村的公共事务和公益事业。</w:t>
      </w:r>
    </w:p>
    <w:p>
      <w:pPr>
        <w:pStyle w:val="3"/>
        <w:spacing w:before="214"/>
        <w:ind w:left="1280"/>
      </w:pPr>
      <w:r>
        <w:t>6、组织实施本村的建设规划，兴修水利、道路等基础设施，指导村民建设住宅。</w:t>
      </w:r>
    </w:p>
    <w:p>
      <w:pPr>
        <w:pStyle w:val="3"/>
        <w:spacing w:before="214"/>
        <w:ind w:left="1280"/>
      </w:pPr>
      <w:r>
        <w:t>7、依法调解民间纠纷，协助维护本村的社会治安，向人民政府反映村民的意见要求和提出建议。</w:t>
      </w:r>
    </w:p>
    <w:p>
      <w:pPr>
        <w:pStyle w:val="3"/>
        <w:rPr>
          <w:sz w:val="20"/>
        </w:rPr>
      </w:pPr>
    </w:p>
    <w:p>
      <w:pPr>
        <w:pStyle w:val="3"/>
        <w:spacing w:before="10"/>
        <w:rPr>
          <w:sz w:val="17"/>
        </w:rPr>
      </w:pPr>
    </w:p>
    <w:p>
      <w:pPr>
        <w:spacing w:before="93"/>
        <w:ind w:left="20" w:right="0" w:firstLine="0"/>
        <w:jc w:val="center"/>
        <w:rPr>
          <w:rFonts w:ascii="Times New Roman"/>
          <w:sz w:val="18"/>
        </w:rPr>
        <w:sectPr>
          <w:pgSz w:w="16840" w:h="11910" w:orient="landscape"/>
          <w:pgMar w:top="1100" w:right="821" w:bottom="280" w:left="800" w:header="720" w:footer="720" w:gutter="0"/>
        </w:sectPr>
      </w:pPr>
    </w:p>
    <w:p>
      <w:pPr>
        <w:pStyle w:val="3"/>
        <w:rPr>
          <w:rFonts w:ascii="Times New Roman"/>
          <w:sz w:val="20"/>
        </w:rPr>
      </w:pPr>
    </w:p>
    <w:p>
      <w:pPr>
        <w:pStyle w:val="3"/>
        <w:spacing w:before="8"/>
        <w:rPr>
          <w:rFonts w:ascii="Times New Roman"/>
          <w:sz w:val="18"/>
        </w:rPr>
      </w:pPr>
    </w:p>
    <w:p>
      <w:pPr>
        <w:pStyle w:val="3"/>
        <w:spacing w:before="55" w:line="364" w:lineRule="auto"/>
        <w:ind w:left="640" w:right="458" w:firstLine="640"/>
      </w:pPr>
      <w:r>
        <w:rPr>
          <w:w w:val="95"/>
        </w:rPr>
        <w:t>8</w:t>
      </w:r>
      <w:r>
        <w:rPr>
          <w:spacing w:val="-11"/>
          <w:w w:val="95"/>
        </w:rPr>
        <w:t xml:space="preserve">、向村民会议或者村民代表会议报告工作并接受评议，执行村民会议或者村民代表会议的决议、   </w:t>
      </w:r>
      <w:r>
        <w:rPr>
          <w:spacing w:val="-11"/>
        </w:rPr>
        <w:t>议定。</w:t>
      </w:r>
    </w:p>
    <w:p>
      <w:pPr>
        <w:spacing w:before="1" w:line="364" w:lineRule="auto"/>
        <w:ind w:left="1285" w:right="8335" w:hanging="5"/>
        <w:jc w:val="left"/>
        <w:rPr>
          <w:rFonts w:hint="eastAsia" w:ascii="仿宋_GB2312" w:eastAsia="仿宋_GB2312"/>
          <w:b/>
          <w:sz w:val="32"/>
        </w:rPr>
      </w:pPr>
      <w:r>
        <w:rPr>
          <w:rFonts w:hint="eastAsia" w:ascii="仿宋_GB2312" w:eastAsia="仿宋_GB2312"/>
          <w:sz w:val="32"/>
        </w:rPr>
        <w:t>9、建立健全村务公开和民主管理制度。</w:t>
      </w:r>
      <w:r>
        <w:rPr>
          <w:rFonts w:hint="eastAsia" w:ascii="仿宋_GB2312" w:eastAsia="仿宋_GB2312"/>
          <w:b/>
          <w:sz w:val="32"/>
        </w:rPr>
        <w:t>二、2018 年年度部门工作任务</w:t>
      </w:r>
    </w:p>
    <w:p>
      <w:pPr>
        <w:pStyle w:val="3"/>
        <w:spacing w:before="2" w:line="364" w:lineRule="auto"/>
        <w:ind w:left="640" w:right="457" w:firstLine="640"/>
      </w:pPr>
      <w:r>
        <w:t>2018</w:t>
      </w:r>
      <w:r>
        <w:rPr>
          <w:spacing w:val="-7"/>
        </w:rPr>
        <w:t xml:space="preserve"> 年，工作的总体思路是：以党的十九大精神为指导，认真贯彻落实中央和省、市、县委决</w:t>
      </w:r>
      <w:r>
        <w:rPr>
          <w:spacing w:val="-19"/>
          <w:w w:val="95"/>
        </w:rPr>
        <w:t xml:space="preserve">策部署，紧紧围绕突破发展、争先发展主题，以建设美丽村镇为平台，以发展壮大村集体经济为突破，   </w:t>
      </w:r>
      <w:r>
        <w:rPr>
          <w:spacing w:val="-19"/>
        </w:rPr>
        <w:t>以争资招商和项目建设为基础，以社会管理创新和队伍建设为保障，加大财政扶贫脱贫工作力度，实</w:t>
      </w:r>
      <w:r>
        <w:rPr>
          <w:spacing w:val="-11"/>
        </w:rPr>
        <w:t>施新的“四镇”战略</w:t>
      </w:r>
      <w:r>
        <w:t>（</w:t>
      </w:r>
      <w:r>
        <w:rPr>
          <w:spacing w:val="-5"/>
        </w:rPr>
        <w:t>生态美丽亮镇、林特种养强镇、古道驿站名镇、幸福养生小镇</w:t>
      </w:r>
      <w:r>
        <w:rPr>
          <w:spacing w:val="-15"/>
        </w:rPr>
        <w:t>），</w:t>
      </w:r>
      <w:r>
        <w:t>优环境强基</w:t>
      </w:r>
      <w:r>
        <w:rPr>
          <w:spacing w:val="-11"/>
        </w:rPr>
        <w:t>础，抓产业促增收，惠民生保稳定、重党建强保障，提振精神，居弱图强，全力推动王家</w:t>
      </w:r>
      <w:r>
        <w:rPr>
          <w:rFonts w:hint="eastAsia" w:ascii="宋体" w:hAnsi="宋体" w:eastAsia="宋体"/>
        </w:rPr>
        <w:t>堎</w:t>
      </w:r>
      <w:r>
        <w:t>镇经济社会发展提升一个新的水平。</w:t>
      </w:r>
    </w:p>
    <w:p>
      <w:pPr>
        <w:pStyle w:val="3"/>
        <w:spacing w:before="5"/>
        <w:ind w:left="1280"/>
      </w:pPr>
      <w:r>
        <w:t>主要奋斗目标是：谋划重点项目 7 个，总投资 5.25亿元，年度计划投资 9350 万元，其中重点续</w:t>
      </w:r>
    </w:p>
    <w:p>
      <w:pPr>
        <w:pStyle w:val="3"/>
        <w:spacing w:before="214" w:line="302" w:lineRule="auto"/>
        <w:ind w:left="1266" w:right="2095" w:hanging="627"/>
        <w:rPr>
          <w:b/>
        </w:rPr>
      </w:pPr>
      <w:r>
        <w:rPr>
          <w:spacing w:val="-21"/>
        </w:rPr>
        <w:t xml:space="preserve">建项目 </w:t>
      </w:r>
      <w:r>
        <w:t>2</w:t>
      </w:r>
      <w:r>
        <w:rPr>
          <w:spacing w:val="-18"/>
        </w:rPr>
        <w:t xml:space="preserve"> 个，年度计划投资 </w:t>
      </w:r>
      <w:r>
        <w:t>6900</w:t>
      </w:r>
      <w:r>
        <w:rPr>
          <w:spacing w:val="-17"/>
        </w:rPr>
        <w:t xml:space="preserve"> 万元；新开工重点项目 </w:t>
      </w:r>
      <w:r>
        <w:t>3</w:t>
      </w:r>
      <w:r>
        <w:rPr>
          <w:spacing w:val="-19"/>
        </w:rPr>
        <w:t xml:space="preserve"> 个，年度计划投资 </w:t>
      </w:r>
      <w:r>
        <w:t>2450</w:t>
      </w:r>
      <w:r>
        <w:rPr>
          <w:spacing w:val="-21"/>
        </w:rPr>
        <w:t xml:space="preserve"> 万元。</w:t>
      </w:r>
      <w:r>
        <w:rPr>
          <w:b/>
          <w:spacing w:val="-7"/>
        </w:rPr>
        <w:t>三、 部门预算单位构成</w:t>
      </w:r>
    </w:p>
    <w:p>
      <w:pPr>
        <w:pStyle w:val="3"/>
        <w:spacing w:before="106"/>
        <w:ind w:left="1280"/>
      </w:pPr>
      <w:r>
        <w:t>从预算单位构成看，本部门的部门预算包括部门本级（机关）预算和下属单位预算。</w:t>
      </w:r>
    </w:p>
    <w:p>
      <w:pPr>
        <w:pStyle w:val="3"/>
        <w:rPr>
          <w:sz w:val="20"/>
        </w:rPr>
      </w:pPr>
    </w:p>
    <w:p>
      <w:pPr>
        <w:pStyle w:val="3"/>
        <w:spacing w:before="4"/>
        <w:rPr>
          <w:sz w:val="26"/>
        </w:rPr>
      </w:pPr>
    </w:p>
    <w:p>
      <w:pPr>
        <w:spacing w:before="92"/>
        <w:ind w:left="20" w:right="0" w:firstLine="0"/>
        <w:jc w:val="center"/>
        <w:rPr>
          <w:rFonts w:ascii="Times New Roman"/>
          <w:sz w:val="18"/>
        </w:rPr>
      </w:pPr>
    </w:p>
    <w:p>
      <w:pPr>
        <w:spacing w:after="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1280"/>
      </w:pPr>
      <w:r>
        <w:t>纳入本部门 2018 年部门预算编制范围的预算单位共有 9 个。包括：</w:t>
      </w:r>
    </w:p>
    <w:p>
      <w:pPr>
        <w:pStyle w:val="3"/>
        <w:spacing w:before="5"/>
        <w:rPr>
          <w:sz w:val="16"/>
        </w:rPr>
      </w:pPr>
    </w:p>
    <w:tbl>
      <w:tblPr>
        <w:tblStyle w:val="6"/>
        <w:tblW w:w="0" w:type="auto"/>
        <w:tblInd w:w="4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80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0"/>
              <w:ind w:left="157" w:right="150"/>
              <w:jc w:val="center"/>
              <w:rPr>
                <w:b/>
                <w:sz w:val="24"/>
              </w:rPr>
            </w:pPr>
            <w:r>
              <w:rPr>
                <w:b/>
                <w:sz w:val="24"/>
              </w:rPr>
              <w:t>序号</w:t>
            </w:r>
          </w:p>
        </w:tc>
        <w:tc>
          <w:tcPr>
            <w:tcW w:w="3800" w:type="dxa"/>
          </w:tcPr>
          <w:p>
            <w:pPr>
              <w:pStyle w:val="12"/>
              <w:spacing w:before="160"/>
              <w:ind w:left="1398" w:right="1387"/>
              <w:jc w:val="center"/>
              <w:rPr>
                <w:b/>
                <w:sz w:val="24"/>
              </w:rPr>
            </w:pPr>
            <w:r>
              <w:rPr>
                <w:b/>
                <w:sz w:val="24"/>
              </w:rPr>
              <w:t>单位名称</w:t>
            </w:r>
          </w:p>
        </w:tc>
        <w:tc>
          <w:tcPr>
            <w:tcW w:w="1300" w:type="dxa"/>
          </w:tcPr>
          <w:p>
            <w:pPr>
              <w:pStyle w:val="12"/>
              <w:spacing w:before="160"/>
              <w:ind w:left="150" w:right="139"/>
              <w:jc w:val="center"/>
              <w:rPr>
                <w:b/>
                <w:sz w:val="24"/>
              </w:rPr>
            </w:pPr>
            <w:r>
              <w:rPr>
                <w:b/>
                <w:sz w:val="24"/>
              </w:rPr>
              <w:t>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2"/>
              <w:ind w:left="7"/>
              <w:jc w:val="center"/>
              <w:rPr>
                <w:sz w:val="24"/>
              </w:rPr>
            </w:pPr>
            <w:r>
              <w:rPr>
                <w:sz w:val="24"/>
              </w:rPr>
              <w:t>1</w:t>
            </w:r>
          </w:p>
        </w:tc>
        <w:tc>
          <w:tcPr>
            <w:tcW w:w="3800" w:type="dxa"/>
          </w:tcPr>
          <w:p>
            <w:pPr>
              <w:pStyle w:val="12"/>
              <w:spacing w:before="162"/>
              <w:ind w:left="15"/>
              <w:rPr>
                <w:sz w:val="24"/>
              </w:rPr>
            </w:pPr>
            <w:r>
              <w:rPr>
                <w:sz w:val="24"/>
              </w:rPr>
              <w:t>太白县王家堎镇人民政府</w:t>
            </w:r>
          </w:p>
        </w:tc>
        <w:tc>
          <w:tcPr>
            <w:tcW w:w="1300" w:type="dxa"/>
          </w:tcPr>
          <w:p>
            <w:pPr>
              <w:pStyle w:val="12"/>
              <w:spacing w:before="162"/>
              <w:ind w:left="150" w:right="139"/>
              <w:jc w:val="center"/>
              <w:rPr>
                <w:sz w:val="24"/>
              </w:rPr>
            </w:pPr>
            <w:r>
              <w:rPr>
                <w:sz w:val="24"/>
              </w:rPr>
              <w:t>行政单位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1"/>
              <w:ind w:left="7"/>
              <w:jc w:val="center"/>
              <w:rPr>
                <w:sz w:val="24"/>
              </w:rPr>
            </w:pPr>
            <w:r>
              <w:rPr>
                <w:sz w:val="24"/>
              </w:rPr>
              <w:t>2</w:t>
            </w:r>
          </w:p>
        </w:tc>
        <w:tc>
          <w:tcPr>
            <w:tcW w:w="3800" w:type="dxa"/>
          </w:tcPr>
          <w:p>
            <w:pPr>
              <w:pStyle w:val="12"/>
              <w:spacing w:before="161"/>
              <w:ind w:left="15"/>
              <w:rPr>
                <w:sz w:val="24"/>
              </w:rPr>
            </w:pPr>
            <w:r>
              <w:rPr>
                <w:sz w:val="24"/>
              </w:rPr>
              <w:t>太白县王家堎镇党委</w:t>
            </w:r>
          </w:p>
        </w:tc>
        <w:tc>
          <w:tcPr>
            <w:tcW w:w="1300" w:type="dxa"/>
          </w:tcPr>
          <w:p>
            <w:pPr>
              <w:pStyle w:val="12"/>
              <w:spacing w:before="161"/>
              <w:ind w:left="150" w:right="139"/>
              <w:jc w:val="center"/>
              <w:rPr>
                <w:sz w:val="24"/>
              </w:rPr>
            </w:pPr>
            <w:r>
              <w:rPr>
                <w:sz w:val="24"/>
              </w:rPr>
              <w:t>行政单位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0"/>
              <w:ind w:left="7"/>
              <w:jc w:val="center"/>
              <w:rPr>
                <w:sz w:val="24"/>
              </w:rPr>
            </w:pPr>
            <w:r>
              <w:rPr>
                <w:sz w:val="24"/>
              </w:rPr>
              <w:t>3</w:t>
            </w:r>
          </w:p>
        </w:tc>
        <w:tc>
          <w:tcPr>
            <w:tcW w:w="3800" w:type="dxa"/>
          </w:tcPr>
          <w:p>
            <w:pPr>
              <w:pStyle w:val="12"/>
              <w:spacing w:before="160"/>
              <w:ind w:left="15"/>
              <w:rPr>
                <w:sz w:val="24"/>
              </w:rPr>
            </w:pPr>
            <w:r>
              <w:rPr>
                <w:sz w:val="24"/>
              </w:rPr>
              <w:t>太白县王家堎镇财政管理所</w:t>
            </w:r>
          </w:p>
        </w:tc>
        <w:tc>
          <w:tcPr>
            <w:tcW w:w="1300" w:type="dxa"/>
          </w:tcPr>
          <w:p>
            <w:pPr>
              <w:pStyle w:val="12"/>
              <w:spacing w:before="160"/>
              <w:ind w:left="150" w:right="139"/>
              <w:jc w:val="center"/>
              <w:rPr>
                <w:sz w:val="24"/>
              </w:rPr>
            </w:pPr>
            <w:r>
              <w:rPr>
                <w:sz w:val="24"/>
              </w:rPr>
              <w:t>行政单位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1"/>
              <w:ind w:left="7"/>
              <w:jc w:val="center"/>
              <w:rPr>
                <w:sz w:val="24"/>
              </w:rPr>
            </w:pPr>
            <w:r>
              <w:rPr>
                <w:sz w:val="24"/>
              </w:rPr>
              <w:t>4</w:t>
            </w:r>
          </w:p>
        </w:tc>
        <w:tc>
          <w:tcPr>
            <w:tcW w:w="3800" w:type="dxa"/>
          </w:tcPr>
          <w:p>
            <w:pPr>
              <w:pStyle w:val="12"/>
              <w:spacing w:before="161"/>
              <w:ind w:left="15"/>
              <w:rPr>
                <w:sz w:val="24"/>
              </w:rPr>
            </w:pPr>
            <w:r>
              <w:rPr>
                <w:sz w:val="24"/>
              </w:rPr>
              <w:t>太白县王家堎镇公用事业服务站</w:t>
            </w:r>
          </w:p>
        </w:tc>
        <w:tc>
          <w:tcPr>
            <w:tcW w:w="1300" w:type="dxa"/>
          </w:tcPr>
          <w:p>
            <w:pPr>
              <w:pStyle w:val="12"/>
              <w:spacing w:before="161"/>
              <w:ind w:left="150" w:right="139"/>
              <w:jc w:val="center"/>
              <w:rPr>
                <w:sz w:val="24"/>
              </w:rPr>
            </w:pPr>
            <w:r>
              <w:rPr>
                <w:sz w:val="24"/>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0"/>
              <w:ind w:left="7"/>
              <w:jc w:val="center"/>
              <w:rPr>
                <w:sz w:val="24"/>
              </w:rPr>
            </w:pPr>
            <w:r>
              <w:rPr>
                <w:sz w:val="24"/>
              </w:rPr>
              <w:t>5</w:t>
            </w:r>
          </w:p>
        </w:tc>
        <w:tc>
          <w:tcPr>
            <w:tcW w:w="3800" w:type="dxa"/>
          </w:tcPr>
          <w:p>
            <w:pPr>
              <w:pStyle w:val="12"/>
              <w:spacing w:before="160"/>
              <w:ind w:left="15"/>
              <w:rPr>
                <w:sz w:val="24"/>
              </w:rPr>
            </w:pPr>
            <w:r>
              <w:rPr>
                <w:sz w:val="24"/>
              </w:rPr>
              <w:t>太白县王家堎镇经济综合服务站</w:t>
            </w:r>
          </w:p>
        </w:tc>
        <w:tc>
          <w:tcPr>
            <w:tcW w:w="1300" w:type="dxa"/>
          </w:tcPr>
          <w:p>
            <w:pPr>
              <w:pStyle w:val="12"/>
              <w:spacing w:before="160"/>
              <w:ind w:left="150" w:right="139"/>
              <w:jc w:val="center"/>
              <w:rPr>
                <w:sz w:val="24"/>
              </w:rPr>
            </w:pPr>
            <w:r>
              <w:rPr>
                <w:sz w:val="24"/>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2"/>
              <w:ind w:left="7"/>
              <w:jc w:val="center"/>
              <w:rPr>
                <w:sz w:val="24"/>
              </w:rPr>
            </w:pPr>
            <w:r>
              <w:rPr>
                <w:sz w:val="24"/>
              </w:rPr>
              <w:t>6</w:t>
            </w:r>
          </w:p>
        </w:tc>
        <w:tc>
          <w:tcPr>
            <w:tcW w:w="3800" w:type="dxa"/>
          </w:tcPr>
          <w:p>
            <w:pPr>
              <w:pStyle w:val="12"/>
              <w:spacing w:before="162"/>
              <w:ind w:left="15"/>
              <w:rPr>
                <w:sz w:val="24"/>
              </w:rPr>
            </w:pPr>
            <w:r>
              <w:rPr>
                <w:sz w:val="24"/>
              </w:rPr>
              <w:t>太白县王家堎镇林业站</w:t>
            </w:r>
          </w:p>
        </w:tc>
        <w:tc>
          <w:tcPr>
            <w:tcW w:w="1300" w:type="dxa"/>
          </w:tcPr>
          <w:p>
            <w:pPr>
              <w:pStyle w:val="12"/>
              <w:spacing w:before="162"/>
              <w:ind w:left="150" w:right="139"/>
              <w:jc w:val="center"/>
              <w:rPr>
                <w:sz w:val="24"/>
              </w:rPr>
            </w:pPr>
            <w:r>
              <w:rPr>
                <w:sz w:val="24"/>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40" w:type="dxa"/>
          </w:tcPr>
          <w:p>
            <w:pPr>
              <w:pStyle w:val="12"/>
              <w:spacing w:before="161"/>
              <w:ind w:left="7"/>
              <w:jc w:val="center"/>
              <w:rPr>
                <w:sz w:val="24"/>
              </w:rPr>
            </w:pPr>
            <w:r>
              <w:rPr>
                <w:sz w:val="24"/>
              </w:rPr>
              <w:t>7</w:t>
            </w:r>
          </w:p>
        </w:tc>
        <w:tc>
          <w:tcPr>
            <w:tcW w:w="3800" w:type="dxa"/>
          </w:tcPr>
          <w:p>
            <w:pPr>
              <w:pStyle w:val="12"/>
              <w:spacing w:before="161"/>
              <w:ind w:left="15"/>
              <w:rPr>
                <w:sz w:val="24"/>
              </w:rPr>
            </w:pPr>
            <w:r>
              <w:rPr>
                <w:sz w:val="24"/>
              </w:rPr>
              <w:t>太白县王家堎镇社会保障服务站</w:t>
            </w:r>
          </w:p>
        </w:tc>
        <w:tc>
          <w:tcPr>
            <w:tcW w:w="1300" w:type="dxa"/>
          </w:tcPr>
          <w:p>
            <w:pPr>
              <w:pStyle w:val="12"/>
              <w:spacing w:before="161"/>
              <w:ind w:left="150" w:right="139"/>
              <w:jc w:val="center"/>
              <w:rPr>
                <w:sz w:val="24"/>
              </w:rPr>
            </w:pPr>
            <w:r>
              <w:rPr>
                <w:sz w:val="24"/>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spacing w:before="172"/>
              <w:ind w:left="7"/>
              <w:jc w:val="center"/>
              <w:rPr>
                <w:sz w:val="24"/>
              </w:rPr>
            </w:pPr>
            <w:r>
              <w:rPr>
                <w:sz w:val="24"/>
              </w:rPr>
              <w:t>8</w:t>
            </w:r>
          </w:p>
        </w:tc>
        <w:tc>
          <w:tcPr>
            <w:tcW w:w="3800" w:type="dxa"/>
          </w:tcPr>
          <w:p>
            <w:pPr>
              <w:pStyle w:val="12"/>
              <w:spacing w:before="13" w:line="310" w:lineRule="atLeast"/>
              <w:ind w:left="15" w:right="172"/>
              <w:rPr>
                <w:sz w:val="24"/>
              </w:rPr>
            </w:pPr>
            <w:r>
              <w:rPr>
                <w:sz w:val="24"/>
              </w:rPr>
              <w:t>太白县王家堎镇食品药品监督管理所</w:t>
            </w:r>
          </w:p>
        </w:tc>
        <w:tc>
          <w:tcPr>
            <w:tcW w:w="1300" w:type="dxa"/>
          </w:tcPr>
          <w:p>
            <w:pPr>
              <w:pStyle w:val="12"/>
              <w:spacing w:before="172"/>
              <w:ind w:left="150" w:right="139"/>
              <w:jc w:val="center"/>
              <w:rPr>
                <w:sz w:val="24"/>
              </w:rPr>
            </w:pPr>
            <w:r>
              <w:rPr>
                <w:sz w:val="24"/>
              </w:rPr>
              <w:t>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spacing w:before="173"/>
              <w:ind w:left="7"/>
              <w:jc w:val="center"/>
              <w:rPr>
                <w:sz w:val="24"/>
              </w:rPr>
            </w:pPr>
            <w:r>
              <w:rPr>
                <w:sz w:val="24"/>
              </w:rPr>
              <w:t>9</w:t>
            </w:r>
          </w:p>
        </w:tc>
        <w:tc>
          <w:tcPr>
            <w:tcW w:w="3800" w:type="dxa"/>
          </w:tcPr>
          <w:p>
            <w:pPr>
              <w:pStyle w:val="12"/>
              <w:spacing w:before="15" w:line="310" w:lineRule="atLeast"/>
              <w:ind w:left="15" w:right="172"/>
              <w:rPr>
                <w:sz w:val="24"/>
              </w:rPr>
            </w:pPr>
            <w:r>
              <w:rPr>
                <w:sz w:val="24"/>
              </w:rPr>
              <w:t>太白县王家堎镇畜牧兽医技术推广站</w:t>
            </w:r>
          </w:p>
        </w:tc>
        <w:tc>
          <w:tcPr>
            <w:tcW w:w="1300" w:type="dxa"/>
          </w:tcPr>
          <w:p>
            <w:pPr>
              <w:pStyle w:val="12"/>
              <w:spacing w:before="173"/>
              <w:ind w:left="150" w:right="139"/>
              <w:jc w:val="center"/>
              <w:rPr>
                <w:sz w:val="24"/>
              </w:rPr>
            </w:pPr>
            <w:r>
              <w:rPr>
                <w:sz w:val="24"/>
              </w:rPr>
              <w:t>事业单位</w:t>
            </w:r>
          </w:p>
        </w:tc>
      </w:tr>
    </w:tbl>
    <w:p>
      <w:pPr>
        <w:pStyle w:val="2"/>
        <w:spacing w:before="97"/>
        <w:ind w:left="1288"/>
      </w:pPr>
      <w:r>
        <w:t>四、部门人员情况说明</w:t>
      </w:r>
    </w:p>
    <w:p>
      <w:pPr>
        <w:pStyle w:val="3"/>
        <w:spacing w:before="121"/>
        <w:ind w:left="1280"/>
      </w:pPr>
      <w:r>
        <w:t>太白县王家</w:t>
      </w:r>
      <w:r>
        <w:rPr>
          <w:rFonts w:hint="eastAsia" w:ascii="宋体" w:eastAsia="宋体"/>
        </w:rPr>
        <w:t>堎</w:t>
      </w:r>
      <w:r>
        <w:t>镇政府行政在职人员 7 人，财政临时供养人员 2 人，遗属、精简 1 人，财政供养车</w:t>
      </w:r>
    </w:p>
    <w:p>
      <w:pPr>
        <w:pStyle w:val="3"/>
        <w:spacing w:before="213"/>
        <w:ind w:left="640"/>
      </w:pPr>
      <w:r>
        <w:t>辆 1 辆；</w:t>
      </w:r>
    </w:p>
    <w:p>
      <w:pPr>
        <w:pStyle w:val="3"/>
        <w:rPr>
          <w:sz w:val="20"/>
        </w:rPr>
      </w:pPr>
    </w:p>
    <w:p>
      <w:pPr>
        <w:pStyle w:val="3"/>
        <w:spacing w:before="11"/>
        <w:rPr>
          <w:sz w:val="20"/>
        </w:rPr>
      </w:pPr>
    </w:p>
    <w:p>
      <w:pPr>
        <w:spacing w:before="93"/>
        <w:ind w:left="3520" w:right="3500" w:firstLine="0"/>
        <w:jc w:val="center"/>
        <w:rPr>
          <w:rFonts w:ascii="Times New Roman"/>
          <w:sz w:val="18"/>
        </w:rPr>
      </w:pPr>
    </w:p>
    <w:p>
      <w:pPr>
        <w:spacing w:after="0"/>
        <w:jc w:val="center"/>
        <w:rPr>
          <w:rFonts w:ascii="Times New Roman"/>
          <w:sz w:val="18"/>
        </w:rPr>
        <w:sectPr>
          <w:pgSz w:w="16840" w:h="11910" w:orient="landscape"/>
          <w:pgMar w:top="1100" w:right="821" w:bottom="280" w:left="800" w:header="720" w:footer="720" w:gutter="0"/>
        </w:sectPr>
      </w:pPr>
    </w:p>
    <w:p>
      <w:pPr>
        <w:pStyle w:val="3"/>
        <w:rPr>
          <w:rFonts w:ascii="Times New Roman"/>
          <w:sz w:val="20"/>
        </w:rPr>
      </w:pPr>
    </w:p>
    <w:p>
      <w:pPr>
        <w:pStyle w:val="3"/>
        <w:spacing w:before="8"/>
        <w:rPr>
          <w:rFonts w:ascii="Times New Roman"/>
          <w:sz w:val="18"/>
        </w:rPr>
      </w:pPr>
    </w:p>
    <w:p>
      <w:pPr>
        <w:pStyle w:val="3"/>
        <w:spacing w:before="55"/>
        <w:ind w:left="1280"/>
      </w:pPr>
      <w:r>
        <w:t>镇党委行政在职人员 8 人；</w:t>
      </w:r>
    </w:p>
    <w:p>
      <w:pPr>
        <w:pStyle w:val="3"/>
        <w:spacing w:before="214"/>
        <w:ind w:left="1280"/>
      </w:pPr>
      <w:r>
        <w:t>财政所行政在职人员 1 人，财政供养临时人员 3 人；</w:t>
      </w:r>
    </w:p>
    <w:p>
      <w:pPr>
        <w:pStyle w:val="3"/>
        <w:spacing w:before="214"/>
        <w:ind w:left="1280"/>
      </w:pPr>
      <w:r>
        <w:rPr>
          <w:spacing w:val="-7"/>
        </w:rPr>
        <w:t xml:space="preserve">公用事业服务站事业在职人员 </w:t>
      </w:r>
      <w:r>
        <w:t>1</w:t>
      </w:r>
      <w:r>
        <w:rPr>
          <w:spacing w:val="-28"/>
        </w:rPr>
        <w:t xml:space="preserve"> 人；</w:t>
      </w:r>
    </w:p>
    <w:p>
      <w:pPr>
        <w:pStyle w:val="3"/>
        <w:spacing w:before="214"/>
        <w:ind w:left="1280"/>
      </w:pPr>
      <w:r>
        <w:rPr>
          <w:spacing w:val="-7"/>
        </w:rPr>
        <w:t xml:space="preserve">经济综合服务站事业在职人员 </w:t>
      </w:r>
      <w:r>
        <w:t>2</w:t>
      </w:r>
      <w:r>
        <w:rPr>
          <w:spacing w:val="-28"/>
        </w:rPr>
        <w:t xml:space="preserve"> 人；</w:t>
      </w:r>
    </w:p>
    <w:p>
      <w:pPr>
        <w:pStyle w:val="3"/>
        <w:spacing w:before="214"/>
        <w:ind w:left="1280"/>
      </w:pPr>
      <w:r>
        <w:t>林业站事业在职人员 3 人；</w:t>
      </w:r>
    </w:p>
    <w:p>
      <w:pPr>
        <w:pStyle w:val="3"/>
        <w:spacing w:before="214"/>
        <w:ind w:left="1280"/>
      </w:pPr>
      <w:r>
        <w:t>畜牧兽医技术推广站事业在职人员 2 人；</w:t>
      </w:r>
    </w:p>
    <w:p>
      <w:pPr>
        <w:pStyle w:val="3"/>
        <w:spacing w:before="214"/>
        <w:ind w:left="1280"/>
      </w:pPr>
      <w:r>
        <w:t>社会保障服务站事业在职人员 2 人；</w:t>
      </w:r>
    </w:p>
    <w:p>
      <w:pPr>
        <w:pStyle w:val="3"/>
        <w:spacing w:before="214"/>
        <w:ind w:left="1280"/>
      </w:pPr>
      <w:r>
        <w:t>食品药品监督管理所事业在职人员 2 人。</w:t>
      </w:r>
    </w:p>
    <w:p>
      <w:pPr>
        <w:pStyle w:val="3"/>
        <w:spacing w:before="9"/>
        <w:rPr>
          <w:sz w:val="26"/>
        </w:rPr>
      </w:pPr>
      <w:r>
        <w:pict>
          <v:group id="_x0000_s1026" o:spid="_x0000_s1026" o:spt="203" style="position:absolute;left:0pt;margin-left:162pt;margin-top:19.05pt;height:212.3pt;width:391.1pt;mso-position-horizontal-relative:page;mso-wrap-distance-bottom:0pt;mso-wrap-distance-top:0pt;z-index:-251657216;mso-width-relative:page;mso-height-relative:page;" coordorigin="3240,382" coordsize="7822,4246">
            <o:lock v:ext="edit"/>
            <v:shape id="_x0000_s1027" o:spid="_x0000_s1027" o:spt="75" type="#_x0000_t75" style="position:absolute;left:3240;top:381;height:4246;width:7822;" filled="f" stroked="f" coordsize="21600,21600">
              <v:path/>
              <v:fill on="f" focussize="0,0"/>
              <v:stroke on="f"/>
              <v:imagedata r:id="rId5" o:title=""/>
              <o:lock v:ext="edit" aspectratio="t"/>
            </v:shape>
            <v:shape id="_x0000_s1028" o:spid="_x0000_s1028" o:spt="202" type="#_x0000_t202" style="position:absolute;left:8332;top:4328;height:200;width:197;"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p>
                </w:txbxContent>
              </v:textbox>
            </v:shape>
            <w10:wrap type="topAndBottom"/>
          </v:group>
        </w:pict>
      </w:r>
    </w:p>
    <w:p>
      <w:pPr>
        <w:spacing w:after="0"/>
        <w:rPr>
          <w:sz w:val="26"/>
        </w:rPr>
        <w:sectPr>
          <w:pgSz w:w="16840" w:h="11910" w:orient="landscape"/>
          <w:pgMar w:top="1100" w:right="821" w:bottom="280" w:left="800" w:header="720" w:footer="720" w:gutter="0"/>
        </w:sectPr>
      </w:pPr>
    </w:p>
    <w:p>
      <w:pPr>
        <w:pStyle w:val="3"/>
        <w:rPr>
          <w:sz w:val="20"/>
        </w:rPr>
      </w:pPr>
    </w:p>
    <w:p>
      <w:pPr>
        <w:pStyle w:val="3"/>
        <w:spacing w:before="10"/>
        <w:rPr>
          <w:sz w:val="14"/>
        </w:rPr>
      </w:pPr>
    </w:p>
    <w:p>
      <w:pPr>
        <w:pStyle w:val="2"/>
        <w:spacing w:before="54"/>
      </w:pPr>
      <w:r>
        <w:t>五、部门国有资产占有使用及资产配置情况说明</w:t>
      </w:r>
    </w:p>
    <w:p>
      <w:pPr>
        <w:pStyle w:val="3"/>
        <w:spacing w:before="214" w:line="364" w:lineRule="auto"/>
        <w:ind w:left="640" w:right="573" w:firstLine="640"/>
        <w:jc w:val="both"/>
      </w:pPr>
      <w:r>
        <w:rPr>
          <w:spacing w:val="-8"/>
        </w:rPr>
        <w:t xml:space="preserve">全镇预算单位实有车辆 </w:t>
      </w:r>
      <w:r>
        <w:t>3</w:t>
      </w:r>
      <w:r>
        <w:rPr>
          <w:spacing w:val="-16"/>
        </w:rPr>
        <w:t xml:space="preserve"> 辆，其中：财政供养 </w:t>
      </w:r>
      <w:r>
        <w:t>1</w:t>
      </w:r>
      <w:r>
        <w:rPr>
          <w:spacing w:val="-26"/>
        </w:rPr>
        <w:t xml:space="preserve"> 辆，</w:t>
      </w:r>
      <w:r>
        <w:t>2018</w:t>
      </w:r>
      <w:r>
        <w:rPr>
          <w:spacing w:val="-7"/>
        </w:rPr>
        <w:t xml:space="preserve"> 年部门预算未安排购置车辆。全镇固定资产2765070</w:t>
      </w:r>
      <w:r>
        <w:rPr>
          <w:spacing w:val="-9"/>
        </w:rPr>
        <w:t>元，其中：房屋及建筑物</w:t>
      </w:r>
      <w:r>
        <w:t>2019504</w:t>
      </w:r>
      <w:r>
        <w:rPr>
          <w:spacing w:val="-6"/>
        </w:rPr>
        <w:t>元，交通运输设备</w:t>
      </w:r>
      <w:r>
        <w:rPr>
          <w:spacing w:val="2"/>
        </w:rPr>
        <w:t>418325</w:t>
      </w:r>
      <w:r>
        <w:rPr>
          <w:spacing w:val="-6"/>
        </w:rPr>
        <w:t>元，家具用具及其他</w:t>
      </w:r>
      <w:r>
        <w:t>327241 元。</w:t>
      </w:r>
    </w:p>
    <w:p>
      <w:pPr>
        <w:pStyle w:val="2"/>
        <w:spacing w:before="2"/>
      </w:pPr>
      <w:r>
        <w:t>六、部门预算绩效目标说明</w:t>
      </w:r>
    </w:p>
    <w:p>
      <w:pPr>
        <w:pStyle w:val="3"/>
        <w:spacing w:before="109" w:line="364" w:lineRule="auto"/>
        <w:ind w:left="640" w:right="461" w:firstLine="626"/>
      </w:pPr>
      <w:r>
        <w:t>2018</w:t>
      </w:r>
      <w:r>
        <w:rPr>
          <w:spacing w:val="-12"/>
        </w:rPr>
        <w:t xml:space="preserve"> 年本部门专项业务经费项目实现了绩效目标管理全覆盖，涉及一般公共预算当年拨款</w:t>
      </w:r>
      <w:r>
        <w:t>150000 元。</w:t>
      </w:r>
    </w:p>
    <w:p>
      <w:pPr>
        <w:pStyle w:val="2"/>
        <w:spacing w:line="409" w:lineRule="exact"/>
      </w:pPr>
      <w:r>
        <w:t>七、2018 年部门预算收支说明</w:t>
      </w:r>
    </w:p>
    <w:p>
      <w:pPr>
        <w:pStyle w:val="3"/>
        <w:spacing w:before="211"/>
        <w:ind w:left="1266"/>
      </w:pPr>
      <w:r>
        <w:t>（一）收支预算总体情况。</w:t>
      </w:r>
    </w:p>
    <w:p>
      <w:pPr>
        <w:pStyle w:val="3"/>
        <w:spacing w:before="207" w:line="367" w:lineRule="auto"/>
        <w:ind w:left="640" w:right="782" w:firstLine="626"/>
      </w:pPr>
      <w:r>
        <w:rPr>
          <w:position w:val="1"/>
        </w:rPr>
        <w:t>2018</w:t>
      </w:r>
      <w:r>
        <w:rPr>
          <w:spacing w:val="-90"/>
          <w:position w:val="1"/>
        </w:rPr>
        <w:t xml:space="preserve"> </w:t>
      </w:r>
      <w:r>
        <w:rPr>
          <w:position w:val="1"/>
        </w:rPr>
        <w:t>年王家</w:t>
      </w:r>
      <w:r>
        <w:rPr>
          <w:rFonts w:hint="eastAsia" w:ascii="宋体" w:eastAsia="宋体"/>
          <w:position w:val="1"/>
        </w:rPr>
        <w:t>堎</w:t>
      </w:r>
      <w:r>
        <w:rPr>
          <w:position w:val="1"/>
        </w:rPr>
        <w:t>镇收入预算为3820042</w:t>
      </w:r>
      <w:r>
        <w:rPr>
          <w:spacing w:val="-27"/>
          <w:position w:val="1"/>
        </w:rPr>
        <w:t>元</w:t>
      </w:r>
      <w:r>
        <w:rPr>
          <w:position w:val="1"/>
        </w:rPr>
        <w:t>（含上年结余100000元</w:t>
      </w:r>
      <w:r>
        <w:rPr>
          <w:spacing w:val="-27"/>
          <w:position w:val="1"/>
        </w:rPr>
        <w:t>），</w:t>
      </w:r>
      <w:r>
        <w:rPr>
          <w:position w:val="1"/>
        </w:rPr>
        <w:t>较上年增长</w:t>
      </w:r>
      <w:r>
        <w:rPr>
          <w:spacing w:val="-88"/>
          <w:position w:val="1"/>
        </w:rPr>
        <w:t xml:space="preserve"> </w:t>
      </w:r>
      <w:r>
        <w:rPr>
          <w:spacing w:val="2"/>
          <w:position w:val="1"/>
        </w:rPr>
        <w:t>8.32</w:t>
      </w:r>
      <w:r>
        <w:rPr>
          <w:spacing w:val="-160"/>
          <w:position w:val="1"/>
        </w:rPr>
        <w:t xml:space="preserve"> </w:t>
      </w:r>
      <w:r>
        <w:rPr>
          <w:spacing w:val="11"/>
          <w:w w:val="99"/>
        </w:rPr>
        <w:drawing>
          <wp:inline distT="0" distB="0" distL="0" distR="0">
            <wp:extent cx="85090" cy="1549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27"/>
          <w:position w:val="1"/>
        </w:rPr>
        <w:t>，</w:t>
      </w:r>
      <w:r>
        <w:rPr>
          <w:position w:val="1"/>
        </w:rPr>
        <w:t>全部为一</w:t>
      </w:r>
      <w:r>
        <w:t>般公共预算拨款收入，增长的主要原因是基本养老保险制度改革及正常调资晋档。</w:t>
      </w:r>
    </w:p>
    <w:p>
      <w:pPr>
        <w:pStyle w:val="3"/>
        <w:spacing w:line="406" w:lineRule="exact"/>
        <w:ind w:left="1266"/>
      </w:pPr>
      <w:r>
        <w:t>2018 年王家</w:t>
      </w:r>
      <w:r>
        <w:rPr>
          <w:rFonts w:hint="eastAsia" w:ascii="宋体" w:eastAsia="宋体"/>
        </w:rPr>
        <w:t>堎</w:t>
      </w:r>
      <w:r>
        <w:t>镇支出预算为3820042元（含上年结余100000元），包括人员经费和公用经费支</w:t>
      </w:r>
    </w:p>
    <w:p>
      <w:pPr>
        <w:pStyle w:val="3"/>
        <w:spacing w:before="206"/>
        <w:ind w:left="640"/>
      </w:pPr>
      <w:r>
        <w:rPr>
          <w:position w:val="1"/>
        </w:rPr>
        <w:t>出3475042元，占支出总额</w:t>
      </w:r>
      <w:r>
        <w:rPr>
          <w:spacing w:val="-74"/>
          <w:position w:val="1"/>
        </w:rPr>
        <w:t xml:space="preserve"> </w:t>
      </w:r>
      <w:r>
        <w:rPr>
          <w:position w:val="1"/>
        </w:rPr>
        <w:t>93.59</w:t>
      </w:r>
      <w:r>
        <w:rPr>
          <w:spacing w:val="8"/>
          <w:w w:val="99"/>
        </w:rPr>
        <w:drawing>
          <wp:inline distT="0" distB="0" distL="0" distR="0">
            <wp:extent cx="85090" cy="1549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；专项业务经费支出245000元，占支出总额</w:t>
      </w:r>
      <w:r>
        <w:rPr>
          <w:spacing w:val="-75"/>
          <w:position w:val="1"/>
        </w:rPr>
        <w:t xml:space="preserve"> </w:t>
      </w:r>
      <w:r>
        <w:rPr>
          <w:spacing w:val="2"/>
          <w:position w:val="1"/>
        </w:rPr>
        <w:t>6.41</w:t>
      </w:r>
      <w:r>
        <w:rPr>
          <w:spacing w:val="11"/>
          <w:w w:val="99"/>
        </w:rPr>
        <w:drawing>
          <wp:inline distT="0" distB="0" distL="0" distR="0">
            <wp:extent cx="85090" cy="154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。全部为一般公</w:t>
      </w:r>
    </w:p>
    <w:p>
      <w:pPr>
        <w:pStyle w:val="3"/>
        <w:spacing w:before="214"/>
        <w:ind w:left="640"/>
      </w:pPr>
      <w:r>
        <w:rPr>
          <w:position w:val="1"/>
        </w:rPr>
        <w:t>共预算拨款支出，较上年增长</w:t>
      </w:r>
      <w:r>
        <w:rPr>
          <w:spacing w:val="-85"/>
          <w:position w:val="1"/>
        </w:rPr>
        <w:t xml:space="preserve"> </w:t>
      </w:r>
      <w:r>
        <w:rPr>
          <w:spacing w:val="2"/>
          <w:position w:val="1"/>
        </w:rPr>
        <w:t>8.32</w:t>
      </w:r>
      <w:r>
        <w:rPr>
          <w:spacing w:val="11"/>
          <w:w w:val="99"/>
        </w:rPr>
        <w:drawing>
          <wp:inline distT="0" distB="0" distL="0" distR="0">
            <wp:extent cx="85090" cy="1549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，增长原因是基本养老保险制度改革及正常调资晋档。</w:t>
      </w:r>
    </w:p>
    <w:p>
      <w:pPr>
        <w:pStyle w:val="3"/>
        <w:rPr>
          <w:sz w:val="20"/>
        </w:rPr>
      </w:pPr>
    </w:p>
    <w:p>
      <w:pPr>
        <w:pStyle w:val="3"/>
        <w:spacing w:before="6"/>
        <w:rPr>
          <w:sz w:val="27"/>
        </w:rPr>
      </w:pPr>
    </w:p>
    <w:p>
      <w:pPr>
        <w:spacing w:before="92"/>
        <w:ind w:left="3520" w:right="3500" w:firstLine="0"/>
        <w:jc w:val="center"/>
        <w:rPr>
          <w:rFonts w:ascii="Times New Roman"/>
          <w:sz w:val="18"/>
        </w:rPr>
        <w:sectPr>
          <w:pgSz w:w="16840" w:h="11910" w:orient="landscape"/>
          <w:pgMar w:top="1100" w:right="821" w:bottom="280" w:left="800" w:header="720" w:footer="720" w:gutter="0"/>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7"/>
        </w:rPr>
      </w:pPr>
    </w:p>
    <w:p>
      <w:pPr>
        <w:pStyle w:val="3"/>
        <w:ind w:left="4501"/>
        <w:rPr>
          <w:rFonts w:ascii="Times New Roman"/>
          <w:sz w:val="20"/>
        </w:rPr>
      </w:pPr>
      <w:r>
        <w:rPr>
          <w:rFonts w:ascii="Times New Roman"/>
          <w:sz w:val="20"/>
        </w:rPr>
        <w:drawing>
          <wp:inline distT="0" distB="0" distL="0" distR="0">
            <wp:extent cx="3843020" cy="215392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7" cstate="print"/>
                    <a:stretch>
                      <a:fillRect/>
                    </a:stretch>
                  </pic:blipFill>
                  <pic:spPr>
                    <a:xfrm>
                      <a:off x="0" y="0"/>
                      <a:ext cx="3843175" cy="2154174"/>
                    </a:xfrm>
                    <a:prstGeom prst="rect">
                      <a:avLst/>
                    </a:prstGeom>
                  </pic:spPr>
                </pic:pic>
              </a:graphicData>
            </a:graphic>
          </wp:inline>
        </w:drawing>
      </w:r>
    </w:p>
    <w:p>
      <w:pPr>
        <w:pStyle w:val="3"/>
        <w:rPr>
          <w:rFonts w:ascii="Times New Roman"/>
          <w:sz w:val="20"/>
        </w:rPr>
      </w:pPr>
    </w:p>
    <w:p>
      <w:pPr>
        <w:pStyle w:val="3"/>
        <w:spacing w:before="10"/>
        <w:rPr>
          <w:rFonts w:ascii="Times New Roman"/>
          <w:sz w:val="23"/>
        </w:rPr>
      </w:pPr>
    </w:p>
    <w:p>
      <w:pPr>
        <w:pStyle w:val="3"/>
        <w:spacing w:before="55"/>
        <w:ind w:left="1266"/>
      </w:pPr>
      <w:r>
        <w:t>（二）财政拨款收支情况</w:t>
      </w:r>
    </w:p>
    <w:p>
      <w:pPr>
        <w:pStyle w:val="3"/>
        <w:spacing w:before="216" w:line="362" w:lineRule="auto"/>
        <w:ind w:left="640" w:right="927" w:firstLine="640"/>
      </w:pPr>
      <w:r>
        <w:t>2018</w:t>
      </w:r>
      <w:r>
        <w:rPr>
          <w:spacing w:val="-71"/>
        </w:rPr>
        <w:t xml:space="preserve"> </w:t>
      </w:r>
      <w:r>
        <w:t>年王家</w:t>
      </w:r>
      <w:r>
        <w:rPr>
          <w:rFonts w:hint="eastAsia" w:ascii="宋体" w:eastAsia="宋体"/>
        </w:rPr>
        <w:t>堎</w:t>
      </w:r>
      <w:r>
        <w:t>镇财政拨款收支3820042元，较上年增长</w:t>
      </w:r>
      <w:r>
        <w:rPr>
          <w:spacing w:val="-71"/>
        </w:rPr>
        <w:t xml:space="preserve"> </w:t>
      </w:r>
      <w:r>
        <w:rPr>
          <w:spacing w:val="2"/>
        </w:rPr>
        <w:t>8.32</w:t>
      </w:r>
      <w:r>
        <w:rPr>
          <w:spacing w:val="11"/>
          <w:w w:val="99"/>
        </w:rPr>
        <w:drawing>
          <wp:inline distT="0" distB="0" distL="0" distR="0">
            <wp:extent cx="85090" cy="15494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t>，增长原因是基本养老保险制度改革及正常调资晋档。</w:t>
      </w:r>
    </w:p>
    <w:p>
      <w:pPr>
        <w:pStyle w:val="3"/>
        <w:spacing w:before="3"/>
        <w:ind w:left="1266"/>
      </w:pPr>
      <w:r>
        <w:rPr>
          <w:w w:val="95"/>
        </w:rPr>
        <w:t>（三）一般公共预算拨款支出明细情况。</w:t>
      </w:r>
    </w:p>
    <w:p>
      <w:pPr>
        <w:pStyle w:val="3"/>
        <w:spacing w:before="214"/>
        <w:ind w:left="1371"/>
      </w:pPr>
      <w:r>
        <w:t>1. 一般公共预算当年拨款规模变化情况</w:t>
      </w:r>
    </w:p>
    <w:p>
      <w:pPr>
        <w:pStyle w:val="3"/>
        <w:rPr>
          <w:sz w:val="20"/>
        </w:rPr>
      </w:pPr>
    </w:p>
    <w:p>
      <w:pPr>
        <w:pStyle w:val="3"/>
        <w:spacing w:before="9"/>
        <w:rPr>
          <w:sz w:val="27"/>
        </w:rPr>
      </w:pPr>
    </w:p>
    <w:p>
      <w:pPr>
        <w:spacing w:before="93"/>
        <w:ind w:left="3520" w:right="3500" w:firstLine="0"/>
        <w:jc w:val="center"/>
        <w:rPr>
          <w:rFonts w:ascii="Times New Roman"/>
          <w:sz w:val="18"/>
        </w:rPr>
      </w:pPr>
    </w:p>
    <w:p>
      <w:pPr>
        <w:spacing w:after="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49" w:line="367" w:lineRule="auto"/>
        <w:ind w:left="640" w:right="924" w:firstLine="640"/>
      </w:pPr>
      <w:r>
        <w:rPr>
          <w:position w:val="1"/>
        </w:rPr>
        <w:t>2018</w:t>
      </w:r>
      <w:r>
        <w:rPr>
          <w:spacing w:val="-71"/>
          <w:position w:val="1"/>
        </w:rPr>
        <w:t xml:space="preserve"> </w:t>
      </w:r>
      <w:r>
        <w:rPr>
          <w:position w:val="1"/>
        </w:rPr>
        <w:t>年王家</w:t>
      </w:r>
      <w:r>
        <w:rPr>
          <w:rFonts w:hint="eastAsia" w:ascii="宋体" w:eastAsia="宋体"/>
          <w:position w:val="1"/>
        </w:rPr>
        <w:t>堎</w:t>
      </w:r>
      <w:r>
        <w:rPr>
          <w:position w:val="1"/>
        </w:rPr>
        <w:t>镇一般公共预算拨款3820042元，较上年增长</w:t>
      </w:r>
      <w:r>
        <w:rPr>
          <w:spacing w:val="-69"/>
          <w:position w:val="1"/>
        </w:rPr>
        <w:t xml:space="preserve"> </w:t>
      </w:r>
      <w:r>
        <w:rPr>
          <w:spacing w:val="2"/>
          <w:position w:val="1"/>
        </w:rPr>
        <w:t>5.41</w:t>
      </w:r>
      <w:r>
        <w:rPr>
          <w:spacing w:val="11"/>
          <w:w w:val="99"/>
        </w:rPr>
        <w:drawing>
          <wp:inline distT="0" distB="0" distL="0" distR="0">
            <wp:extent cx="85090" cy="15494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，增长原因是基本养老保险</w:t>
      </w:r>
      <w:r>
        <w:t>制度改革及正常调资晋档。</w:t>
      </w:r>
    </w:p>
    <w:p>
      <w:pPr>
        <w:pStyle w:val="3"/>
        <w:spacing w:line="406" w:lineRule="exact"/>
        <w:ind w:left="1280"/>
      </w:pPr>
      <w:r>
        <w:t>2、支出功能分类的明细情况</w:t>
      </w:r>
    </w:p>
    <w:p>
      <w:pPr>
        <w:pStyle w:val="3"/>
        <w:spacing w:before="212"/>
        <w:ind w:left="1280"/>
      </w:pPr>
      <w:r>
        <w:t>（1）代表工作（2010108）15000元，与上年持平。</w:t>
      </w:r>
    </w:p>
    <w:p>
      <w:pPr>
        <w:pStyle w:val="3"/>
        <w:spacing w:before="10"/>
        <w:rPr>
          <w:sz w:val="24"/>
        </w:rPr>
      </w:pPr>
    </w:p>
    <w:p>
      <w:pPr>
        <w:pStyle w:val="3"/>
        <w:ind w:left="1280"/>
      </w:pPr>
      <w:r>
        <w:t>（2）行政运行 （政府办公厅（室）及相关机构事务）（2010301）807223元，较上年减少了7.</w:t>
      </w:r>
    </w:p>
    <w:p>
      <w:pPr>
        <w:pStyle w:val="3"/>
        <w:spacing w:before="209"/>
        <w:ind w:left="640"/>
      </w:pPr>
      <w:r>
        <w:rPr>
          <w:spacing w:val="4"/>
          <w:position w:val="1"/>
        </w:rPr>
        <w:t>68</w:t>
      </w:r>
      <w:r>
        <w:rPr>
          <w:spacing w:val="11"/>
          <w:w w:val="99"/>
        </w:rPr>
        <w:drawing>
          <wp:inline distT="0" distB="0" distL="0" distR="0">
            <wp:extent cx="85090" cy="15494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，原因是人员调出。</w:t>
      </w:r>
    </w:p>
    <w:p>
      <w:pPr>
        <w:pStyle w:val="3"/>
        <w:spacing w:before="224"/>
        <w:ind w:left="1280"/>
      </w:pPr>
      <w:r>
        <w:t>（3）行政运行（2010601）192674元，较上年减少了</w:t>
      </w:r>
      <w:r>
        <w:rPr>
          <w:spacing w:val="-65"/>
        </w:rPr>
        <w:t xml:space="preserve"> </w:t>
      </w:r>
      <w:r>
        <w:rPr>
          <w:spacing w:val="2"/>
        </w:rPr>
        <w:t>0.94</w:t>
      </w:r>
      <w:r>
        <w:rPr>
          <w:spacing w:val="11"/>
          <w:w w:val="99"/>
        </w:rPr>
        <w:drawing>
          <wp:inline distT="0" distB="0" distL="0" distR="0">
            <wp:extent cx="85090" cy="15494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t>，原因</w:t>
      </w:r>
      <w:r>
        <w:rPr>
          <w:spacing w:val="5"/>
        </w:rPr>
        <w:t>是</w:t>
      </w:r>
      <w:r>
        <w:t>人员变动。</w:t>
      </w:r>
    </w:p>
    <w:p>
      <w:pPr>
        <w:pStyle w:val="3"/>
        <w:spacing w:before="9"/>
        <w:rPr>
          <w:sz w:val="29"/>
        </w:rPr>
      </w:pPr>
    </w:p>
    <w:p>
      <w:pPr>
        <w:pStyle w:val="11"/>
        <w:numPr>
          <w:ilvl w:val="0"/>
          <w:numId w:val="1"/>
        </w:numPr>
        <w:tabs>
          <w:tab w:val="left" w:pos="2200"/>
        </w:tabs>
        <w:spacing w:before="0" w:after="0" w:line="240" w:lineRule="auto"/>
        <w:ind w:left="2200" w:right="0" w:hanging="920"/>
        <w:jc w:val="left"/>
        <w:rPr>
          <w:sz w:val="32"/>
        </w:rPr>
      </w:pPr>
      <w:r>
        <w:rPr>
          <w:spacing w:val="5"/>
          <w:sz w:val="32"/>
        </w:rPr>
        <w:t>行政运行</w:t>
      </w:r>
      <w:r>
        <w:rPr>
          <w:spacing w:val="7"/>
          <w:sz w:val="32"/>
        </w:rPr>
        <w:t>（</w:t>
      </w:r>
      <w:r>
        <w:rPr>
          <w:spacing w:val="5"/>
          <w:sz w:val="32"/>
        </w:rPr>
        <w:t>党委办公厅</w:t>
      </w:r>
      <w:r>
        <w:rPr>
          <w:spacing w:val="7"/>
          <w:sz w:val="32"/>
        </w:rPr>
        <w:t>（</w:t>
      </w:r>
      <w:r>
        <w:rPr>
          <w:spacing w:val="5"/>
          <w:sz w:val="32"/>
        </w:rPr>
        <w:t>室）及相关机构事务</w:t>
      </w:r>
      <w:r>
        <w:rPr>
          <w:spacing w:val="3"/>
          <w:sz w:val="32"/>
        </w:rPr>
        <w:t>）（2013101）761748</w:t>
      </w:r>
      <w:r>
        <w:rPr>
          <w:spacing w:val="4"/>
          <w:sz w:val="32"/>
        </w:rPr>
        <w:t>元，较上年增长了</w:t>
      </w:r>
    </w:p>
    <w:p>
      <w:pPr>
        <w:pStyle w:val="3"/>
        <w:spacing w:before="219"/>
        <w:ind w:left="640"/>
      </w:pPr>
      <w:r>
        <w:rPr>
          <w:spacing w:val="2"/>
          <w:w w:val="95"/>
        </w:rPr>
        <w:t>23.33</w:t>
      </w:r>
      <w:r>
        <w:rPr>
          <w:spacing w:val="-113"/>
          <w:w w:val="95"/>
        </w:rPr>
        <w:t xml:space="preserve"> </w:t>
      </w:r>
      <w:r>
        <w:rPr>
          <w:spacing w:val="11"/>
          <w:w w:val="99"/>
        </w:rPr>
        <w:drawing>
          <wp:inline distT="0" distB="0" distL="0" distR="0">
            <wp:extent cx="85090" cy="15494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t>，原因是人员增加，工资福利性支出增加。</w:t>
      </w:r>
    </w:p>
    <w:p>
      <w:pPr>
        <w:pStyle w:val="3"/>
        <w:spacing w:before="9"/>
        <w:rPr>
          <w:sz w:val="36"/>
        </w:rPr>
      </w:pPr>
    </w:p>
    <w:p>
      <w:pPr>
        <w:pStyle w:val="11"/>
        <w:numPr>
          <w:ilvl w:val="0"/>
          <w:numId w:val="1"/>
        </w:numPr>
        <w:tabs>
          <w:tab w:val="left" w:pos="2081"/>
        </w:tabs>
        <w:spacing w:before="0" w:after="0" w:line="240" w:lineRule="auto"/>
        <w:ind w:left="2080" w:right="0" w:hanging="801"/>
        <w:jc w:val="left"/>
        <w:rPr>
          <w:sz w:val="32"/>
        </w:rPr>
      </w:pPr>
      <w:r>
        <w:rPr>
          <w:sz w:val="32"/>
        </w:rPr>
        <w:t>其他共产党事务支出（其他共产党事务支出）（2013699）50000元，与上年持平。</w:t>
      </w:r>
    </w:p>
    <w:p>
      <w:pPr>
        <w:pStyle w:val="11"/>
        <w:numPr>
          <w:ilvl w:val="0"/>
          <w:numId w:val="1"/>
        </w:numPr>
        <w:tabs>
          <w:tab w:val="left" w:pos="2081"/>
        </w:tabs>
        <w:spacing w:before="214" w:after="0" w:line="240" w:lineRule="auto"/>
        <w:ind w:left="2080" w:right="0" w:hanging="801"/>
        <w:jc w:val="left"/>
        <w:rPr>
          <w:sz w:val="32"/>
        </w:rPr>
      </w:pPr>
      <w:r>
        <w:rPr>
          <w:sz w:val="32"/>
        </w:rPr>
        <w:t>其他一般公共服务支出（2019999）88298元，新增单位。</w:t>
      </w:r>
    </w:p>
    <w:p>
      <w:pPr>
        <w:pStyle w:val="3"/>
        <w:spacing w:before="3"/>
        <w:rPr>
          <w:sz w:val="31"/>
        </w:rPr>
      </w:pPr>
    </w:p>
    <w:p>
      <w:pPr>
        <w:pStyle w:val="11"/>
        <w:numPr>
          <w:ilvl w:val="0"/>
          <w:numId w:val="1"/>
        </w:numPr>
        <w:tabs>
          <w:tab w:val="left" w:pos="2081"/>
        </w:tabs>
        <w:spacing w:before="0" w:after="0" w:line="367" w:lineRule="auto"/>
        <w:ind w:left="640" w:right="844" w:firstLine="640"/>
        <w:jc w:val="left"/>
        <w:rPr>
          <w:sz w:val="32"/>
        </w:rPr>
      </w:pPr>
      <w:r>
        <w:rPr>
          <w:position w:val="1"/>
          <w:sz w:val="32"/>
        </w:rPr>
        <w:t>机关事业单位基本养老保险缴费支</w:t>
      </w:r>
      <w:r>
        <w:rPr>
          <w:spacing w:val="-24"/>
          <w:position w:val="1"/>
          <w:sz w:val="32"/>
        </w:rPr>
        <w:t>出</w:t>
      </w:r>
      <w:r>
        <w:rPr>
          <w:position w:val="1"/>
          <w:sz w:val="32"/>
        </w:rPr>
        <w:t>（2080505）345096元</w:t>
      </w:r>
      <w:r>
        <w:rPr>
          <w:spacing w:val="-24"/>
          <w:position w:val="1"/>
          <w:sz w:val="32"/>
        </w:rPr>
        <w:t>，</w:t>
      </w:r>
      <w:r>
        <w:rPr>
          <w:position w:val="1"/>
          <w:sz w:val="32"/>
        </w:rPr>
        <w:t>较上年增长了</w:t>
      </w:r>
      <w:r>
        <w:rPr>
          <w:spacing w:val="-107"/>
          <w:position w:val="1"/>
          <w:sz w:val="32"/>
        </w:rPr>
        <w:t xml:space="preserve"> </w:t>
      </w:r>
      <w:r>
        <w:rPr>
          <w:spacing w:val="2"/>
          <w:position w:val="1"/>
          <w:sz w:val="32"/>
        </w:rPr>
        <w:t>26.54</w:t>
      </w:r>
      <w:r>
        <w:rPr>
          <w:spacing w:val="11"/>
          <w:w w:val="99"/>
          <w:sz w:val="32"/>
        </w:rPr>
        <w:drawing>
          <wp:inline distT="0" distB="0" distL="0" distR="0">
            <wp:extent cx="85090" cy="15494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24"/>
          <w:position w:val="1"/>
          <w:sz w:val="32"/>
        </w:rPr>
        <w:t>，</w:t>
      </w:r>
      <w:r>
        <w:rPr>
          <w:position w:val="1"/>
          <w:sz w:val="32"/>
        </w:rPr>
        <w:t>原因</w:t>
      </w:r>
      <w:r>
        <w:rPr>
          <w:sz w:val="32"/>
        </w:rPr>
        <w:t>是事业单位养老保险基数调整，事业单位养老保险增加。</w:t>
      </w:r>
    </w:p>
    <w:p>
      <w:pPr>
        <w:pStyle w:val="3"/>
        <w:spacing w:before="7"/>
        <w:rPr>
          <w:sz w:val="21"/>
        </w:rPr>
      </w:pPr>
    </w:p>
    <w:p>
      <w:pPr>
        <w:spacing w:before="92"/>
        <w:ind w:left="3520" w:right="3500" w:firstLine="0"/>
        <w:jc w:val="center"/>
        <w:rPr>
          <w:rFonts w:ascii="Times New Roman"/>
          <w:sz w:val="18"/>
        </w:rPr>
        <w:sectPr>
          <w:pgSz w:w="16840" w:h="11910" w:orient="landscape"/>
          <w:pgMar w:top="1100" w:right="821" w:bottom="280" w:left="800" w:header="720" w:footer="720" w:gutter="0"/>
        </w:sectPr>
      </w:pPr>
    </w:p>
    <w:p>
      <w:pPr>
        <w:pStyle w:val="3"/>
        <w:rPr>
          <w:rFonts w:ascii="Times New Roman"/>
          <w:sz w:val="20"/>
        </w:rPr>
      </w:pPr>
    </w:p>
    <w:p>
      <w:pPr>
        <w:pStyle w:val="3"/>
        <w:spacing w:before="8"/>
        <w:rPr>
          <w:rFonts w:ascii="Times New Roman"/>
          <w:sz w:val="18"/>
        </w:rPr>
      </w:pPr>
    </w:p>
    <w:p>
      <w:pPr>
        <w:pStyle w:val="11"/>
        <w:numPr>
          <w:ilvl w:val="0"/>
          <w:numId w:val="1"/>
        </w:numPr>
        <w:tabs>
          <w:tab w:val="left" w:pos="2081"/>
        </w:tabs>
        <w:spacing w:before="60" w:after="0" w:line="362" w:lineRule="auto"/>
        <w:ind w:left="640" w:right="858" w:firstLine="640"/>
        <w:jc w:val="left"/>
        <w:rPr>
          <w:sz w:val="32"/>
        </w:rPr>
      </w:pPr>
      <w:r>
        <w:rPr>
          <w:sz w:val="32"/>
        </w:rPr>
        <w:t>机关事业单位职业年金缴费支</w:t>
      </w:r>
      <w:r>
        <w:rPr>
          <w:spacing w:val="-24"/>
          <w:sz w:val="32"/>
        </w:rPr>
        <w:t>出</w:t>
      </w:r>
      <w:r>
        <w:rPr>
          <w:sz w:val="32"/>
        </w:rPr>
        <w:t>（2080506）138040元</w:t>
      </w:r>
      <w:r>
        <w:rPr>
          <w:spacing w:val="-22"/>
          <w:sz w:val="32"/>
        </w:rPr>
        <w:t>，</w:t>
      </w:r>
      <w:r>
        <w:rPr>
          <w:sz w:val="32"/>
        </w:rPr>
        <w:t>较上年增长了</w:t>
      </w:r>
      <w:r>
        <w:rPr>
          <w:spacing w:val="-121"/>
          <w:sz w:val="32"/>
        </w:rPr>
        <w:t xml:space="preserve"> </w:t>
      </w:r>
      <w:r>
        <w:rPr>
          <w:spacing w:val="2"/>
          <w:sz w:val="32"/>
        </w:rPr>
        <w:t>26.56</w:t>
      </w:r>
      <w:r>
        <w:rPr>
          <w:spacing w:val="11"/>
          <w:w w:val="99"/>
          <w:sz w:val="32"/>
        </w:rPr>
        <w:drawing>
          <wp:inline distT="0" distB="0" distL="0" distR="0">
            <wp:extent cx="85090" cy="15494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24"/>
          <w:sz w:val="32"/>
        </w:rPr>
        <w:t>，</w:t>
      </w:r>
      <w:r>
        <w:rPr>
          <w:sz w:val="32"/>
        </w:rPr>
        <w:t>原因是事业单位职业年金基数调整，单位职业年金增长。</w:t>
      </w:r>
    </w:p>
    <w:p>
      <w:pPr>
        <w:pStyle w:val="11"/>
        <w:numPr>
          <w:ilvl w:val="0"/>
          <w:numId w:val="1"/>
        </w:numPr>
        <w:tabs>
          <w:tab w:val="left" w:pos="2081"/>
        </w:tabs>
        <w:spacing w:before="0" w:after="0" w:line="367" w:lineRule="auto"/>
        <w:ind w:left="640" w:right="858" w:firstLine="640"/>
        <w:jc w:val="left"/>
        <w:rPr>
          <w:sz w:val="32"/>
        </w:rPr>
      </w:pPr>
      <w:r>
        <w:rPr>
          <w:position w:val="1"/>
          <w:sz w:val="32"/>
        </w:rPr>
        <w:t>其他社会保障和就业支</w:t>
      </w:r>
      <w:r>
        <w:rPr>
          <w:spacing w:val="-24"/>
          <w:position w:val="1"/>
          <w:sz w:val="32"/>
        </w:rPr>
        <w:t>出</w:t>
      </w:r>
      <w:r>
        <w:rPr>
          <w:position w:val="1"/>
          <w:sz w:val="32"/>
        </w:rPr>
        <w:t>（2089901）154308元</w:t>
      </w:r>
      <w:r>
        <w:rPr>
          <w:spacing w:val="-22"/>
          <w:position w:val="1"/>
          <w:sz w:val="32"/>
        </w:rPr>
        <w:t>，</w:t>
      </w:r>
      <w:r>
        <w:rPr>
          <w:position w:val="1"/>
          <w:sz w:val="32"/>
        </w:rPr>
        <w:t>较上年减少了</w:t>
      </w:r>
      <w:r>
        <w:rPr>
          <w:spacing w:val="-120"/>
          <w:position w:val="1"/>
          <w:sz w:val="32"/>
        </w:rPr>
        <w:t xml:space="preserve"> </w:t>
      </w:r>
      <w:r>
        <w:rPr>
          <w:spacing w:val="2"/>
          <w:position w:val="1"/>
          <w:sz w:val="32"/>
        </w:rPr>
        <w:t>59.58</w:t>
      </w:r>
      <w:r>
        <w:rPr>
          <w:spacing w:val="11"/>
          <w:w w:val="99"/>
          <w:sz w:val="32"/>
        </w:rPr>
        <w:drawing>
          <wp:inline distT="0" distB="0" distL="0" distR="0">
            <wp:extent cx="85090" cy="15494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24"/>
          <w:position w:val="1"/>
          <w:sz w:val="32"/>
        </w:rPr>
        <w:t>，</w:t>
      </w:r>
      <w:r>
        <w:rPr>
          <w:position w:val="1"/>
          <w:sz w:val="32"/>
        </w:rPr>
        <w:t>原因是人员变动</w:t>
      </w:r>
      <w:r>
        <w:rPr>
          <w:sz w:val="32"/>
        </w:rPr>
        <w:t>调整。</w:t>
      </w:r>
    </w:p>
    <w:p>
      <w:pPr>
        <w:pStyle w:val="11"/>
        <w:numPr>
          <w:ilvl w:val="0"/>
          <w:numId w:val="1"/>
        </w:numPr>
        <w:tabs>
          <w:tab w:val="left" w:pos="2240"/>
        </w:tabs>
        <w:spacing w:before="0" w:after="0" w:line="408" w:lineRule="exact"/>
        <w:ind w:left="2239" w:right="0" w:hanging="960"/>
        <w:jc w:val="left"/>
        <w:rPr>
          <w:sz w:val="32"/>
        </w:rPr>
      </w:pPr>
      <w:r>
        <w:rPr>
          <w:sz w:val="32"/>
        </w:rPr>
        <w:t>事业运行（食品和药品监督管理事务）（2101050）156119元，新增单位。</w:t>
      </w:r>
    </w:p>
    <w:p>
      <w:pPr>
        <w:pStyle w:val="3"/>
        <w:spacing w:before="208"/>
        <w:ind w:left="1280"/>
      </w:pPr>
      <w:r>
        <w:rPr>
          <w:position w:val="1"/>
        </w:rPr>
        <w:t>（11）事业运行（农业）（2130104）311926元，较上年增长了</w:t>
      </w:r>
      <w:r>
        <w:rPr>
          <w:spacing w:val="-64"/>
          <w:position w:val="1"/>
        </w:rPr>
        <w:t xml:space="preserve"> </w:t>
      </w:r>
      <w:r>
        <w:rPr>
          <w:spacing w:val="2"/>
          <w:position w:val="1"/>
        </w:rPr>
        <w:t>88.22</w:t>
      </w:r>
      <w:r>
        <w:rPr>
          <w:spacing w:val="11"/>
          <w:w w:val="99"/>
        </w:rPr>
        <w:drawing>
          <wp:inline distT="0" distB="0" distL="0" distR="0">
            <wp:extent cx="85090" cy="15494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，原因是上年度兽医站</w:t>
      </w:r>
    </w:p>
    <w:p>
      <w:pPr>
        <w:pStyle w:val="3"/>
        <w:spacing w:before="219"/>
        <w:ind w:left="640"/>
      </w:pPr>
      <w:r>
        <w:t>无支出预算，本年度兽医站增加 2 人支出预算。</w:t>
      </w:r>
    </w:p>
    <w:p>
      <w:pPr>
        <w:pStyle w:val="11"/>
        <w:numPr>
          <w:ilvl w:val="0"/>
          <w:numId w:val="2"/>
        </w:numPr>
        <w:tabs>
          <w:tab w:val="left" w:pos="2240"/>
        </w:tabs>
        <w:spacing w:before="209" w:after="0" w:line="240" w:lineRule="auto"/>
        <w:ind w:left="2239" w:right="0" w:hanging="960"/>
        <w:jc w:val="left"/>
        <w:rPr>
          <w:sz w:val="32"/>
        </w:rPr>
      </w:pPr>
      <w:r>
        <w:rPr>
          <w:position w:val="1"/>
          <w:sz w:val="32"/>
        </w:rPr>
        <w:t>林业事业机构（2130204）262250元，较上年增长了</w:t>
      </w:r>
      <w:r>
        <w:rPr>
          <w:spacing w:val="-90"/>
          <w:position w:val="1"/>
          <w:sz w:val="32"/>
        </w:rPr>
        <w:t xml:space="preserve"> </w:t>
      </w:r>
      <w:r>
        <w:rPr>
          <w:spacing w:val="2"/>
          <w:position w:val="1"/>
          <w:sz w:val="32"/>
        </w:rPr>
        <w:t>1.09</w:t>
      </w:r>
      <w:r>
        <w:rPr>
          <w:spacing w:val="11"/>
          <w:w w:val="99"/>
          <w:sz w:val="32"/>
        </w:rPr>
        <w:drawing>
          <wp:inline distT="0" distB="0" distL="0" distR="0">
            <wp:extent cx="85090" cy="15494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sz w:val="32"/>
        </w:rPr>
        <w:t>，原因是事业单位正常调资。</w:t>
      </w:r>
    </w:p>
    <w:p>
      <w:pPr>
        <w:pStyle w:val="11"/>
        <w:numPr>
          <w:ilvl w:val="0"/>
          <w:numId w:val="2"/>
        </w:numPr>
        <w:tabs>
          <w:tab w:val="left" w:pos="2240"/>
        </w:tabs>
        <w:spacing w:before="219" w:after="0" w:line="302" w:lineRule="auto"/>
        <w:ind w:left="1280" w:right="3203" w:firstLine="0"/>
        <w:jc w:val="left"/>
        <w:rPr>
          <w:sz w:val="32"/>
        </w:rPr>
      </w:pPr>
      <w:r>
        <w:rPr>
          <w:sz w:val="32"/>
        </w:rPr>
        <w:t>对村民委员会和村党支部的补助（2130705）437360元，与上年持平。3.支出按经济分类的明细情况</w:t>
      </w:r>
    </w:p>
    <w:p>
      <w:pPr>
        <w:pStyle w:val="3"/>
        <w:spacing w:before="112" w:line="362" w:lineRule="auto"/>
        <w:ind w:left="640" w:right="764" w:firstLine="626"/>
      </w:pPr>
      <w:r>
        <w:t>2018</w:t>
      </w:r>
      <w:r>
        <w:rPr>
          <w:spacing w:val="-83"/>
        </w:rPr>
        <w:t xml:space="preserve"> </w:t>
      </w:r>
      <w:r>
        <w:t>年王家</w:t>
      </w:r>
      <w:r>
        <w:rPr>
          <w:rFonts w:hint="eastAsia" w:ascii="宋体" w:eastAsia="宋体"/>
        </w:rPr>
        <w:t>堎</w:t>
      </w:r>
      <w:r>
        <w:t>镇支出预算为3820042元</w:t>
      </w:r>
      <w:r>
        <w:rPr>
          <w:spacing w:val="-142"/>
        </w:rPr>
        <w:t>，</w:t>
      </w:r>
      <w:r>
        <w:t>其中</w:t>
      </w:r>
      <w:r>
        <w:rPr>
          <w:spacing w:val="-144"/>
        </w:rPr>
        <w:t>：</w:t>
      </w:r>
      <w:r>
        <w:t>工资福利支出2893662元</w:t>
      </w:r>
      <w:r>
        <w:rPr>
          <w:spacing w:val="-142"/>
        </w:rPr>
        <w:t>，</w:t>
      </w:r>
      <w:r>
        <w:t>较上年增长</w:t>
      </w:r>
      <w:r>
        <w:rPr>
          <w:spacing w:val="-82"/>
        </w:rPr>
        <w:t xml:space="preserve"> </w:t>
      </w:r>
      <w:r>
        <w:rPr>
          <w:spacing w:val="2"/>
        </w:rPr>
        <w:t>18.29</w:t>
      </w:r>
      <w:r>
        <w:rPr>
          <w:spacing w:val="11"/>
          <w:w w:val="99"/>
        </w:rPr>
        <w:drawing>
          <wp:inline distT="0" distB="0" distL="0" distR="0">
            <wp:extent cx="85090" cy="15494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t>，全部为人员支出。增长原因为行政、事业单位人员工资正常晋升。</w:t>
      </w:r>
    </w:p>
    <w:p>
      <w:pPr>
        <w:pStyle w:val="3"/>
        <w:spacing w:line="407" w:lineRule="exact"/>
        <w:ind w:left="1280"/>
      </w:pPr>
      <w:r>
        <w:rPr>
          <w:position w:val="1"/>
        </w:rPr>
        <w:t>商品和服务支出218200元，较上年增长</w:t>
      </w:r>
      <w:r>
        <w:rPr>
          <w:spacing w:val="-89"/>
          <w:position w:val="1"/>
        </w:rPr>
        <w:t xml:space="preserve"> </w:t>
      </w:r>
      <w:r>
        <w:rPr>
          <w:spacing w:val="2"/>
          <w:position w:val="1"/>
        </w:rPr>
        <w:t>33.87</w:t>
      </w:r>
      <w:r>
        <w:rPr>
          <w:spacing w:val="11"/>
          <w:w w:val="99"/>
        </w:rPr>
        <w:drawing>
          <wp:inline distT="0" distB="0" distL="0" distR="0">
            <wp:extent cx="85090" cy="15494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position w:val="1"/>
        </w:rPr>
        <w:t>，增长原因是专用设备维护费纳入预算。</w:t>
      </w:r>
    </w:p>
    <w:p>
      <w:pPr>
        <w:pStyle w:val="3"/>
        <w:spacing w:before="222"/>
        <w:ind w:left="1280"/>
      </w:pPr>
      <w:r>
        <w:rPr>
          <w:spacing w:val="5"/>
        </w:rPr>
        <w:t>对</w:t>
      </w:r>
      <w:r>
        <w:t>个</w:t>
      </w:r>
      <w:r>
        <w:rPr>
          <w:spacing w:val="5"/>
        </w:rPr>
        <w:t>人家</w:t>
      </w:r>
      <w:r>
        <w:t>庭</w:t>
      </w:r>
      <w:r>
        <w:rPr>
          <w:spacing w:val="5"/>
        </w:rPr>
        <w:t>补</w:t>
      </w:r>
      <w:r>
        <w:t>助</w:t>
      </w:r>
      <w:r>
        <w:rPr>
          <w:spacing w:val="2"/>
        </w:rPr>
        <w:t>363180</w:t>
      </w:r>
      <w:r>
        <w:rPr>
          <w:spacing w:val="5"/>
        </w:rPr>
        <w:t>元</w:t>
      </w:r>
      <w:r>
        <w:t>，</w:t>
      </w:r>
      <w:r>
        <w:rPr>
          <w:spacing w:val="5"/>
        </w:rPr>
        <w:t>全部</w:t>
      </w:r>
      <w:r>
        <w:t>为</w:t>
      </w:r>
      <w:r>
        <w:rPr>
          <w:spacing w:val="5"/>
        </w:rPr>
        <w:t>人员经</w:t>
      </w:r>
      <w:r>
        <w:t>费</w:t>
      </w:r>
      <w:r>
        <w:rPr>
          <w:spacing w:val="5"/>
        </w:rPr>
        <w:t>支出</w:t>
      </w:r>
      <w:r>
        <w:t>，</w:t>
      </w:r>
      <w:r>
        <w:rPr>
          <w:spacing w:val="5"/>
        </w:rPr>
        <w:t>较上</w:t>
      </w:r>
      <w:r>
        <w:t>年</w:t>
      </w:r>
      <w:r>
        <w:rPr>
          <w:spacing w:val="5"/>
        </w:rPr>
        <w:t>下</w:t>
      </w:r>
      <w:r>
        <w:t>降</w:t>
      </w:r>
      <w:r>
        <w:rPr>
          <w:spacing w:val="-86"/>
        </w:rPr>
        <w:t xml:space="preserve"> </w:t>
      </w:r>
      <w:r>
        <w:rPr>
          <w:spacing w:val="2"/>
        </w:rPr>
        <w:t>35.06</w:t>
      </w:r>
      <w:r>
        <w:rPr>
          <w:spacing w:val="11"/>
          <w:w w:val="99"/>
        </w:rPr>
        <w:drawing>
          <wp:inline distT="0" distB="0" distL="0" distR="0">
            <wp:extent cx="85090" cy="154940"/>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5"/>
        </w:rPr>
        <w:t>。</w:t>
      </w:r>
      <w:r>
        <w:t>原</w:t>
      </w:r>
      <w:r>
        <w:rPr>
          <w:spacing w:val="5"/>
        </w:rPr>
        <w:t>因主</w:t>
      </w:r>
      <w:r>
        <w:t>要</w:t>
      </w:r>
      <w:r>
        <w:rPr>
          <w:spacing w:val="5"/>
        </w:rPr>
        <w:t>是将单</w:t>
      </w:r>
      <w:r>
        <w:t>位负</w:t>
      </w:r>
    </w:p>
    <w:p>
      <w:pPr>
        <w:pStyle w:val="3"/>
        <w:rPr>
          <w:sz w:val="20"/>
        </w:rPr>
      </w:pPr>
    </w:p>
    <w:p>
      <w:pPr>
        <w:pStyle w:val="3"/>
        <w:spacing w:before="3"/>
        <w:rPr>
          <w:sz w:val="26"/>
        </w:rPr>
      </w:pPr>
    </w:p>
    <w:p>
      <w:pPr>
        <w:spacing w:before="92"/>
        <w:ind w:left="3520" w:right="3500" w:firstLine="0"/>
        <w:jc w:val="center"/>
        <w:rPr>
          <w:rFonts w:ascii="Times New Roman"/>
          <w:sz w:val="18"/>
        </w:rPr>
        <w:sectPr>
          <w:pgSz w:w="16840" w:h="11910" w:orient="landscape"/>
          <w:pgMar w:top="1100" w:right="821" w:bottom="280" w:left="800" w:header="720" w:footer="720" w:gutter="0"/>
        </w:sectPr>
      </w:pPr>
    </w:p>
    <w:p>
      <w:pPr>
        <w:pStyle w:val="3"/>
        <w:spacing w:before="6"/>
        <w:rPr>
          <w:rFonts w:ascii="Times New Roman"/>
          <w:sz w:val="29"/>
        </w:rPr>
      </w:pPr>
    </w:p>
    <w:p>
      <w:pPr>
        <w:pStyle w:val="3"/>
        <w:spacing w:before="54"/>
        <w:ind w:left="640"/>
      </w:pPr>
      <w:r>
        <w:t>担的住房公积金从对个人家庭补助支出调入工资福利支出。</w:t>
      </w:r>
    </w:p>
    <w:p>
      <w:pPr>
        <w:pStyle w:val="3"/>
        <w:spacing w:before="212"/>
        <w:ind w:left="1266"/>
      </w:pPr>
      <w:r>
        <w:drawing>
          <wp:anchor distT="0" distB="0" distL="0" distR="0" simplePos="0" relativeHeight="242521088" behindDoc="1" locked="0" layoutInCell="1" allowOverlap="1">
            <wp:simplePos x="0" y="0"/>
            <wp:positionH relativeFrom="page">
              <wp:posOffset>4668520</wp:posOffset>
            </wp:positionH>
            <wp:positionV relativeFrom="paragraph">
              <wp:posOffset>185420</wp:posOffset>
            </wp:positionV>
            <wp:extent cx="85725" cy="15557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anchor>
        </w:drawing>
      </w:r>
      <w:r>
        <w:t>项目支出345000元，较上年增长40.82 。原因主要为本年新增建设项目。</w:t>
      </w:r>
    </w:p>
    <w:p>
      <w:pPr>
        <w:pStyle w:val="3"/>
        <w:rPr>
          <w:sz w:val="20"/>
        </w:rPr>
      </w:pPr>
    </w:p>
    <w:p>
      <w:pPr>
        <w:pStyle w:val="3"/>
        <w:rPr>
          <w:sz w:val="20"/>
        </w:rPr>
      </w:pPr>
    </w:p>
    <w:p>
      <w:pPr>
        <w:pStyle w:val="3"/>
        <w:rPr>
          <w:sz w:val="20"/>
        </w:rPr>
      </w:pPr>
    </w:p>
    <w:p>
      <w:pPr>
        <w:pStyle w:val="3"/>
        <w:spacing w:before="3"/>
        <w:rPr>
          <w:sz w:val="23"/>
        </w:rPr>
      </w:pPr>
      <w:r>
        <w:drawing>
          <wp:anchor distT="0" distB="0" distL="0" distR="0" simplePos="0" relativeHeight="1024" behindDoc="0" locked="0" layoutInCell="1" allowOverlap="1">
            <wp:simplePos x="0" y="0"/>
            <wp:positionH relativeFrom="page">
              <wp:posOffset>2137410</wp:posOffset>
            </wp:positionH>
            <wp:positionV relativeFrom="paragraph">
              <wp:posOffset>213995</wp:posOffset>
            </wp:positionV>
            <wp:extent cx="5041265" cy="1998345"/>
            <wp:effectExtent l="0" t="0" r="0" b="0"/>
            <wp:wrapTopAndBottom/>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a:picLocks noChangeAspect="1"/>
                    </pic:cNvPicPr>
                  </pic:nvPicPr>
                  <pic:blipFill>
                    <a:blip r:embed="rId8" cstate="print"/>
                    <a:stretch>
                      <a:fillRect/>
                    </a:stretch>
                  </pic:blipFill>
                  <pic:spPr>
                    <a:xfrm>
                      <a:off x="0" y="0"/>
                      <a:ext cx="5041231" cy="1998249"/>
                    </a:xfrm>
                    <a:prstGeom prst="rect">
                      <a:avLst/>
                    </a:prstGeom>
                  </pic:spPr>
                </pic:pic>
              </a:graphicData>
            </a:graphic>
          </wp:anchor>
        </w:drawing>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spacing w:before="93"/>
        <w:ind w:left="3520" w:right="3500" w:firstLine="0"/>
        <w:jc w:val="center"/>
        <w:rPr>
          <w:rFonts w:ascii="Times New Roman"/>
          <w:sz w:val="18"/>
        </w:rPr>
        <w:sectPr>
          <w:pgSz w:w="16840" w:h="11910" w:orient="landscape"/>
          <w:pgMar w:top="1100" w:right="821" w:bottom="280" w:left="800" w:header="720" w:footer="720" w:gutter="0"/>
        </w:sectPr>
      </w:pPr>
    </w:p>
    <w:p>
      <w:pPr>
        <w:pStyle w:val="3"/>
        <w:spacing w:before="31"/>
        <w:ind w:left="1293"/>
      </w:pPr>
      <w:r>
        <w:t>（四）政府性基金预算支出情况</w:t>
      </w:r>
    </w:p>
    <w:p>
      <w:pPr>
        <w:pStyle w:val="3"/>
        <w:spacing w:before="211"/>
        <w:ind w:left="1278"/>
      </w:pPr>
      <w:r>
        <w:t>2018 年本单位没有使用政府性基金预算拨款安排的支出，并已公开空表。</w:t>
      </w:r>
    </w:p>
    <w:p>
      <w:pPr>
        <w:pStyle w:val="3"/>
        <w:spacing w:before="3"/>
        <w:rPr>
          <w:sz w:val="38"/>
        </w:rPr>
      </w:pPr>
    </w:p>
    <w:p>
      <w:pPr>
        <w:pStyle w:val="3"/>
        <w:spacing w:line="364" w:lineRule="auto"/>
        <w:ind w:left="1264" w:right="8498" w:firstLine="172"/>
      </w:pPr>
      <w:r>
        <w:t>(五）</w:t>
      </w:r>
      <w:r>
        <w:rPr>
          <w:spacing w:val="-1"/>
        </w:rPr>
        <w:t>国有资本经营预算拨款收支情况</w:t>
      </w:r>
      <w:r>
        <w:rPr>
          <w:w w:val="95"/>
        </w:rPr>
        <w:t>本单位无国有资本经营预算拨款收支。</w:t>
      </w:r>
    </w:p>
    <w:p>
      <w:pPr>
        <w:pStyle w:val="3"/>
        <w:spacing w:before="190"/>
        <w:ind w:left="1278"/>
      </w:pPr>
      <w:r>
        <w:rPr>
          <w:w w:val="95"/>
        </w:rPr>
        <w:t>（六）部门“三公”经费等预算情况。</w:t>
      </w:r>
    </w:p>
    <w:p>
      <w:pPr>
        <w:pStyle w:val="3"/>
        <w:spacing w:before="6"/>
        <w:rPr>
          <w:sz w:val="34"/>
        </w:rPr>
      </w:pPr>
    </w:p>
    <w:p>
      <w:pPr>
        <w:pStyle w:val="3"/>
        <w:ind w:left="1342"/>
      </w:pPr>
      <w:r>
        <w:t>2018</w:t>
      </w:r>
      <w:r>
        <w:rPr>
          <w:spacing w:val="-6"/>
        </w:rPr>
        <w:t xml:space="preserve"> </w:t>
      </w:r>
      <w:r>
        <w:rPr>
          <w:spacing w:val="-48"/>
        </w:rPr>
        <w:t>年</w:t>
      </w:r>
      <w:r>
        <w:t>“三公</w:t>
      </w:r>
      <w:r>
        <w:rPr>
          <w:spacing w:val="-46"/>
        </w:rPr>
        <w:t>”</w:t>
      </w:r>
      <w:r>
        <w:t>经费预算22400元</w:t>
      </w:r>
      <w:r>
        <w:rPr>
          <w:spacing w:val="-46"/>
        </w:rPr>
        <w:t>。</w:t>
      </w:r>
      <w:r>
        <w:t>其中:公务用车运行维护费20000元</w:t>
      </w:r>
      <w:r>
        <w:rPr>
          <w:spacing w:val="-46"/>
        </w:rPr>
        <w:t>，</w:t>
      </w:r>
      <w:r>
        <w:t>较上年下降</w:t>
      </w:r>
      <w:r>
        <w:rPr>
          <w:spacing w:val="-83"/>
        </w:rPr>
        <w:t xml:space="preserve"> </w:t>
      </w:r>
      <w:r>
        <w:rPr>
          <w:spacing w:val="2"/>
        </w:rPr>
        <w:t>6.98</w:t>
      </w:r>
      <w:r>
        <w:rPr>
          <w:spacing w:val="11"/>
          <w:w w:val="99"/>
        </w:rPr>
        <w:drawing>
          <wp:inline distT="0" distB="0" distL="0" distR="0">
            <wp:extent cx="85090" cy="15494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t>，原</w:t>
      </w:r>
    </w:p>
    <w:p>
      <w:pPr>
        <w:pStyle w:val="3"/>
        <w:spacing w:before="214" w:line="360" w:lineRule="auto"/>
        <w:ind w:left="716" w:right="381"/>
      </w:pPr>
      <w:r>
        <w:t>因为按照公车改革要求</w:t>
      </w:r>
      <w:r>
        <w:rPr>
          <w:spacing w:val="-10"/>
        </w:rPr>
        <w:t>，</w:t>
      </w:r>
      <w:r>
        <w:t>预算核减公务用车运行</w:t>
      </w:r>
      <w:r>
        <w:rPr>
          <w:spacing w:val="-3"/>
        </w:rPr>
        <w:t>费</w:t>
      </w:r>
      <w:r>
        <w:rPr>
          <w:spacing w:val="-7"/>
        </w:rPr>
        <w:t>；</w:t>
      </w:r>
      <w:r>
        <w:t>公务接待费2400元</w:t>
      </w:r>
      <w:r>
        <w:rPr>
          <w:spacing w:val="-10"/>
        </w:rPr>
        <w:t>，</w:t>
      </w:r>
      <w:r>
        <w:t>较上年下降</w:t>
      </w:r>
      <w:r>
        <w:rPr>
          <w:spacing w:val="-97"/>
        </w:rPr>
        <w:t xml:space="preserve"> </w:t>
      </w:r>
      <w:r>
        <w:rPr>
          <w:spacing w:val="11"/>
        </w:rPr>
        <w:t>5</w:t>
      </w:r>
      <w:r>
        <w:rPr>
          <w:spacing w:val="11"/>
          <w:w w:val="99"/>
        </w:rPr>
        <w:drawing>
          <wp:inline distT="0" distB="0" distL="0" distR="0">
            <wp:extent cx="85090" cy="154940"/>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10"/>
        </w:rPr>
        <w:t>，</w:t>
      </w:r>
      <w:r>
        <w:t>原因为贯彻落实中央八项规定，公务接待数量减少。</w:t>
      </w:r>
    </w:p>
    <w:p>
      <w:pPr>
        <w:pStyle w:val="3"/>
        <w:spacing w:before="167"/>
        <w:ind w:left="1278"/>
      </w:pPr>
      <w:r>
        <w:t>（七）机关运行经费安排情况</w:t>
      </w:r>
    </w:p>
    <w:p>
      <w:pPr>
        <w:pStyle w:val="3"/>
        <w:spacing w:before="2"/>
        <w:rPr>
          <w:sz w:val="38"/>
        </w:rPr>
      </w:pPr>
    </w:p>
    <w:p>
      <w:pPr>
        <w:pStyle w:val="3"/>
        <w:spacing w:before="1" w:line="364" w:lineRule="auto"/>
        <w:ind w:left="654" w:right="814" w:firstLine="626"/>
      </w:pPr>
      <w:r>
        <w:t>2018 年本单位机关运行经费财政拨款预算218200元，比 2017 年预算增加55200元，增加原因为物价上涨，业务量增大，所需办公费、印刷费、邮电费、差旅费相应增加。</w:t>
      </w:r>
    </w:p>
    <w:p>
      <w:pPr>
        <w:pStyle w:val="3"/>
        <w:spacing w:before="239"/>
        <w:ind w:left="1278"/>
      </w:pPr>
      <w:r>
        <w:t>（八）政府采购情况</w:t>
      </w:r>
    </w:p>
    <w:p>
      <w:pPr>
        <w:pStyle w:val="3"/>
        <w:rPr>
          <w:sz w:val="20"/>
        </w:rPr>
      </w:pPr>
    </w:p>
    <w:p>
      <w:pPr>
        <w:pStyle w:val="3"/>
        <w:rPr>
          <w:sz w:val="20"/>
        </w:rPr>
      </w:pPr>
    </w:p>
    <w:p>
      <w:pPr>
        <w:pStyle w:val="3"/>
        <w:rPr>
          <w:sz w:val="20"/>
        </w:rPr>
      </w:pPr>
    </w:p>
    <w:p>
      <w:pPr>
        <w:pStyle w:val="3"/>
        <w:spacing w:before="10"/>
        <w:rPr>
          <w:sz w:val="29"/>
        </w:rPr>
      </w:pPr>
    </w:p>
    <w:p>
      <w:pPr>
        <w:spacing w:before="92"/>
        <w:ind w:left="3520" w:right="3500" w:firstLine="0"/>
        <w:jc w:val="center"/>
        <w:rPr>
          <w:rFonts w:ascii="Times New Roman"/>
          <w:sz w:val="18"/>
        </w:rPr>
        <w:sectPr>
          <w:pgSz w:w="16840" w:h="11910" w:orient="landscape"/>
          <w:pgMar w:top="800" w:right="821" w:bottom="280" w:left="800" w:header="720" w:footer="720" w:gutter="0"/>
        </w:sectPr>
      </w:pPr>
    </w:p>
    <w:p>
      <w:pPr>
        <w:pStyle w:val="3"/>
        <w:spacing w:before="6"/>
        <w:rPr>
          <w:rFonts w:ascii="Times New Roman"/>
          <w:sz w:val="29"/>
        </w:rPr>
      </w:pPr>
    </w:p>
    <w:p>
      <w:pPr>
        <w:pStyle w:val="3"/>
        <w:spacing w:before="54" w:line="364" w:lineRule="auto"/>
        <w:ind w:left="1266" w:right="4993"/>
        <w:rPr>
          <w:b/>
          <w:sz w:val="29"/>
        </w:rPr>
      </w:pPr>
      <w:r>
        <w:t>2018 年本单位政府采购预算70500元，全部为政府采购货物类。</w:t>
      </w:r>
      <w:r>
        <w:rPr>
          <w:b/>
        </w:rPr>
        <w:t>八、专业名词解释</w:t>
      </w:r>
    </w:p>
    <w:p>
      <w:pPr>
        <w:pStyle w:val="3"/>
        <w:spacing w:line="364" w:lineRule="auto"/>
        <w:ind w:left="640" w:right="458" w:firstLine="480"/>
      </w:pPr>
      <w:r>
        <w:t>（一）“三公”经费：是指用财政拨款安排的因公出国（境）费、公务用车购置及运行费和公务</w:t>
      </w:r>
      <w:r>
        <w:rPr>
          <w:spacing w:val="-12"/>
          <w:w w:val="95"/>
        </w:rPr>
        <w:t>接待费。其中，因公出国</w:t>
      </w:r>
      <w:r>
        <w:rPr>
          <w:w w:val="95"/>
        </w:rPr>
        <w:t>（境</w:t>
      </w:r>
      <w:r>
        <w:rPr>
          <w:spacing w:val="-34"/>
          <w:w w:val="95"/>
        </w:rPr>
        <w:t>）</w:t>
      </w:r>
      <w:r>
        <w:rPr>
          <w:spacing w:val="-4"/>
          <w:w w:val="95"/>
        </w:rPr>
        <w:t>费反映单位公务出国</w:t>
      </w:r>
      <w:r>
        <w:rPr>
          <w:w w:val="95"/>
        </w:rPr>
        <w:t>（境</w:t>
      </w:r>
      <w:r>
        <w:rPr>
          <w:spacing w:val="-36"/>
          <w:w w:val="95"/>
        </w:rPr>
        <w:t>）</w:t>
      </w:r>
      <w:r>
        <w:rPr>
          <w:spacing w:val="-8"/>
          <w:w w:val="95"/>
        </w:rPr>
        <w:t xml:space="preserve">的国际旅费、国外城市间交通费、住宿费、   </w:t>
      </w:r>
      <w:r>
        <w:rPr>
          <w:spacing w:val="-13"/>
        </w:rPr>
        <w:t>伙食费、培训费、公杂费等支出；公务用车购置及运行费反映单位公务用车车辆购置支出</w:t>
      </w:r>
      <w:r>
        <w:t>（含车辆购置税</w:t>
      </w:r>
      <w:r>
        <w:rPr>
          <w:spacing w:val="-19"/>
        </w:rPr>
        <w:t>）</w:t>
      </w:r>
      <w:r>
        <w:rPr>
          <w:spacing w:val="-10"/>
        </w:rPr>
        <w:t>及租用费、燃料费、维修费、过路过桥费、保险费、安全奖励费用等支出；公务接待费反映单位按规定开支的各类公务接待支出。</w:t>
      </w:r>
    </w:p>
    <w:p>
      <w:pPr>
        <w:pStyle w:val="3"/>
        <w:spacing w:before="10"/>
        <w:rPr>
          <w:sz w:val="9"/>
        </w:rPr>
      </w:pPr>
    </w:p>
    <w:p>
      <w:pPr>
        <w:pStyle w:val="3"/>
        <w:numPr>
          <w:ilvl w:val="0"/>
          <w:numId w:val="3"/>
        </w:numPr>
        <w:spacing w:before="54" w:line="364" w:lineRule="auto"/>
        <w:ind w:left="640" w:right="613" w:firstLine="626"/>
        <w:jc w:val="both"/>
        <w:rPr>
          <w:spacing w:val="-11"/>
        </w:rPr>
      </w:pPr>
      <w:r>
        <w:rPr>
          <w:spacing w:val="-7"/>
          <w:w w:val="95"/>
        </w:rPr>
        <w:t xml:space="preserve">机关运行经费：是指各部门的公用经费包括办公及印刷费、邮电费、差旅费、会议费、福   </w:t>
      </w:r>
      <w:r>
        <w:rPr>
          <w:spacing w:val="-11"/>
          <w:w w:val="95"/>
        </w:rPr>
        <w:t xml:space="preserve">利费、日常维修费、专用材料及一般设备购置费、办公用房水电费、办公用房取暖费、办公用房物业   </w:t>
      </w:r>
      <w:r>
        <w:rPr>
          <w:spacing w:val="-11"/>
        </w:rPr>
        <w:t>管理费、公务用车运行维护费以及其他费用。</w:t>
      </w:r>
    </w:p>
    <w:p>
      <w:pPr>
        <w:pStyle w:val="3"/>
        <w:numPr>
          <w:numId w:val="0"/>
        </w:numPr>
        <w:spacing w:before="54" w:line="364" w:lineRule="auto"/>
        <w:ind w:left="1266" w:leftChars="0" w:right="613" w:rightChars="0"/>
        <w:jc w:val="both"/>
        <w:rPr>
          <w:spacing w:val="-11"/>
        </w:rPr>
      </w:pPr>
    </w:p>
    <w:p>
      <w:pPr>
        <w:pStyle w:val="3"/>
        <w:keepNext w:val="0"/>
        <w:keepLines w:val="0"/>
        <w:pageBreakBefore w:val="0"/>
        <w:widowControl w:val="0"/>
        <w:kinsoku/>
        <w:wordWrap/>
        <w:overflowPunct/>
        <w:topLinePunct w:val="0"/>
        <w:autoSpaceDE w:val="0"/>
        <w:autoSpaceDN w:val="0"/>
        <w:bidi w:val="0"/>
        <w:adjustRightInd/>
        <w:snapToGrid/>
        <w:ind w:firstLine="640" w:firstLineChars="200"/>
        <w:textAlignment w:val="auto"/>
        <w:rPr>
          <w:w w:val="95"/>
        </w:rPr>
      </w:pPr>
      <w:r>
        <w:rPr>
          <w:rFonts w:hint="eastAsia"/>
          <w:lang w:eastAsia="zh-CN"/>
        </w:rPr>
        <w:t>附件：</w:t>
      </w:r>
      <w:r>
        <w:rPr>
          <w:rFonts w:hint="eastAsia"/>
          <w:lang w:eastAsia="zh-CN"/>
        </w:rPr>
        <w:fldChar w:fldCharType="begin"/>
      </w:r>
      <w:r>
        <w:rPr>
          <w:rFonts w:hint="eastAsia"/>
          <w:lang w:eastAsia="zh-CN"/>
        </w:rPr>
        <w:instrText xml:space="preserve"> HYPERLINK "太白县王家堎镇2018年部门预算附表.XLS" </w:instrText>
      </w:r>
      <w:r>
        <w:rPr>
          <w:rFonts w:hint="eastAsia"/>
          <w:lang w:eastAsia="zh-CN"/>
        </w:rPr>
        <w:fldChar w:fldCharType="separate"/>
      </w:r>
      <w:r>
        <w:rPr>
          <w:rStyle w:val="8"/>
          <w:rFonts w:hint="eastAsia"/>
          <w:lang w:eastAsia="zh-CN"/>
        </w:rPr>
        <w:t>太白县王家堎镇2018年部门预算附表.XLS</w:t>
      </w:r>
      <w:r>
        <w:rPr>
          <w:rFonts w:hint="eastAsia"/>
          <w:lang w:eastAsia="zh-CN"/>
        </w:rPr>
        <w:fldChar w:fldCharType="end"/>
      </w:r>
      <w:bookmarkStart w:id="0" w:name="_GoBack"/>
      <w:bookmarkEnd w:id="0"/>
    </w:p>
    <w:p>
      <w:pPr>
        <w:pStyle w:val="3"/>
        <w:spacing w:before="274" w:line="326" w:lineRule="auto"/>
        <w:ind w:right="1953"/>
        <w:jc w:val="right"/>
        <w:rPr>
          <w:spacing w:val="-4"/>
          <w:w w:val="95"/>
        </w:rPr>
      </w:pPr>
      <w:r>
        <w:rPr>
          <w:rFonts w:hint="eastAsia"/>
          <w:w w:val="95"/>
          <w:lang w:eastAsia="zh-CN"/>
        </w:rPr>
        <w:t>太白县</w:t>
      </w:r>
      <w:r>
        <w:rPr>
          <w:w w:val="95"/>
        </w:rPr>
        <w:t>王家</w:t>
      </w:r>
      <w:r>
        <w:rPr>
          <w:rFonts w:hint="eastAsia" w:ascii="宋体" w:eastAsia="宋体"/>
          <w:w w:val="95"/>
        </w:rPr>
        <w:t>堎</w:t>
      </w:r>
      <w:r>
        <w:rPr>
          <w:spacing w:val="-4"/>
          <w:w w:val="95"/>
        </w:rPr>
        <w:t>镇人民政府</w:t>
      </w:r>
    </w:p>
    <w:p>
      <w:pPr>
        <w:pStyle w:val="3"/>
        <w:spacing w:before="274" w:line="326" w:lineRule="auto"/>
        <w:ind w:right="1953"/>
        <w:jc w:val="center"/>
      </w:pPr>
      <w:r>
        <w:rPr>
          <w:rFonts w:hint="eastAsia"/>
          <w:lang w:val="en-US" w:eastAsia="zh-CN"/>
        </w:rPr>
        <w:t xml:space="preserve">                                                              </w:t>
      </w:r>
      <w:r>
        <w:t>2018</w:t>
      </w:r>
      <w:r>
        <w:rPr>
          <w:spacing w:val="-55"/>
        </w:rPr>
        <w:t xml:space="preserve"> 年 </w:t>
      </w:r>
      <w:r>
        <w:t>2</w:t>
      </w:r>
      <w:r>
        <w:rPr>
          <w:spacing w:val="-54"/>
        </w:rPr>
        <w:t xml:space="preserve"> 月 </w:t>
      </w:r>
      <w:r>
        <w:t>26</w:t>
      </w:r>
      <w:r>
        <w:rPr>
          <w:spacing w:val="-41"/>
        </w:rPr>
        <w:t xml:space="preserve"> 日</w:t>
      </w:r>
    </w:p>
    <w:sectPr>
      <w:type w:val="continuous"/>
      <w:pgSz w:w="16840" w:h="11910" w:orient="landscape"/>
      <w:pgMar w:top="1100" w:right="820" w:bottom="280" w:left="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73D6E"/>
    <w:multiLevelType w:val="singleLevel"/>
    <w:tmpl w:val="C1473D6E"/>
    <w:lvl w:ilvl="0" w:tentative="0">
      <w:start w:val="2"/>
      <w:numFmt w:val="chineseCounting"/>
      <w:suff w:val="nothing"/>
      <w:lvlText w:val="（%1）"/>
      <w:lvlJc w:val="left"/>
      <w:rPr>
        <w:rFonts w:hint="eastAsia"/>
      </w:rPr>
    </w:lvl>
  </w:abstractNum>
  <w:abstractNum w:abstractNumId="1">
    <w:nsid w:val="CF092B84"/>
    <w:multiLevelType w:val="multilevel"/>
    <w:tmpl w:val="CF092B84"/>
    <w:lvl w:ilvl="0" w:tentative="0">
      <w:start w:val="12"/>
      <w:numFmt w:val="decimal"/>
      <w:lvlText w:val="（%1）"/>
      <w:lvlJc w:val="left"/>
      <w:pPr>
        <w:ind w:left="2239" w:hanging="959"/>
        <w:jc w:val="left"/>
      </w:pPr>
      <w:rPr>
        <w:rFonts w:hint="default" w:ascii="仿宋_GB2312" w:hAnsi="仿宋_GB2312" w:eastAsia="仿宋_GB2312" w:cs="仿宋_GB2312"/>
        <w:spacing w:val="-2"/>
        <w:w w:val="99"/>
        <w:position w:val="1"/>
        <w:sz w:val="30"/>
        <w:szCs w:val="30"/>
        <w:lang w:val="zh-CN" w:eastAsia="zh-CN" w:bidi="zh-CN"/>
      </w:rPr>
    </w:lvl>
    <w:lvl w:ilvl="1" w:tentative="0">
      <w:start w:val="0"/>
      <w:numFmt w:val="bullet"/>
      <w:lvlText w:val="•"/>
      <w:lvlJc w:val="left"/>
      <w:pPr>
        <w:ind w:left="3537" w:hanging="959"/>
      </w:pPr>
      <w:rPr>
        <w:rFonts w:hint="default"/>
        <w:lang w:val="zh-CN" w:eastAsia="zh-CN" w:bidi="zh-CN"/>
      </w:rPr>
    </w:lvl>
    <w:lvl w:ilvl="2" w:tentative="0">
      <w:start w:val="0"/>
      <w:numFmt w:val="bullet"/>
      <w:lvlText w:val="•"/>
      <w:lvlJc w:val="left"/>
      <w:pPr>
        <w:ind w:left="4835" w:hanging="959"/>
      </w:pPr>
      <w:rPr>
        <w:rFonts w:hint="default"/>
        <w:lang w:val="zh-CN" w:eastAsia="zh-CN" w:bidi="zh-CN"/>
      </w:rPr>
    </w:lvl>
    <w:lvl w:ilvl="3" w:tentative="0">
      <w:start w:val="0"/>
      <w:numFmt w:val="bullet"/>
      <w:lvlText w:val="•"/>
      <w:lvlJc w:val="left"/>
      <w:pPr>
        <w:ind w:left="6133" w:hanging="959"/>
      </w:pPr>
      <w:rPr>
        <w:rFonts w:hint="default"/>
        <w:lang w:val="zh-CN" w:eastAsia="zh-CN" w:bidi="zh-CN"/>
      </w:rPr>
    </w:lvl>
    <w:lvl w:ilvl="4" w:tentative="0">
      <w:start w:val="0"/>
      <w:numFmt w:val="bullet"/>
      <w:lvlText w:val="•"/>
      <w:lvlJc w:val="left"/>
      <w:pPr>
        <w:ind w:left="7430" w:hanging="959"/>
      </w:pPr>
      <w:rPr>
        <w:rFonts w:hint="default"/>
        <w:lang w:val="zh-CN" w:eastAsia="zh-CN" w:bidi="zh-CN"/>
      </w:rPr>
    </w:lvl>
    <w:lvl w:ilvl="5" w:tentative="0">
      <w:start w:val="0"/>
      <w:numFmt w:val="bullet"/>
      <w:lvlText w:val="•"/>
      <w:lvlJc w:val="left"/>
      <w:pPr>
        <w:ind w:left="8728" w:hanging="959"/>
      </w:pPr>
      <w:rPr>
        <w:rFonts w:hint="default"/>
        <w:lang w:val="zh-CN" w:eastAsia="zh-CN" w:bidi="zh-CN"/>
      </w:rPr>
    </w:lvl>
    <w:lvl w:ilvl="6" w:tentative="0">
      <w:start w:val="0"/>
      <w:numFmt w:val="bullet"/>
      <w:lvlText w:val="•"/>
      <w:lvlJc w:val="left"/>
      <w:pPr>
        <w:ind w:left="10026" w:hanging="959"/>
      </w:pPr>
      <w:rPr>
        <w:rFonts w:hint="default"/>
        <w:lang w:val="zh-CN" w:eastAsia="zh-CN" w:bidi="zh-CN"/>
      </w:rPr>
    </w:lvl>
    <w:lvl w:ilvl="7" w:tentative="0">
      <w:start w:val="0"/>
      <w:numFmt w:val="bullet"/>
      <w:lvlText w:val="•"/>
      <w:lvlJc w:val="left"/>
      <w:pPr>
        <w:ind w:left="11323" w:hanging="959"/>
      </w:pPr>
      <w:rPr>
        <w:rFonts w:hint="default"/>
        <w:lang w:val="zh-CN" w:eastAsia="zh-CN" w:bidi="zh-CN"/>
      </w:rPr>
    </w:lvl>
    <w:lvl w:ilvl="8" w:tentative="0">
      <w:start w:val="0"/>
      <w:numFmt w:val="bullet"/>
      <w:lvlText w:val="•"/>
      <w:lvlJc w:val="left"/>
      <w:pPr>
        <w:ind w:left="12621" w:hanging="959"/>
      </w:pPr>
      <w:rPr>
        <w:rFonts w:hint="default"/>
        <w:lang w:val="zh-CN" w:eastAsia="zh-CN" w:bidi="zh-CN"/>
      </w:rPr>
    </w:lvl>
  </w:abstractNum>
  <w:abstractNum w:abstractNumId="2">
    <w:nsid w:val="0053208E"/>
    <w:multiLevelType w:val="multilevel"/>
    <w:tmpl w:val="0053208E"/>
    <w:lvl w:ilvl="0" w:tentative="0">
      <w:start w:val="4"/>
      <w:numFmt w:val="decimal"/>
      <w:lvlText w:val="（%1）"/>
      <w:lvlJc w:val="left"/>
      <w:pPr>
        <w:ind w:left="2200" w:hanging="920"/>
        <w:jc w:val="left"/>
      </w:pPr>
      <w:rPr>
        <w:rFonts w:hint="default" w:ascii="仿宋_GB2312" w:hAnsi="仿宋_GB2312" w:eastAsia="仿宋_GB2312" w:cs="仿宋_GB2312"/>
        <w:spacing w:val="0"/>
        <w:w w:val="99"/>
        <w:sz w:val="32"/>
        <w:szCs w:val="32"/>
        <w:lang w:val="zh-CN" w:eastAsia="zh-CN" w:bidi="zh-CN"/>
      </w:rPr>
    </w:lvl>
    <w:lvl w:ilvl="1" w:tentative="0">
      <w:start w:val="0"/>
      <w:numFmt w:val="bullet"/>
      <w:lvlText w:val="•"/>
      <w:lvlJc w:val="left"/>
      <w:pPr>
        <w:ind w:left="3501" w:hanging="920"/>
      </w:pPr>
      <w:rPr>
        <w:rFonts w:hint="default"/>
        <w:lang w:val="zh-CN" w:eastAsia="zh-CN" w:bidi="zh-CN"/>
      </w:rPr>
    </w:lvl>
    <w:lvl w:ilvl="2" w:tentative="0">
      <w:start w:val="0"/>
      <w:numFmt w:val="bullet"/>
      <w:lvlText w:val="•"/>
      <w:lvlJc w:val="left"/>
      <w:pPr>
        <w:ind w:left="4803" w:hanging="920"/>
      </w:pPr>
      <w:rPr>
        <w:rFonts w:hint="default"/>
        <w:lang w:val="zh-CN" w:eastAsia="zh-CN" w:bidi="zh-CN"/>
      </w:rPr>
    </w:lvl>
    <w:lvl w:ilvl="3" w:tentative="0">
      <w:start w:val="0"/>
      <w:numFmt w:val="bullet"/>
      <w:lvlText w:val="•"/>
      <w:lvlJc w:val="left"/>
      <w:pPr>
        <w:ind w:left="6105" w:hanging="920"/>
      </w:pPr>
      <w:rPr>
        <w:rFonts w:hint="default"/>
        <w:lang w:val="zh-CN" w:eastAsia="zh-CN" w:bidi="zh-CN"/>
      </w:rPr>
    </w:lvl>
    <w:lvl w:ilvl="4" w:tentative="0">
      <w:start w:val="0"/>
      <w:numFmt w:val="bullet"/>
      <w:lvlText w:val="•"/>
      <w:lvlJc w:val="left"/>
      <w:pPr>
        <w:ind w:left="7406" w:hanging="920"/>
      </w:pPr>
      <w:rPr>
        <w:rFonts w:hint="default"/>
        <w:lang w:val="zh-CN" w:eastAsia="zh-CN" w:bidi="zh-CN"/>
      </w:rPr>
    </w:lvl>
    <w:lvl w:ilvl="5" w:tentative="0">
      <w:start w:val="0"/>
      <w:numFmt w:val="bullet"/>
      <w:lvlText w:val="•"/>
      <w:lvlJc w:val="left"/>
      <w:pPr>
        <w:ind w:left="8708" w:hanging="920"/>
      </w:pPr>
      <w:rPr>
        <w:rFonts w:hint="default"/>
        <w:lang w:val="zh-CN" w:eastAsia="zh-CN" w:bidi="zh-CN"/>
      </w:rPr>
    </w:lvl>
    <w:lvl w:ilvl="6" w:tentative="0">
      <w:start w:val="0"/>
      <w:numFmt w:val="bullet"/>
      <w:lvlText w:val="•"/>
      <w:lvlJc w:val="left"/>
      <w:pPr>
        <w:ind w:left="10010" w:hanging="920"/>
      </w:pPr>
      <w:rPr>
        <w:rFonts w:hint="default"/>
        <w:lang w:val="zh-CN" w:eastAsia="zh-CN" w:bidi="zh-CN"/>
      </w:rPr>
    </w:lvl>
    <w:lvl w:ilvl="7" w:tentative="0">
      <w:start w:val="0"/>
      <w:numFmt w:val="bullet"/>
      <w:lvlText w:val="•"/>
      <w:lvlJc w:val="left"/>
      <w:pPr>
        <w:ind w:left="11311" w:hanging="920"/>
      </w:pPr>
      <w:rPr>
        <w:rFonts w:hint="default"/>
        <w:lang w:val="zh-CN" w:eastAsia="zh-CN" w:bidi="zh-CN"/>
      </w:rPr>
    </w:lvl>
    <w:lvl w:ilvl="8" w:tentative="0">
      <w:start w:val="0"/>
      <w:numFmt w:val="bullet"/>
      <w:lvlText w:val="•"/>
      <w:lvlJc w:val="left"/>
      <w:pPr>
        <w:ind w:left="12613" w:hanging="920"/>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9FA68C0"/>
    <w:rsid w:val="66AE72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80"/>
      <w:outlineLvl w:val="1"/>
    </w:pPr>
    <w:rPr>
      <w:rFonts w:ascii="仿宋_GB2312" w:hAnsi="仿宋_GB2312" w:eastAsia="仿宋_GB2312" w:cs="仿宋_GB2312"/>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640" w:firstLine="640"/>
    </w:pPr>
    <w:rPr>
      <w:rFonts w:ascii="仿宋_GB2312" w:hAnsi="仿宋_GB2312" w:eastAsia="仿宋_GB2312" w:cs="仿宋_GB2312"/>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2023-08-29T07:08:00Z</dcterms:created>
  <dc:creator>贺海宏</dc:creator>
  <cp:lastModifiedBy>琉璃年华</cp:lastModifiedBy>
  <dcterms:modified xsi:type="dcterms:W3CDTF">2023-08-30T03:08:15Z</dcterms:modified>
  <dc:title>模版：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KSOProductBuildVer">
    <vt:lpwstr>2052-11.1.0.9739</vt:lpwstr>
  </property>
</Properties>
</file>