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太白县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咀头镇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算说明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hd w:val="clear" w:color="auto" w:fill="auto"/>
        <w:ind w:firstLine="64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一、部门主要职责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及机构设置</w:t>
      </w:r>
    </w:p>
    <w:p>
      <w:pPr>
        <w:tabs>
          <w:tab w:val="left" w:pos="618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（一）执行法律政策，坚持依法行政。贯彻执行国家法律法规及党和国家的方针政策，贯彻执行上级党组织及本级党代会、人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表大</w:t>
      </w:r>
      <w:r>
        <w:rPr>
          <w:rFonts w:hint="eastAsia" w:ascii="仿宋_GB2312" w:hAnsi="仿宋_GB2312" w:eastAsia="仿宋_GB2312" w:cs="仿宋_GB2312"/>
          <w:sz w:val="32"/>
          <w:szCs w:val="32"/>
        </w:rPr>
        <w:t>会决议，执行上级国家行政机关的决定和命令，发布决定和命令。加强政权建设和党风廉政建设，坚持依法行政，推进民主政治发展。</w:t>
      </w:r>
    </w:p>
    <w:p>
      <w:pPr>
        <w:tabs>
          <w:tab w:val="left" w:pos="618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促进经济发展，增加农民收入。做好镇村发展规划，培育主导产业，推动产业结构调整，提高农业综合生产能力。建立新型农业社会化服务体系，发展农民专业合作组织，提高农产品质量安全水平。稳定和完善农村基本经营制度，探索集体经济有效实现形式，引导农民珍惜土地、增加投入，集约经营。落实强农惠农政策措施，确保农民受益。促进民营经济发展，引导农民多渠道转移就业，增加农民收入，不断提高人民生活水平。</w:t>
      </w:r>
    </w:p>
    <w:p>
      <w:pPr>
        <w:tabs>
          <w:tab w:val="left" w:pos="618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强化公共服务，着力改善民生。落实计划生育基本国策，推进优生优育，稳定农村生育水平。促进农村义务教育发展，推动农村公共卫生体系和基本医疗体系建设，丰富农民群众文化生活，发展农村体育事业，培养社会主义新型农民，做好防灾减灾、五保供养、优抚安置、低保、扶贫救济、养老保险和其他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</w:t>
      </w:r>
      <w:r>
        <w:rPr>
          <w:rFonts w:hint="eastAsia" w:ascii="仿宋_GB2312" w:hAnsi="仿宋_GB2312" w:eastAsia="仿宋_GB2312" w:cs="仿宋_GB2312"/>
          <w:sz w:val="32"/>
          <w:szCs w:val="32"/>
        </w:rPr>
        <w:t>助工作。发展农村老龄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。加强农村残疾预防和残疾人康复工作。组织开展农村基础设施建设、改善农民生产生活条件。做好外出务工人员技能培训的服务工作，促进城乡劳动者平等就业。完善农村公共服务，形成管理有序，服务完善、文明祥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社会生活共同体。</w:t>
      </w:r>
    </w:p>
    <w:p>
      <w:pPr>
        <w:tabs>
          <w:tab w:val="left" w:pos="618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（四）加强社会管理，维护农村稳定。加强民主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教育、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协助县级有关部门做好国土资源、安全生产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监管、劳动监察、环境保护等方面的工作。保证社会公正，维护社会秩序和社会稳定。</w:t>
      </w:r>
    </w:p>
    <w:p>
      <w:pPr>
        <w:tabs>
          <w:tab w:val="left" w:pos="618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推动基层民主，促进农村和谐。加强农村党的基层组织建设、农村基层干部队伍建设、农村党员队伍建设。做好镇人大社群团、国防教育、兵役、民兵等工作。指导村民自治，完善民主议事制度、推进村务公开、财务公开，引导农民有序参与村级事务管理，推动农村社区建设，依法促进社会组织健康发展，增强社会自治功能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（六）完成上级党委、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ind w:firstLine="64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>
      <w:pPr>
        <w:ind w:firstLine="64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二、201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年度部门工作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完成情况</w:t>
      </w:r>
    </w:p>
    <w:p>
      <w:pPr>
        <w:widowControl/>
        <w:spacing w:line="520" w:lineRule="exact"/>
        <w:ind w:firstLine="645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1、坚持精准施策，确保全面脱贫；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2、创优发展环境，强推项目建设；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3、发展田园农业，突出绿色崛起；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4、提升城镇品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，打造魅力咀头；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5、创优服务机制，强化民生保障；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6、全面从严治党，推动作风转变。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下一步，咀头镇全体干部将主动适应作风建设的新常态，继续发扬务实作风，勇于担当，激情干事，为聚力“四县”建设，全力打造“云尖慢城、仙居咀头”而努力奋斗。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三、部门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决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算单位构成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从决算单位构成看，本部门的部门决算包括部门本级（机关）决算和所属事业单位决算。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纳入本部门201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年部门决算编制范围的二级决算单位共有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个，包括：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9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太白县咀头镇人民政府本级（行政）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太白县咀头镇党委（行政）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太白县咀头镇街道办（行政）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太白县咀头镇财政所（行政）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太白县咀头镇计生站（事业）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太白县咀头镇公共事业服务站（事业）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太白县咀头镇社会保障服务站（事业）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太白县咀头镇经济综合服务站（事业）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太白县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林业工作站咀头林业分站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太白县咀头镇食品药品监督管理所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太白县咀头镇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兽医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站（事业）</w:t>
            </w:r>
          </w:p>
        </w:tc>
      </w:tr>
    </w:tbl>
    <w:p>
      <w:pPr>
        <w:numPr>
          <w:ilvl w:val="0"/>
          <w:numId w:val="0"/>
        </w:num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>
      <w:pPr>
        <w:numPr>
          <w:ilvl w:val="0"/>
          <w:numId w:val="0"/>
        </w:num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四、部门人员情况说明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太白县咀头镇政府行政在职人员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人;镇党委行政在职人员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人；街道办行政在职人员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、事业在职人员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sz w:val="32"/>
          <w:szCs w:val="32"/>
        </w:rPr>
        <w:t>;财政所行政在职人员6人;经济综合服务站事业在职人员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人;计生站事业在职人员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人;林业站事业在职人员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人；公共事业服务站事业在职人员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人；社会保障服务站事业在职人员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兽医站事业在职人员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3人；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食品药品监督管理所事业在职人员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3人；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25400</wp:posOffset>
            </wp:positionV>
            <wp:extent cx="4080510" cy="2830195"/>
            <wp:effectExtent l="4445" t="4445" r="10795" b="2286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部门决算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收支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2018年度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收入支出总体情况说明</w:t>
      </w:r>
    </w:p>
    <w:p>
      <w:pPr>
        <w:numPr>
          <w:ilvl w:val="0"/>
          <w:numId w:val="2"/>
        </w:numPr>
        <w:pBdr>
          <w:bottom w:val="single" w:color="FFFFFF" w:sz="8" w:space="31"/>
        </w:pBdr>
        <w:shd w:val="clear" w:color="auto" w:fill="FFFFFF"/>
        <w:spacing w:line="560" w:lineRule="exact"/>
        <w:ind w:firstLine="64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收入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总计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2122.49万元，其中：</w:t>
      </w:r>
      <w:r>
        <w:rPr>
          <w:rFonts w:hint="eastAsia" w:ascii="仿宋_GB2312" w:hAnsi="仿宋" w:eastAsia="仿宋_GB2312"/>
          <w:sz w:val="32"/>
          <w:szCs w:val="32"/>
        </w:rPr>
        <w:t>一般公共预算财政拨款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2083.03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政府性基金预算财政拨款，</w:t>
      </w:r>
      <w:r>
        <w:rPr>
          <w:rFonts w:hint="eastAsia" w:ascii="仿宋_GB2312" w:eastAsia="仿宋_GB2312"/>
          <w:sz w:val="32"/>
          <w:szCs w:val="32"/>
        </w:rPr>
        <w:t>年初结转结余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39.46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numPr>
          <w:ilvl w:val="0"/>
          <w:numId w:val="2"/>
        </w:numPr>
        <w:pBdr>
          <w:bottom w:val="single" w:color="FFFFFF" w:sz="8" w:space="31"/>
        </w:pBdr>
        <w:shd w:val="clear" w:color="auto" w:fill="FFFFFF"/>
        <w:spacing w:line="560" w:lineRule="exact"/>
        <w:ind w:firstLine="64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支出总计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2122.49</w:t>
      </w:r>
      <w:r>
        <w:rPr>
          <w:rFonts w:hint="eastAsia" w:ascii="仿宋_GB2312" w:hAnsi="仿宋" w:eastAsia="仿宋_GB2312"/>
          <w:sz w:val="32"/>
          <w:szCs w:val="32"/>
        </w:rPr>
        <w:t>万元，其中：（1）</w:t>
      </w:r>
      <w:r>
        <w:rPr>
          <w:rFonts w:hint="eastAsia" w:ascii="仿宋_GB2312" w:eastAsia="仿宋_GB2312"/>
          <w:sz w:val="32"/>
          <w:szCs w:val="32"/>
        </w:rPr>
        <w:t>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1130.07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，主要是为保障机构正常运转、完成日常工作任务而发生的各项支出。其中：</w:t>
      </w:r>
      <w:r>
        <w:rPr>
          <w:rFonts w:hint="eastAsia" w:ascii="仿宋_GB2312" w:eastAsia="仿宋_GB2312"/>
          <w:sz w:val="32"/>
          <w:szCs w:val="32"/>
        </w:rPr>
        <w:t>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791.72</w:t>
      </w:r>
      <w:r>
        <w:rPr>
          <w:rFonts w:hint="eastAsia" w:ascii="仿宋_GB2312" w:eastAsia="仿宋_GB2312"/>
          <w:sz w:val="32"/>
          <w:szCs w:val="32"/>
        </w:rPr>
        <w:t>万元，对个人和家庭的补助支出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215.47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122.35</w:t>
      </w:r>
      <w:r>
        <w:rPr>
          <w:rFonts w:hint="eastAsia" w:ascii="仿宋_GB2312" w:eastAsia="仿宋_GB2312"/>
          <w:sz w:val="32"/>
          <w:szCs w:val="32"/>
        </w:rPr>
        <w:t>万元，其他资本性支出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0.53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992.42</w:t>
      </w:r>
      <w:r>
        <w:rPr>
          <w:rFonts w:hint="eastAsia" w:ascii="仿宋_GB2312" w:eastAsia="仿宋_GB2312"/>
          <w:sz w:val="32"/>
          <w:szCs w:val="32"/>
        </w:rPr>
        <w:t>万元，主要是为完成其特定的行政工作任务或事业发展目标，在基本支出之外发生的支出，包括</w:t>
      </w:r>
      <w:r>
        <w:rPr>
          <w:rFonts w:hint="eastAsia" w:ascii="仿宋_GB2312" w:eastAsia="仿宋_GB2312"/>
          <w:sz w:val="32"/>
          <w:szCs w:val="32"/>
          <w:lang w:eastAsia="zh-CN"/>
        </w:rPr>
        <w:t>一般公共</w:t>
      </w:r>
      <w:r>
        <w:rPr>
          <w:rFonts w:hint="eastAsia" w:ascii="仿宋_GB2312" w:eastAsia="仿宋_GB2312"/>
          <w:sz w:val="32"/>
          <w:szCs w:val="32"/>
        </w:rPr>
        <w:t>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、社会保障和就业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433.54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、节能环保支出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79.4万元、城乡社区支出105万元、农林水支出157.48万元、交通运输支出20万元、商业服务业等支出84万元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(3)</w:t>
      </w:r>
      <w:r>
        <w:rPr>
          <w:rFonts w:hint="eastAsia" w:ascii="仿宋_GB2312" w:hAnsi="仿宋" w:eastAsia="仿宋_GB2312"/>
          <w:sz w:val="32"/>
          <w:szCs w:val="32"/>
        </w:rPr>
        <w:t>年末结转和结余39.46万元</w:t>
      </w:r>
      <w:r>
        <w:rPr>
          <w:rFonts w:hint="eastAsia" w:ascii="仿宋_GB2312" w:eastAsia="仿宋_GB2312"/>
          <w:sz w:val="32"/>
          <w:szCs w:val="32"/>
        </w:rPr>
        <w:t>，为本年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因客观条件发生变化无法按原计划实施，需延迟到以后年度按原规定用途继续使用的资金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pBdr>
          <w:bottom w:val="single" w:color="FFFFFF" w:sz="8" w:space="31"/>
        </w:pBdr>
        <w:shd w:val="clear" w:color="auto" w:fill="FFFFFF"/>
        <w:spacing w:line="560" w:lineRule="exact"/>
        <w:ind w:firstLine="64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本年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度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收入构成情况。</w:t>
      </w:r>
    </w:p>
    <w:p>
      <w:pPr>
        <w:numPr>
          <w:ilvl w:val="0"/>
          <w:numId w:val="3"/>
        </w:num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决算收入总计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2122.49</w:t>
      </w:r>
      <w:r>
        <w:rPr>
          <w:rFonts w:hint="eastAsia" w:ascii="仿宋_GB2312" w:hAnsi="仿宋" w:eastAsia="仿宋_GB2312"/>
          <w:sz w:val="32"/>
          <w:szCs w:val="32"/>
        </w:rPr>
        <w:t>万元。其中：一般公共服务支出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711.77</w:t>
      </w:r>
      <w:r>
        <w:rPr>
          <w:rFonts w:hint="eastAsia" w:ascii="仿宋_GB2312" w:hAnsi="仿宋" w:eastAsia="仿宋_GB2312"/>
          <w:sz w:val="32"/>
          <w:szCs w:val="32"/>
        </w:rPr>
        <w:t>万元;社会保障和就业支出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547.57</w:t>
      </w:r>
      <w:r>
        <w:rPr>
          <w:rFonts w:hint="eastAsia" w:ascii="仿宋_GB2312" w:hAnsi="仿宋" w:eastAsia="仿宋_GB2312"/>
          <w:sz w:val="32"/>
          <w:szCs w:val="32"/>
        </w:rPr>
        <w:t>万元；医疗卫生与计划生育支出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57.02</w:t>
      </w:r>
      <w:r>
        <w:rPr>
          <w:rFonts w:hint="eastAsia" w:ascii="仿宋_GB2312" w:hAnsi="仿宋" w:eastAsia="仿宋_GB2312"/>
          <w:sz w:val="32"/>
          <w:szCs w:val="32"/>
        </w:rPr>
        <w:t>万元；节能环保支出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79.4</w:t>
      </w:r>
      <w:r>
        <w:rPr>
          <w:rFonts w:hint="eastAsia" w:ascii="仿宋_GB2312" w:hAnsi="仿宋" w:eastAsia="仿宋_GB2312"/>
          <w:sz w:val="32"/>
          <w:szCs w:val="32"/>
        </w:rPr>
        <w:t>万元；城乡社区支出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hAnsi="仿宋" w:eastAsia="仿宋_GB2312"/>
          <w:sz w:val="32"/>
          <w:szCs w:val="32"/>
        </w:rPr>
        <w:t>万元；农林水支出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478.27</w:t>
      </w:r>
      <w:r>
        <w:rPr>
          <w:rFonts w:hint="eastAsia" w:ascii="仿宋_GB2312" w:hAnsi="仿宋" w:eastAsia="仿宋_GB2312"/>
          <w:sz w:val="32"/>
          <w:szCs w:val="32"/>
        </w:rPr>
        <w:t>万元；交通运输支出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万元；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服务业等支出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84万元；</w:t>
      </w:r>
      <w:r>
        <w:rPr>
          <w:rFonts w:hint="eastAsia" w:ascii="仿宋_GB2312" w:hAnsi="仿宋" w:eastAsia="仿宋_GB2312"/>
          <w:sz w:val="32"/>
          <w:szCs w:val="32"/>
        </w:rPr>
        <w:t>年初结转结余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39.46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6350</wp:posOffset>
            </wp:positionV>
            <wp:extent cx="5137150" cy="4048760"/>
            <wp:effectExtent l="4445" t="4445" r="20955" b="23495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本年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度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支出构成情况。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一般公共预算财政拨款基本支出总计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2122.49</w:t>
      </w:r>
      <w:r>
        <w:rPr>
          <w:rFonts w:hint="eastAsia" w:ascii="仿宋_GB2312" w:hAnsi="仿宋" w:eastAsia="仿宋_GB2312"/>
          <w:sz w:val="32"/>
          <w:szCs w:val="32"/>
        </w:rPr>
        <w:t>万元，其中：基本支出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1130.07</w:t>
      </w:r>
      <w:r>
        <w:rPr>
          <w:rFonts w:hint="eastAsia" w:ascii="仿宋_GB2312" w:hAnsi="仿宋" w:eastAsia="仿宋_GB2312"/>
          <w:sz w:val="32"/>
          <w:szCs w:val="32"/>
        </w:rPr>
        <w:t>万元，项目支出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992.42</w:t>
      </w:r>
      <w:r>
        <w:rPr>
          <w:rFonts w:hint="eastAsia" w:ascii="仿宋_GB2312" w:hAnsi="仿宋" w:eastAsia="仿宋_GB2312"/>
          <w:sz w:val="32"/>
          <w:szCs w:val="32"/>
        </w:rPr>
        <w:t>万元，年末结转和结余39.46万元。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960" w:firstLineChars="3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1957070</wp:posOffset>
            </wp:positionH>
            <wp:positionV relativeFrom="paragraph">
              <wp:posOffset>120650</wp:posOffset>
            </wp:positionV>
            <wp:extent cx="4213225" cy="3162300"/>
            <wp:effectExtent l="4445" t="4445" r="11430" b="14605"/>
            <wp:wrapNone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960" w:firstLineChars="300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960" w:firstLineChars="300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960" w:firstLineChars="300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960" w:firstLineChars="300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960" w:firstLineChars="300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960" w:firstLineChars="300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（二）2018年度财政拨款收入支出总体情况说明</w:t>
      </w:r>
    </w:p>
    <w:p>
      <w:pPr>
        <w:numPr>
          <w:ilvl w:val="0"/>
          <w:numId w:val="4"/>
        </w:numPr>
        <w:spacing w:line="360" w:lineRule="auto"/>
        <w:ind w:firstLine="720" w:firstLineChars="22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财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政拨款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收入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支出总体情况及比上年增减情况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说明及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增减变化的原因。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年度公共预算财政拨款支出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2083.03</w:t>
      </w:r>
      <w:r>
        <w:rPr>
          <w:rFonts w:hint="eastAsia" w:ascii="仿宋_GB2312" w:hAnsi="仿宋" w:eastAsia="仿宋_GB2312"/>
          <w:sz w:val="32"/>
          <w:szCs w:val="32"/>
        </w:rPr>
        <w:t>万元，既包括使用当年从县级财政取得的财政拨款发生的</w:t>
      </w:r>
      <w:r>
        <w:rPr>
          <w:rFonts w:hint="eastAsia" w:ascii="仿宋_GB2312" w:hAnsi="宋体" w:eastAsia="仿宋_GB2312" w:cs="宋体"/>
          <w:sz w:val="32"/>
          <w:szCs w:val="32"/>
        </w:rPr>
        <w:t>支出，也包括使用上年财政拨款结转和结余资金发生的支出。</w:t>
      </w:r>
      <w:r>
        <w:rPr>
          <w:rFonts w:hint="eastAsia" w:ascii="仿宋_GB2312" w:hAnsi="仿宋" w:eastAsia="仿宋_GB2312"/>
          <w:sz w:val="32"/>
          <w:szCs w:val="32"/>
        </w:rPr>
        <w:t>其中：基本支出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1130.07</w:t>
      </w:r>
      <w:r>
        <w:rPr>
          <w:rFonts w:hint="eastAsia" w:ascii="仿宋_GB2312" w:hAnsi="仿宋" w:eastAsia="仿宋_GB2312"/>
          <w:sz w:val="32"/>
          <w:szCs w:val="32"/>
        </w:rPr>
        <w:t>万元，项目支出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992.42</w:t>
      </w:r>
      <w:r>
        <w:rPr>
          <w:rFonts w:hint="eastAsia" w:ascii="仿宋_GB2312" w:hAnsi="仿宋" w:eastAsia="仿宋_GB2312"/>
          <w:sz w:val="32"/>
          <w:szCs w:val="32"/>
        </w:rPr>
        <w:t>万元，年末结转和结余39.46万元。与上年相比减少支出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104.08</w:t>
      </w:r>
      <w:r>
        <w:rPr>
          <w:rFonts w:hint="eastAsia" w:ascii="仿宋_GB2312" w:hAnsi="仿宋" w:eastAsia="仿宋_GB2312"/>
          <w:sz w:val="32"/>
          <w:szCs w:val="32"/>
        </w:rPr>
        <w:t>万元，下降了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4.8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，主要原因是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年度项目支出与上年度相比下降幅度较大。</w:t>
      </w:r>
    </w:p>
    <w:p>
      <w:pPr>
        <w:numPr>
          <w:ilvl w:val="0"/>
          <w:numId w:val="4"/>
        </w:numPr>
        <w:pBdr>
          <w:bottom w:val="single" w:color="FFFFFF" w:sz="8" w:space="31"/>
        </w:pBdr>
        <w:shd w:val="clear" w:color="auto" w:fill="FFFFFF"/>
        <w:spacing w:line="560" w:lineRule="exact"/>
        <w:ind w:left="0" w:leftChars="0" w:firstLine="720" w:firstLineChars="22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一般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公共预算财政拨款支出情况。（按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政府功能分类科目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说明支出具体内容）</w:t>
      </w:r>
    </w:p>
    <w:p>
      <w:pPr>
        <w:pBdr>
          <w:bottom w:val="single" w:color="FFFFFF" w:sz="8" w:space="31"/>
        </w:pBdr>
        <w:shd w:val="clear" w:color="auto" w:fill="FFFFFF"/>
        <w:spacing w:line="240" w:lineRule="auto"/>
        <w:ind w:firstLine="0" w:firstLineChars="0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Cs/>
          <w:sz w:val="32"/>
          <w:szCs w:val="32"/>
        </w:rPr>
        <w:t>一般公共预算财政拨款支出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2083.03</w:t>
      </w:r>
      <w:r>
        <w:rPr>
          <w:rFonts w:hint="eastAsia" w:ascii="仿宋_GB2312" w:hAnsi="仿宋" w:eastAsia="仿宋_GB2312"/>
          <w:bCs/>
          <w:sz w:val="32"/>
          <w:szCs w:val="32"/>
        </w:rPr>
        <w:t>万元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 xml:space="preserve"> ，其中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包括：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代表工作（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2010108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）支出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2.65万元，主要包括政府人民代表大会事务公用经费支出；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行政运行（2010301）支出431.83万元，主要包括政府、街道办人员和公用经费支出；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事业运行（2010350）支出13.21万元，主要包括街道办人员和公用经费支出；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其他政府办公厅（室）及相关机构事务支出（2010399）110万元，主要包括政府项目支出；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行政运行（2010601）支出65.33万元，主要包括财政所人员和公用经费支出；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行政运行（2013101）支出75.94万元，主要包括党委人员和公用经费支出；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其他共产党事务支出（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2013699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5万元，主要包括党委日常公用经费支出；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其他一般公共服务支出（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2019999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22.01万元，主要包括文化站人员和公用经费支出；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基层政权和社区建设（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2080208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）支出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9万元，主要包括街道办公用经费和政府项目支出；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机关事业单位基本养老保险缴费支出（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2080505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68.44万元，主要包括咀头镇各站所人员经费支出；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机关事业单位基本职业年金缴费支出（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2080506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27.38万元，主要包括咀头镇各站所人员经费支出；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其他城市生活救助（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2082501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）支出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256.17万元，主要包括土地补偿项目支出；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其他农村生活救助（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2082502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）支出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172.37万元，主要包括咀头街村三四组失地农民土地补偿项目支出；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其他社会保障和就业支出（2089901）19.21万元，主要包括广播站人员经费和公用经费支出；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其他</w:t>
      </w:r>
      <w:r>
        <w:rPr>
          <w:rFonts w:hint="eastAsia" w:ascii="仿宋_GB2312" w:hAnsi="仿宋" w:eastAsia="仿宋_GB2312"/>
          <w:bCs/>
          <w:sz w:val="32"/>
          <w:szCs w:val="32"/>
        </w:rPr>
        <w:t>计划生育支出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2100799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28.80</w:t>
      </w:r>
      <w:r>
        <w:rPr>
          <w:rFonts w:hint="eastAsia" w:ascii="仿宋_GB2312" w:hAnsi="仿宋" w:eastAsia="仿宋_GB2312"/>
          <w:bCs/>
          <w:sz w:val="32"/>
          <w:szCs w:val="32"/>
        </w:rPr>
        <w:t>万元，主要包括计生站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人员经费和公用经费支出；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事业运行（2101050）支出28.22万元，</w:t>
      </w:r>
      <w:r>
        <w:rPr>
          <w:rFonts w:hint="eastAsia" w:ascii="仿宋_GB2312" w:hAnsi="仿宋" w:eastAsia="仿宋_GB2312"/>
          <w:bCs/>
          <w:sz w:val="32"/>
          <w:szCs w:val="32"/>
        </w:rPr>
        <w:t>主要包括计生站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人员经费和公用经费支出；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农村环境保护（2110402）支出79.40万元，</w:t>
      </w:r>
      <w:r>
        <w:rPr>
          <w:rFonts w:hint="eastAsia" w:ascii="仿宋_GB2312" w:hAnsi="仿宋" w:eastAsia="仿宋_GB2312"/>
          <w:bCs/>
          <w:sz w:val="32"/>
          <w:szCs w:val="32"/>
        </w:rPr>
        <w:t>主要包括污染防治、自然生态保护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等支出；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其他城乡社区公共设施支出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2120399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5万元，</w:t>
      </w:r>
      <w:r>
        <w:rPr>
          <w:rFonts w:hint="eastAsia" w:ascii="仿宋_GB2312" w:hAnsi="仿宋" w:eastAsia="仿宋_GB2312"/>
          <w:bCs/>
          <w:sz w:val="32"/>
          <w:szCs w:val="32"/>
        </w:rPr>
        <w:t>主要包括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基础设施建设项目支出；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其他城乡社区支出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2129999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5万元，</w:t>
      </w:r>
      <w:r>
        <w:rPr>
          <w:rFonts w:hint="eastAsia" w:ascii="仿宋_GB2312" w:hAnsi="仿宋" w:eastAsia="仿宋_GB2312"/>
          <w:bCs/>
          <w:sz w:val="32"/>
          <w:szCs w:val="32"/>
        </w:rPr>
        <w:t>主要包括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基础设施建设项目支出；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事业运行（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2130104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）支出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56.72万元，主要包括兽医站、农技站人员经费和公用经费支出；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其他农业支出（2130199）10万元，主要包括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基础设施建设项目支出；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林业事业机构（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2130204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44.39万元，</w:t>
      </w:r>
      <w:r>
        <w:rPr>
          <w:rFonts w:hint="eastAsia" w:ascii="仿宋_GB2312" w:hAnsi="仿宋" w:eastAsia="仿宋_GB2312"/>
          <w:bCs/>
          <w:sz w:val="32"/>
          <w:szCs w:val="32"/>
        </w:rPr>
        <w:t>主要包括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林业</w:t>
      </w:r>
      <w:r>
        <w:rPr>
          <w:rFonts w:hint="eastAsia" w:ascii="仿宋_GB2312" w:hAnsi="仿宋" w:eastAsia="仿宋_GB2312"/>
          <w:bCs/>
          <w:sz w:val="32"/>
          <w:szCs w:val="32"/>
        </w:rPr>
        <w:t>站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人员经费和公用经费支出；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其他扶贫支出（2130599）88.48万元，主要包括</w:t>
      </w:r>
      <w:r>
        <w:rPr>
          <w:rFonts w:hint="eastAsia" w:ascii="仿宋_GB2312" w:hAnsi="仿宋" w:eastAsia="仿宋_GB2312"/>
          <w:bCs/>
          <w:sz w:val="32"/>
          <w:szCs w:val="32"/>
        </w:rPr>
        <w:t>扶贫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/>
          <w:bCs/>
          <w:sz w:val="32"/>
          <w:szCs w:val="32"/>
        </w:rPr>
        <w:t>资金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对村级一事一议的补助（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2130701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支出59万元，主要包括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一事一议项目支出；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对村民委员会和村党支部的补助（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2130705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）支出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219.67万元，主要包括全镇各村村干部报酬、村级办公经费支出；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其他</w:t>
      </w:r>
      <w:r>
        <w:rPr>
          <w:rFonts w:hint="eastAsia" w:ascii="仿宋_GB2312" w:hAnsi="仿宋" w:eastAsia="仿宋_GB2312"/>
          <w:bCs/>
          <w:sz w:val="32"/>
          <w:szCs w:val="32"/>
        </w:rPr>
        <w:t>公路水路运输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支出（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2140199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20万元，主要包括村级</w:t>
      </w:r>
      <w:r>
        <w:rPr>
          <w:rFonts w:hint="eastAsia" w:ascii="仿宋_GB2312" w:hAnsi="仿宋" w:eastAsia="仿宋_GB2312"/>
          <w:bCs/>
          <w:sz w:val="32"/>
          <w:szCs w:val="32"/>
        </w:rPr>
        <w:t>公路水路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基础设施建设项目支出；</w:t>
      </w:r>
    </w:p>
    <w:p>
      <w:pPr>
        <w:numPr>
          <w:ilvl w:val="0"/>
          <w:numId w:val="5"/>
        </w:numPr>
        <w:pBdr>
          <w:bottom w:val="single" w:color="FFFFFF" w:sz="8" w:space="31"/>
        </w:pBdr>
        <w:shd w:val="clear" w:color="auto" w:fill="FFFFFF"/>
        <w:spacing w:line="56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旅游宣传（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2160504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）支出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84万元，主要包括旅游业管理与服务、旅游宣传支出。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 w:themeFill="background1"/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一般公共预算财政拨款基本支出决算情况。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 w:themeFill="background1"/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年度一般公共预算财政拨款基本支出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1130.07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 w:themeFill="background1"/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（1）工资福利支出（301)支出791.72万元，其中：</w:t>
      </w:r>
      <w:r>
        <w:rPr>
          <w:rFonts w:hint="eastAsia" w:ascii="仿宋_GB2312" w:hAnsi="仿宋" w:eastAsia="仿宋_GB2312"/>
          <w:sz w:val="32"/>
          <w:szCs w:val="32"/>
        </w:rPr>
        <w:t>基本工资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26.43</w:t>
      </w:r>
      <w:r>
        <w:rPr>
          <w:rFonts w:hint="eastAsia" w:ascii="仿宋_GB2312" w:hAnsi="仿宋" w:eastAsia="仿宋_GB2312"/>
          <w:sz w:val="32"/>
          <w:szCs w:val="32"/>
        </w:rPr>
        <w:t>万元、津贴补贴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98.86</w:t>
      </w:r>
      <w:r>
        <w:rPr>
          <w:rFonts w:hint="eastAsia" w:ascii="仿宋_GB2312" w:hAnsi="仿宋" w:eastAsia="仿宋_GB2312"/>
          <w:sz w:val="32"/>
          <w:szCs w:val="32"/>
        </w:rPr>
        <w:t>万元、奖金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64.94</w:t>
      </w:r>
      <w:r>
        <w:rPr>
          <w:rFonts w:hint="eastAsia" w:ascii="仿宋_GB2312" w:hAnsi="仿宋" w:eastAsia="仿宋_GB2312"/>
          <w:sz w:val="32"/>
          <w:szCs w:val="32"/>
        </w:rPr>
        <w:t>万元、绩效工资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64.39</w:t>
      </w:r>
      <w:r>
        <w:rPr>
          <w:rFonts w:hint="eastAsia" w:ascii="仿宋_GB2312" w:hAnsi="仿宋" w:eastAsia="仿宋_GB2312"/>
          <w:sz w:val="32"/>
          <w:szCs w:val="32"/>
        </w:rPr>
        <w:t>万元、机关事业单位基本养老保险缴费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68.44</w:t>
      </w:r>
      <w:r>
        <w:rPr>
          <w:rFonts w:hint="eastAsia" w:ascii="仿宋_GB2312" w:hAnsi="仿宋" w:eastAsia="仿宋_GB2312"/>
          <w:sz w:val="32"/>
          <w:szCs w:val="32"/>
        </w:rPr>
        <w:t>万元、职业年金缴费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27.38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、城镇职工基本医疗保险缴费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0.74万元、其他社会保障缴费3.91万元、</w:t>
      </w:r>
      <w:r>
        <w:rPr>
          <w:rFonts w:hint="eastAsia" w:ascii="仿宋_GB2312" w:hAnsi="仿宋" w:eastAsia="仿宋_GB2312"/>
          <w:sz w:val="32"/>
          <w:szCs w:val="32"/>
        </w:rPr>
        <w:t>住房公积金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42.81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医疗费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9.45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、其他工资福利支出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150.37万元；</w:t>
      </w:r>
      <w:r>
        <w:rPr>
          <w:rFonts w:hint="eastAsia" w:ascii="仿宋_GB2312" w:hAnsi="仿宋" w:eastAsia="仿宋_GB2312"/>
          <w:sz w:val="32"/>
          <w:szCs w:val="32"/>
        </w:rPr>
        <w:t>对个人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家庭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补助257.19万元，其中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生活补助196.12万元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奖励金5.04万元；公用经费支出107.39万元，其中：办公费59.87万元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印刷费2.66万元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电费2.13万元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邮电费</w:t>
      </w:r>
      <w:r>
        <w:rPr>
          <w:rFonts w:ascii="仿宋_GB2312" w:hAnsi="仿宋" w:eastAsia="仿宋_GB2312"/>
          <w:sz w:val="32"/>
          <w:szCs w:val="32"/>
        </w:rPr>
        <w:t>0.</w:t>
      </w:r>
      <w:r>
        <w:rPr>
          <w:rFonts w:hint="eastAsia" w:ascii="仿宋_GB2312" w:hAnsi="仿宋" w:eastAsia="仿宋_GB2312"/>
          <w:sz w:val="32"/>
          <w:szCs w:val="32"/>
        </w:rPr>
        <w:t>83万元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取暖费2.91万元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差旅费</w:t>
      </w: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75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 w:themeFill="background1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（2）商品和服务支出（302)支出122.35万元，其中：</w:t>
      </w:r>
      <w:r>
        <w:rPr>
          <w:rFonts w:hint="eastAsia" w:ascii="仿宋_GB2312" w:hAnsi="仿宋" w:eastAsia="仿宋_GB2312"/>
          <w:sz w:val="32"/>
          <w:szCs w:val="32"/>
        </w:rPr>
        <w:t>办公费59.8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印刷费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8.91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1.52万元、</w:t>
      </w:r>
      <w:r>
        <w:rPr>
          <w:rFonts w:hint="eastAsia" w:ascii="仿宋_GB2312" w:hAnsi="仿宋" w:eastAsia="仿宋_GB2312"/>
          <w:sz w:val="32"/>
          <w:szCs w:val="32"/>
        </w:rPr>
        <w:t>电费2.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邮电费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1.39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取暖费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6.15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差旅费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1.94万元、</w:t>
      </w:r>
      <w:r>
        <w:rPr>
          <w:rFonts w:hint="eastAsia" w:ascii="仿宋_GB2312" w:hAnsi="仿宋" w:eastAsia="仿宋_GB2312"/>
          <w:sz w:val="32"/>
          <w:szCs w:val="32"/>
        </w:rPr>
        <w:t>维修（护）费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4.51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培训费2.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公务接待费0.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、工会经费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8.02万元、</w:t>
      </w:r>
      <w:r>
        <w:rPr>
          <w:rFonts w:hint="eastAsia" w:ascii="仿宋_GB2312" w:hAnsi="仿宋" w:eastAsia="仿宋_GB2312"/>
          <w:sz w:val="32"/>
          <w:szCs w:val="32"/>
        </w:rPr>
        <w:t>公务用车运行维护费2.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其他交通费用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22.1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 w:themeFill="background1"/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对个人和家庭的补助（303）支出215.47万元，其中：生活补助215.47万元。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 w:themeFill="background1"/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（4）资本性支出（310）0.53万元，其中：办公设备购置0.53万元。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1360" w:firstLineChars="425"/>
        <w:rPr>
          <w:rFonts w:hint="default" w:ascii="仿宋_GB2312" w:hAnsi="仿宋" w:eastAsia="仿宋_GB2312"/>
          <w:color w:val="auto"/>
          <w:sz w:val="32"/>
          <w:szCs w:val="32"/>
          <w:highlight w:val="yellow"/>
          <w:lang w:val="en-US" w:eastAsia="zh-CN"/>
        </w:rPr>
      </w:pPr>
    </w:p>
    <w:p>
      <w:pPr>
        <w:ind w:firstLine="720" w:firstLineChars="225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政府性基金财政拨款收支情况说明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无政府性基金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算收支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已公开空表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国有资本经营财政拨款收支情况说明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无国有资本经营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算收支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（三）201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“三公”经费、培训费及会议费支出情况说明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/>
          <w:sz w:val="32"/>
          <w:szCs w:val="32"/>
        </w:rPr>
        <w:t>“三公”经费财政拨款支出总计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万元，包括：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/>
          <w:lang w:val="en-US" w:eastAsia="zh-CN"/>
        </w:rPr>
        <w:t>（1）2018年公务接待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11批次，467人次，支出0.9万元，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/>
        </w:rPr>
        <w:t>比上年增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/>
          <w:lang w:eastAsia="zh-CN"/>
        </w:rPr>
        <w:t>加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/>
          <w:lang w:val="en-US" w:eastAsia="zh-CN"/>
        </w:rPr>
        <w:t>0.51万元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/>
          <w:lang w:eastAsia="zh-CN"/>
        </w:rPr>
        <w:t>主要原因为</w:t>
      </w:r>
      <w:r>
        <w:rPr>
          <w:rFonts w:hint="eastAsia" w:ascii="仿宋_GB2312" w:hAnsi="仿宋" w:eastAsia="仿宋_GB2312"/>
          <w:sz w:val="32"/>
          <w:szCs w:val="32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检查接待任务增多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公务用车运行维护费2.41万元。其中：公务用车购置0万元，公务用车运行维护费2.41万元。主要用于车辆日常运行燃油费及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车辆购买已超过10年以上维修费用增加</w:t>
      </w:r>
      <w:r>
        <w:rPr>
          <w:rFonts w:hint="eastAsia" w:ascii="仿宋_GB2312" w:hAnsi="仿宋" w:eastAsia="仿宋_GB2312"/>
          <w:sz w:val="32"/>
          <w:szCs w:val="32"/>
        </w:rPr>
        <w:t>。201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年度本部门未购置公务用车，年末公务用车保有量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辆。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2、培训费支出总计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2.34</w:t>
      </w:r>
      <w:r>
        <w:rPr>
          <w:rFonts w:hint="eastAsia" w:ascii="仿宋_GB2312" w:hAnsi="仿宋" w:eastAsia="仿宋_GB2312"/>
          <w:sz w:val="32"/>
          <w:szCs w:val="32"/>
        </w:rPr>
        <w:t>万元，主要为加强人员业务培训等。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3、本年无会议费支出。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本年“三公”经费财政拨款支出较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年初预算减少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0.15万元，较</w:t>
      </w:r>
      <w:r>
        <w:rPr>
          <w:rFonts w:hint="eastAsia" w:ascii="仿宋_GB2312" w:hAnsi="仿宋" w:eastAsia="仿宋_GB2312"/>
          <w:sz w:val="32"/>
          <w:szCs w:val="32"/>
        </w:rPr>
        <w:t>上年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" w:eastAsia="仿宋_GB2312"/>
          <w:sz w:val="32"/>
          <w:szCs w:val="32"/>
        </w:rPr>
        <w:t>2万元，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/>
          <w:sz w:val="32"/>
          <w:szCs w:val="32"/>
        </w:rPr>
        <w:t>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7.1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；主要原因为我镇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检查接待任务增多。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六、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2018年度部门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绩效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管理情况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说明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 xml:space="preserve">年本部门对专项业务经费项目开展了绩效自评，涉及一般公共预算当年拨款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992.42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根据预算绩效管理要求，本部门组织对 2018 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 xml:space="preserve">年度一般公共预算项目支出全面开展绩效自评，其中，一级项目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 xml:space="preserve">个，二级项目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个，共涉及资金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50.95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万元，占一般公共预算项目支出总额的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19.5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七、其他重要事项的情况说明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机关运行经费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支出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情况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机关运行经费支出总计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降低</w:t>
      </w:r>
      <w:r>
        <w:rPr>
          <w:rFonts w:hint="eastAsia" w:ascii="仿宋_GB2312" w:hAnsi="仿宋" w:eastAsia="仿宋_GB2312"/>
          <w:sz w:val="32"/>
          <w:szCs w:val="32"/>
        </w:rPr>
        <w:t>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大力压缩经费支出。</w:t>
      </w:r>
    </w:p>
    <w:p>
      <w:pPr>
        <w:numPr>
          <w:ilvl w:val="0"/>
          <w:numId w:val="6"/>
        </w:num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政府采购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情况</w:t>
      </w:r>
    </w:p>
    <w:p>
      <w:p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部门政府采购支出总额共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4.7万元，其中政府采购货物类支出4.7万元。</w:t>
      </w:r>
    </w:p>
    <w:p>
      <w:pPr>
        <w:numPr>
          <w:ilvl w:val="0"/>
          <w:numId w:val="6"/>
        </w:numPr>
        <w:pBdr>
          <w:bottom w:val="single" w:color="FFFFFF" w:sz="8" w:space="31"/>
        </w:pBdr>
        <w:shd w:val="clear" w:color="auto" w:fill="FFFFFF"/>
        <w:spacing w:line="560" w:lineRule="exact"/>
        <w:ind w:left="0" w:leftChars="0"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国有资产占用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及购置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情况说明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末，本部门所属单位共有车辆4辆；单价50万元以上的通用设备0台（套）；单价100万元以上的通用设备0台（套）。2018年当年未购置车辆；购置单价50万元以上的设备0台（套）；购置单价100万元以上的通用设备0台（套）。</w:t>
      </w:r>
    </w:p>
    <w:p>
      <w:pPr>
        <w:numPr>
          <w:ilvl w:val="0"/>
          <w:numId w:val="7"/>
        </w:numPr>
        <w:pBdr>
          <w:bottom w:val="single" w:color="FFFFFF" w:sz="8" w:space="31"/>
        </w:pBdr>
        <w:shd w:val="clear" w:color="auto" w:fill="FFFFFF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专业名词解释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基本支出：指为保障机构正常运转、完成日常工作任务而发生的各项支出。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：指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单位为完成特定的行政工作任务或事业发展目标所发生的各项支出。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3.“三公”经费：指部门使用一般公共预算财政拨款安排的因公出国（境）费、公务用车购置及运行费和公务接待费支出。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4.财政拨款收入：指本级财政当年拨付的资金。</w:t>
      </w:r>
      <w:r>
        <w:rPr>
          <w:rFonts w:hint="eastAsia" w:ascii="黑体" w:hAnsi="黑体" w:eastAsia="黑体" w:cs="黑体"/>
          <w:sz w:val="36"/>
          <w:szCs w:val="36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240" w:lineRule="auto"/>
        <w:ind w:firstLine="10560" w:firstLineChars="3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240" w:lineRule="auto"/>
        <w:ind w:firstLine="10560" w:firstLineChars="3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240" w:lineRule="auto"/>
        <w:ind w:firstLine="10560" w:firstLineChars="3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240" w:lineRule="auto"/>
        <w:ind w:firstLine="10560" w:firstLineChars="3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太白县咀头镇人民政府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240" w:lineRule="auto"/>
        <w:ind w:firstLine="11200" w:firstLineChars="3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2019年9月26日</w:t>
      </w: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240" w:lineRule="auto"/>
        <w:ind w:firstLine="11200" w:firstLineChars="3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8" w:space="31"/>
        </w:pBdr>
        <w:shd w:val="clear" w:color="auto" w:fill="FFFFFF"/>
        <w:spacing w:line="24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"2018年决算公开套表/2018年太白县咀头镇（汇总）.XLS"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2018年太白县咀头镇（汇总）.XLS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3C8A0"/>
    <w:multiLevelType w:val="singleLevel"/>
    <w:tmpl w:val="85F3C8A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D94D8F"/>
    <w:multiLevelType w:val="singleLevel"/>
    <w:tmpl w:val="CDD94D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2483F7B"/>
    <w:multiLevelType w:val="singleLevel"/>
    <w:tmpl w:val="E2483F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25ECEBA"/>
    <w:multiLevelType w:val="singleLevel"/>
    <w:tmpl w:val="125ECEB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F5B78A2"/>
    <w:multiLevelType w:val="singleLevel"/>
    <w:tmpl w:val="3F5B78A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B8542E4"/>
    <w:multiLevelType w:val="singleLevel"/>
    <w:tmpl w:val="5B8542E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E2ECCF1"/>
    <w:multiLevelType w:val="singleLevel"/>
    <w:tmpl w:val="7E2ECCF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Tc4NmQ0YTkyYmFkYWQwMGEyYTZmZGY5ZmQ3ODMifQ=="/>
  </w:docVars>
  <w:rsids>
    <w:rsidRoot w:val="196867BA"/>
    <w:rsid w:val="00535E7A"/>
    <w:rsid w:val="005976CC"/>
    <w:rsid w:val="005C0886"/>
    <w:rsid w:val="00BD04BA"/>
    <w:rsid w:val="0159126E"/>
    <w:rsid w:val="01FB40D3"/>
    <w:rsid w:val="022D6EE4"/>
    <w:rsid w:val="02A814F4"/>
    <w:rsid w:val="03993BA4"/>
    <w:rsid w:val="03F31506"/>
    <w:rsid w:val="050D65F7"/>
    <w:rsid w:val="05816FE5"/>
    <w:rsid w:val="06A841B0"/>
    <w:rsid w:val="074F739B"/>
    <w:rsid w:val="078A03D3"/>
    <w:rsid w:val="09622C8A"/>
    <w:rsid w:val="09772FE0"/>
    <w:rsid w:val="09E0252C"/>
    <w:rsid w:val="0A40121D"/>
    <w:rsid w:val="0B533E16"/>
    <w:rsid w:val="0E5148B6"/>
    <w:rsid w:val="0E654D20"/>
    <w:rsid w:val="0ECC48EB"/>
    <w:rsid w:val="0F746899"/>
    <w:rsid w:val="0FE60171"/>
    <w:rsid w:val="1065378B"/>
    <w:rsid w:val="10FC5772"/>
    <w:rsid w:val="11001706"/>
    <w:rsid w:val="11380EA0"/>
    <w:rsid w:val="116A3BF7"/>
    <w:rsid w:val="11895B2B"/>
    <w:rsid w:val="136A72AD"/>
    <w:rsid w:val="13FE0747"/>
    <w:rsid w:val="156C55BC"/>
    <w:rsid w:val="15F15AC1"/>
    <w:rsid w:val="1780534F"/>
    <w:rsid w:val="187A7FF0"/>
    <w:rsid w:val="18C179CD"/>
    <w:rsid w:val="18E90CD1"/>
    <w:rsid w:val="18F733EE"/>
    <w:rsid w:val="1936436D"/>
    <w:rsid w:val="1962096B"/>
    <w:rsid w:val="196867BA"/>
    <w:rsid w:val="1A184458"/>
    <w:rsid w:val="1A613215"/>
    <w:rsid w:val="1AC73139"/>
    <w:rsid w:val="1B331CFB"/>
    <w:rsid w:val="1BB6133F"/>
    <w:rsid w:val="1C784846"/>
    <w:rsid w:val="1D4259DC"/>
    <w:rsid w:val="1D7F1C04"/>
    <w:rsid w:val="1E3824DF"/>
    <w:rsid w:val="1E446C12"/>
    <w:rsid w:val="1F5D4D2A"/>
    <w:rsid w:val="20CE0ED9"/>
    <w:rsid w:val="20DA5ACF"/>
    <w:rsid w:val="2288418E"/>
    <w:rsid w:val="22CC64E9"/>
    <w:rsid w:val="22DB5B2F"/>
    <w:rsid w:val="239F6B5C"/>
    <w:rsid w:val="250749B9"/>
    <w:rsid w:val="25F11D34"/>
    <w:rsid w:val="2626787B"/>
    <w:rsid w:val="26596039"/>
    <w:rsid w:val="271E5FEA"/>
    <w:rsid w:val="275A1718"/>
    <w:rsid w:val="2840097F"/>
    <w:rsid w:val="290556B4"/>
    <w:rsid w:val="291B385B"/>
    <w:rsid w:val="2A4B5348"/>
    <w:rsid w:val="2B0B2D29"/>
    <w:rsid w:val="2B41674B"/>
    <w:rsid w:val="2BF10171"/>
    <w:rsid w:val="2CC47634"/>
    <w:rsid w:val="2D292626"/>
    <w:rsid w:val="2DB256DE"/>
    <w:rsid w:val="2EA43279"/>
    <w:rsid w:val="2F2332A6"/>
    <w:rsid w:val="2F3C7955"/>
    <w:rsid w:val="2FE65841"/>
    <w:rsid w:val="30D40E31"/>
    <w:rsid w:val="311C359A"/>
    <w:rsid w:val="31CE41BF"/>
    <w:rsid w:val="32B86933"/>
    <w:rsid w:val="346E05B1"/>
    <w:rsid w:val="34DE4705"/>
    <w:rsid w:val="34FC3CD4"/>
    <w:rsid w:val="36160F00"/>
    <w:rsid w:val="381C6576"/>
    <w:rsid w:val="3A995C5C"/>
    <w:rsid w:val="3AC3717D"/>
    <w:rsid w:val="3B677B08"/>
    <w:rsid w:val="3BAB3E99"/>
    <w:rsid w:val="3C120992"/>
    <w:rsid w:val="3C326368"/>
    <w:rsid w:val="3C4816E7"/>
    <w:rsid w:val="3C554718"/>
    <w:rsid w:val="3C8A7F52"/>
    <w:rsid w:val="3DF21949"/>
    <w:rsid w:val="3E2B127B"/>
    <w:rsid w:val="3FBD2F31"/>
    <w:rsid w:val="3FF02CBE"/>
    <w:rsid w:val="404B5C4A"/>
    <w:rsid w:val="409F1AF2"/>
    <w:rsid w:val="41BB0BAE"/>
    <w:rsid w:val="42154762"/>
    <w:rsid w:val="43853221"/>
    <w:rsid w:val="44E87F0C"/>
    <w:rsid w:val="450D6A97"/>
    <w:rsid w:val="45FD224C"/>
    <w:rsid w:val="47307948"/>
    <w:rsid w:val="48723242"/>
    <w:rsid w:val="48A56114"/>
    <w:rsid w:val="495F4514"/>
    <w:rsid w:val="4C3F4944"/>
    <w:rsid w:val="4C612351"/>
    <w:rsid w:val="4CD62D3F"/>
    <w:rsid w:val="4D64034B"/>
    <w:rsid w:val="4FF359B6"/>
    <w:rsid w:val="5066262C"/>
    <w:rsid w:val="512C73D2"/>
    <w:rsid w:val="51954F77"/>
    <w:rsid w:val="51A52CE0"/>
    <w:rsid w:val="51ED6B61"/>
    <w:rsid w:val="537312E8"/>
    <w:rsid w:val="54034AB0"/>
    <w:rsid w:val="54662BFB"/>
    <w:rsid w:val="564F65B2"/>
    <w:rsid w:val="570F757A"/>
    <w:rsid w:val="58AA0BC5"/>
    <w:rsid w:val="5B573BC1"/>
    <w:rsid w:val="5C090C3A"/>
    <w:rsid w:val="5D080CF3"/>
    <w:rsid w:val="5D2B49E2"/>
    <w:rsid w:val="5DED7EE9"/>
    <w:rsid w:val="600D03CE"/>
    <w:rsid w:val="604771EB"/>
    <w:rsid w:val="61025A59"/>
    <w:rsid w:val="616D55C9"/>
    <w:rsid w:val="61BD3430"/>
    <w:rsid w:val="633914DA"/>
    <w:rsid w:val="64FA30E0"/>
    <w:rsid w:val="64FC6D3F"/>
    <w:rsid w:val="66A001EE"/>
    <w:rsid w:val="6813679E"/>
    <w:rsid w:val="691D5B26"/>
    <w:rsid w:val="6C821648"/>
    <w:rsid w:val="6CB83252"/>
    <w:rsid w:val="6CCA3F3A"/>
    <w:rsid w:val="6D864955"/>
    <w:rsid w:val="6DF15E4A"/>
    <w:rsid w:val="6ECC76A7"/>
    <w:rsid w:val="706A7177"/>
    <w:rsid w:val="716F6C89"/>
    <w:rsid w:val="71921941"/>
    <w:rsid w:val="71B810CD"/>
    <w:rsid w:val="71C07997"/>
    <w:rsid w:val="72181581"/>
    <w:rsid w:val="72730565"/>
    <w:rsid w:val="727D7636"/>
    <w:rsid w:val="72CA214F"/>
    <w:rsid w:val="72EB0A43"/>
    <w:rsid w:val="73045661"/>
    <w:rsid w:val="733221CE"/>
    <w:rsid w:val="75A66EA3"/>
    <w:rsid w:val="771D62CB"/>
    <w:rsid w:val="775E5C88"/>
    <w:rsid w:val="7ADD3367"/>
    <w:rsid w:val="7BB040B0"/>
    <w:rsid w:val="7BD83B2F"/>
    <w:rsid w:val="7C051DAC"/>
    <w:rsid w:val="7D0A5F6A"/>
    <w:rsid w:val="7D344D95"/>
    <w:rsid w:val="7DB155FF"/>
    <w:rsid w:val="7E927FC5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6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人员情况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行政编制</c:v>
                </c:pt>
                <c:pt idx="1">
                  <c:v>事业编制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39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部门决算收入表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tx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医疗卫生与计划生育支出</c:v>
                </c:pt>
                <c:pt idx="3">
                  <c:v>节能环保支出</c:v>
                </c:pt>
                <c:pt idx="4">
                  <c:v>城乡社区支出</c:v>
                </c:pt>
                <c:pt idx="5">
                  <c:v>农林水支出</c:v>
                </c:pt>
                <c:pt idx="6">
                  <c:v>交通运输支出</c:v>
                </c:pt>
                <c:pt idx="7">
                  <c:v>商业服务业等支出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711.77</c:v>
                </c:pt>
                <c:pt idx="1">
                  <c:v>547.57</c:v>
                </c:pt>
                <c:pt idx="2">
                  <c:v>57.02</c:v>
                </c:pt>
                <c:pt idx="3">
                  <c:v>79.4</c:v>
                </c:pt>
                <c:pt idx="4">
                  <c:v>105</c:v>
                </c:pt>
                <c:pt idx="5">
                  <c:v>478.27</c:v>
                </c:pt>
                <c:pt idx="6">
                  <c:v>20</c:v>
                </c:pt>
                <c:pt idx="7">
                  <c:v>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部门决算支出表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年末结转和结余   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415540540540541"/>
                      <c:h val="0.093441920274324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基本支出</c:v>
                </c:pt>
                <c:pt idx="1">
                  <c:v>项目支出</c:v>
                </c:pt>
                <c:pt idx="2">
                  <c:v>年末结转和结余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1130.07</c:v>
                </c:pt>
                <c:pt idx="1">
                  <c:v>992.42</c:v>
                </c:pt>
                <c:pt idx="2">
                  <c:v>39.46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4675</Words>
  <Characters>5376</Characters>
  <Lines>0</Lines>
  <Paragraphs>0</Paragraphs>
  <TotalTime>51</TotalTime>
  <ScaleCrop>false</ScaleCrop>
  <LinksUpToDate>false</LinksUpToDate>
  <CharactersWithSpaces>5417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2019-09-18T00:55:00Z</dcterms:created>
  <dc:creator>lenovo</dc:creator>
  <cp:lastModifiedBy>一箱子云朵哦</cp:lastModifiedBy>
  <dcterms:modified xsi:type="dcterms:W3CDTF">2023-09-08T03:37:09Z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9C3484277BF84C1D88D3A661077F441A_12</vt:lpwstr>
  </property>
</Properties>
</file>