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rPr>
          <w:rFonts w:hint="eastAsia" w:ascii="黑体" w:hAnsi="黑体" w:eastAsia="黑体" w:cs="黑体"/>
          <w:b/>
          <w:bCs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/>
        </w:rPr>
        <w:t>太白县太白河镇2019年部门综合预算说明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rPr>
          <w:b/>
          <w:bCs w:val="0"/>
          <w:szCs w:val="21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center"/>
        <w:textAlignment w:val="auto"/>
        <w:rPr>
          <w:b/>
          <w:bCs w:val="0"/>
          <w:szCs w:val="21"/>
          <w:lang w:val="en-US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textAlignment w:val="auto"/>
        <w:rPr>
          <w:rStyle w:val="5"/>
          <w:rFonts w:hint="eastAsia" w:ascii="仿宋_GB2312" w:hAnsi="Arial" w:eastAsia="仿宋_GB2312" w:cs="仿宋_GB2312"/>
          <w:color w:val="2B2B2B"/>
          <w:sz w:val="25"/>
          <w:szCs w:val="25"/>
          <w:shd w:val="clear" w:fill="FFFFFF"/>
          <w:lang w:val="en-US"/>
        </w:rPr>
      </w:pPr>
      <w:r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  <w:t>一、部门主要职责及机构设置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镇党委</w:t>
      </w: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 w:eastAsia="zh-CN"/>
        </w:rPr>
        <w:t>、</w:t>
      </w: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镇政府通过组织群众、宣传群众、教育群众、服务群众，切实履行促进经济发展、提供公共服务、加强社会管理、推动基层民主的职能，努力把工作重点转到示范引导、提供政策服务以及营造发展环境上来。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jc w:val="both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（一）执行法律政策，坚持依法行政。贯彻执行国家法律法规及党和国家的方针政策，贯彻执行上级党组织及本级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党员代表大会、人民代表大会</w:t>
      </w: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决议，执行上级国家行政机关的决定和命令，发布决定和命令。加强政权建设和党风廉政建设，坚持依法行政，推进民主政治发展。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jc w:val="both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（二）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落实强农惠农政策措施，确保农民受益。促进民营经济发展，引导农民多渠道转移就业，增加农民收入，不断提高人民生活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（三）强化公共服务，着力改善民生。落实计划生育基本国策，推进优生优育，稳定农村低生育水平。促进农村义务教育发展，推动农村公共卫生体系和基本医疗体系建设，丰富农民群众文化生活，发展农村体育事业，培养社会主义新型农民。做好防灾减灾、五保供养、优抚安置、低保、扶贫救济、养老保险和其他社会救助工作。发展农村老龄服务。加强农村残疾预防和残疾人康复工作。组织开展农村基础设施建设，改善农民生产生活条件。做好外出务工人员技能培训的服务工作，促进城乡劳动者平等就业。完善农村公共服务，形成管理有序、服务完善、文明祥和的社会生活共同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（四）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安全生产、市场监管、劳动监察、环境保护等方面的工作。保证社会公正，维护社会秩序和社会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（五）推动基层民主，促进农村和谐。加强农村党的基层组织建设、农村基层干部队伍建设、农村党员队伍建设。做好镇</w:t>
      </w: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 w:eastAsia="zh-CN"/>
        </w:rPr>
        <w:t>人民代表大会</w:t>
      </w: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、群团、国防教育、兵役、民兵等工作。指导村民自治，完善民主议事制度，推进村务公开、财务公开，引导农民有序参与村级事务管理，推动农村社区建设，依法促进社会组织健康发展，增强社会自治功能。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textAlignment w:val="auto"/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（六）完成上级党委、政府交办的其他工作。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20" w:firstLineChars="200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_GB2312" w:hAnsi="Arial" w:eastAsia="仿宋_GB2312" w:cs="仿宋_GB2312"/>
          <w:color w:val="2B2B2B"/>
          <w:sz w:val="31"/>
          <w:szCs w:val="31"/>
          <w:shd w:val="clear" w:fill="FFFFFF"/>
          <w:lang w:val="en-US"/>
        </w:rPr>
        <w:t>根据上述职责，太白河镇机关内设6个综合办公室，包括：党政办公室（财政所）、经济发展（市场监督）办公室（国土资源管理所、安全生产监督管理站）、社会事务管理办公室（民政、社会保障综合事务）、综治维稳办公室（司法所）、宣传科教文卫办公室、人大主席团办公室；设置机关直属事业机构5个，包括：经济综合服务站、社会保障服务站、公用事业服务站（文化站）、食品药品监督管理所、畜牧兽医技术推广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jc w:val="both"/>
        <w:textAlignment w:val="auto"/>
        <w:rPr>
          <w:rStyle w:val="5"/>
          <w:rFonts w:hint="default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  <w:t>二、2019年年度部门工作任务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认真学习贯彻党的十九大精神，不忘初心、牢记使命，围绕“四县”建设和全域景区化决定，把发展作为建设黄金小镇的第一要务，坚持解放思想、精准脱贫、重点项目、美丽乡村、民生保障、党的建设，全力推进太白河“黄金之旅”为主的乡村振兴之路，实现“五镇 ”建设进入提质增效高质量发展的新时期。我镇两个村均不是贫困村，2019年基础设施、产业项目资金短缺，需上级部门研究予以解决。集体经济需投入资金、人才、新理念，加强经营管理，树立品牌意识与市场对接，实现高质量发展。加强乡镇干部交流使用，积极落实三项机制，增强干部工作积极性、主动性、创造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Style w:val="5"/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一是全力推进重点项目，提升经济综合实力。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，我镇谋划重点项目6个，总投资2.77亿元，其中续建项目1个，为片仔癀麝业药用基地建设项目，年度投资1.1亿元。新开工项目5个，投资1.67亿元，含太白河35千伏输电线路改造项目、太白河镇王家庄至苟家河公路改建工程、黄金之旅美丽乡村建设项目、黄金探矿增储项目、太白河镇蟠桃沟尾矿库建设项目。全力实施重点项目，提升发展影响力。紧盯项目建设，实行“一个项目一个班子，一个班子一套人马”项目包抓工作机制，大力度推进，高效率落实。发掘各种渠道争取省、市、县项目资金、专项资金等，确保完成争资300万元，力争完成500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Style w:val="5"/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二是全力推进脱贫攻坚，提升群众幸福感。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建立村规民约，强化家风家训教育，培育文明家风，突出扶智扶志，以“黄金之旅”为龙头，加快推进秦西南林麝养殖和天山乡村旅游产业发展，借三变改革契机，推动集体产权制度改革，做大做强集体经济。通过实施农业旅游+产业扶贫战略，将极大延长我镇特色产业链，增加农产品的附加值,引爆农民增收新的增长点，带动贫困户增收致富奔小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Style w:val="5"/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三是全力推进乡村振兴，提升小镇新面貌。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对太白河镇进行统一规划，走田园综合体+黄金特色小镇发展模式，加大基础设施提升改造，实施东青排洪渠、镇区饮水提质工程；加快实施农村人居环境改善项目，为两村修建垃圾填埋场、污水处理池，修建卫生厕所，并按照“1+2”工作思路和“五净一规范”要求，加大农村环境综合整治力度，充分挖掘本土山水人文资源，打造集金色池塘、鱼龙阁、垂钓中心、农家乐于一体的兴隆村美丽景区度假村，推行休闲农业观光、康养基地、乡村民宿建设，力争把全镇建设成为“环境美、风尚美、人文美、生活美”的幸福家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Style w:val="5"/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四是全力打好生态环境保卫战，提升绿色竞争力。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牢固树立“绿水青山就是金山银山”的理念，坚持绿色发展，坚决打赢生态环境保卫战。依据秦岭生态环境保护条例，划定生态保护红线，制定专项规划；全面落实河长制，加强太白河境内水环境保护和治理；深入开展“铁腕治霾 保卫蓝天”专项行动，全面落实“减煤、控车、抑尘、治源、禁燃、增绿”六项举措，突出抓好农村“五改”，严厉打击各类环境违法行为，使太白河山更青、天更蓝、水更清、土更洁。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Style w:val="5"/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五是全力加强基层组织，提升党建凝聚力。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深刻领会习近平新时代中国特色社会主义思想，坚持把脱贫攻坚作为镇、村党组织的核心任务，进一步强化责任意识，切实加强村“两委”班子的战斗力和执行力，结合农村“三变改革”，盘活农村资产资源，切实加强村级党组织凝聚力，提高带领脱贫攻坚实力，实现农村持续发展、长效脱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3" w:firstLineChars="200"/>
        <w:jc w:val="both"/>
        <w:textAlignment w:val="auto"/>
        <w:rPr>
          <w:rStyle w:val="5"/>
          <w:rFonts w:hint="default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  <w:t>三、部门预算单位构成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从预算单位构成看，太白县太白河镇人民政府为全额财政拨款单位，部门预算包括部门本级（机关）预算和所属二级单位预算。纳入本部门2019年部门预算编制范围的二级预算单位共有6个，包括：</w:t>
      </w:r>
    </w:p>
    <w:tbl>
      <w:tblPr>
        <w:tblStyle w:val="3"/>
        <w:tblW w:w="1032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5805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2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</w:rPr>
              <w:t>序号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2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</w:rPr>
              <w:t>单位名称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2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Style w:val="5"/>
                <w:rFonts w:hint="eastAsia" w:ascii="仿宋" w:hAnsi="仿宋" w:eastAsia="仿宋" w:cs="仿宋"/>
                <w:sz w:val="31"/>
                <w:szCs w:val="31"/>
              </w:rPr>
              <w:t>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太白县太白河镇人民政府(本级)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太白县太白河镇党委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太白县太白河镇财政所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行政单位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太白县太白河镇公用事业服务站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一类公益事业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太白县太白河镇计划生育服务站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一类公益事业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太白县太白河镇畜牧兽医技术推广站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一类公益事业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太白县太白河镇社会保障服务站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0" w:firstLineChars="20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一类公益事业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43" w:firstLineChars="200"/>
        <w:jc w:val="both"/>
        <w:textAlignment w:val="auto"/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  <w:t>部门人员情况说明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0" w:rightChars="0" w:firstLine="620" w:firstLineChars="200"/>
        <w:jc w:val="both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截至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2018年底，本部门人员编制31名，其中：行政编制21名，事业编制10名；实有人员26人，其中：行政17人，事业9人；财供临时人员4人，遗属1人。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43" w:firstLineChars="200"/>
        <w:jc w:val="both"/>
        <w:textAlignment w:val="auto"/>
        <w:rPr>
          <w:rStyle w:val="5"/>
          <w:rFonts w:hint="default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  <w:t>五、部门国有资产占有使用及资产配置情况说明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截至2018年12月31日，固定资产总计421.47万元，本部门所属预算单位共有车辆2辆。其中：房屋及构筑物324.54万元、通用设备72.33万元、专用设备0万元、交通用具24.6万元， 2019年部门预算未安排购置车辆；安排购置单价20万元以上的设备0台（套），部门国有资产全部在使用阶段。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43" w:firstLineChars="200"/>
        <w:jc w:val="both"/>
        <w:textAlignment w:val="auto"/>
        <w:rPr>
          <w:rStyle w:val="5"/>
          <w:rFonts w:hint="default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  <w:t>六、部门预算绩效目标说明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default" w:ascii="Arial" w:hAnsi="Arial" w:cs="Arial"/>
          <w:color w:val="2B2B2B"/>
          <w:sz w:val="31"/>
          <w:szCs w:val="31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2019年本部门专项业务经费项目实现了绩效目标管理全覆盖，涉及一般公共预算当年拨款20.8万元。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43" w:firstLineChars="200"/>
        <w:jc w:val="both"/>
        <w:textAlignment w:val="auto"/>
        <w:rPr>
          <w:rStyle w:val="5"/>
          <w:rFonts w:hint="default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</w:pPr>
      <w:r>
        <w:rPr>
          <w:rStyle w:val="5"/>
          <w:rFonts w:hint="eastAsia" w:asciiTheme="majorEastAsia" w:hAnsiTheme="majorEastAsia" w:eastAsiaTheme="majorEastAsia" w:cstheme="majorEastAsia"/>
          <w:color w:val="2B2B2B"/>
          <w:sz w:val="32"/>
          <w:szCs w:val="32"/>
          <w:shd w:val="clear" w:fill="FFFFFF"/>
          <w:lang w:val="en-US"/>
        </w:rPr>
        <w:t>七、2019年部门预算收支说明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（一）收支预算总体情况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2019年本部门预算收入为381.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万元，全部为一般公共预算拨款收入，较上年370.5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万元增加10.98万元，同比增长3%，主要原因：人员工资的提标晋级晋档及日常公用经费增加。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2019年本部门预算支出为381.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万元，全部为一般公共预算拨款支出，较上年370.5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万元增加10.98万元，同比增长3%，主要原因：一是人员工资的提标晋级晋档及日常公用经费增加，二是政府采购项目资金纳入部门预算。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（二）财政拨款收支情况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2019年本部门预算收入为381.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万元，全部为一般公共预算拨款收入，较上年370.5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万元增加10.98万元，主要原因：一是人员工资的提标晋级晋档及日常公用经费增加。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2019年本部门预算支出为381.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万元，全部为一般公共预算拨款支出，较上年370.52万元增加10.98万元，主要原因：一是人员工资的提标晋级晋档及日常公用经费增加，二是政府采购项目资金纳入部门预算。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（三）一般公共预算拨款支出明细情况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1、一般公共预算当年补款规模变化情况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   2019年本部门预算支出为381.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万元，较上年370.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万元增加10.98万元，增长3%主要原因：一是人员工资的提标晋级晋档及日常公用经费增加；二是部门预算增加政府采购项目资金；三是将2019年单位全部人员医疗、大病、生育、工伤保险预算至本单位。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2、支出按功能科目分类的明细情况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   2019年太白河镇一般公共预算拨款支出为381.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万元，其中：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（1）行政运行（2010108）1.5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万元，较上年无增减变动。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（2）政府行政运行(2010301)144.6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万元，较上年124.4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万元增加20.17万元，原因是行政单位人员增加，工资提标及日常经费增加。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（3）政府事业运行（2010350）25.29万元，较上年46.49万元减少21.20万元，原因是人员调动工资及福利支出减少。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（4）机关事业单位基本养老保险缴费支出（2080505）32.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70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万元，较上年32.76万元减少0.06万元，原因是单位人员调动。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（5）机关事业单位职业年金缴费支出（2080506）26.76万元，较上年13.1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万元增加13.58万元，原因是机关事业单位人员调入职业年金基数增加。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（6）对村民委员会和村党支部的补助（2130705）24.11万元，较上年无增减变动。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（7）党委行政运行（2013101）46.14万元，较上年39.8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万元增加6.2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万元，原因是人员工资提标晋级晋档及公用经费增长。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（8）其他共产党事物支出（2013199）5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万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元，较上年无增减变动。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（9）财政行政运行（2010601）25.40万元，较上年22.07万元增加3.33万元，原因是人员基本工资标准提高及公用经费增加。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（10）文化站（2019999）7.74万元，较上年7.2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万元增加0.45万元，原因是人员补贴增加及预算保险费用。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（11）计生站（2100799）16.0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万元，较上年15.27万元增加0.7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万元，原因是人员工资提标及预算全年保险费用。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（12）兽医站（2130104）7.76万元，较上年15.0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万元减少7.24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万元，原因是人员调出工资及日常经费减少。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（13）社保站（2089901）16.5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较上年增加16.59万元，原因是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年初新增单位。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（14）事业单位医疗（2101102）1.8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较上年增加1.85万元，主要原因是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上年度无此功能科目。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3.支出按经济科目分类的明细情况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（1）支出按照部门预算支出经济分类的类级科目说明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2019年本部门一般公共预算拨款人员经费支出337.6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万元，较上年人员经费支出303.6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万元增加33.9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万元，原因是人员工资提标及正常晋级晋档及保险费用增加。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2019年本部门一般公共预算拨款公用经费支出23.08万元，较上年公用经费支出22.54万元增加0.54万元，原因是人员增加引起日常公用经费增加。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2019年本部门一般公共预算拨款项目支出20.80万元，较上年项目支出20.80万元无增减变化。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工资福利支出（301）317.30万元，全部为人员经费支出，较上年283.25万元增加34.05万元，同比增长12%，原因为机关行政、事业单位人员工资正常晋升及预算全年保险费用。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商品和服务支出（302）43.88万元，较上年43.34万元增加0.54万元，同比增长1.2%，原因为新增人员日常办公经费支出增加。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对个人家庭补助（303）20.3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万元，全部为人员经费支出，较上年20.42万元减少0.1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万元，同比减少0.05%，原因为村干部人数精简及生活补助减少。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instrText xml:space="preserve">INCLUDEPICTURE \d "http://www.sxtb.gov.cn/upload/CMStaibai/201905/20190521vk2s3l3oz7.png" \* MERGEFORMATINET </w:instrTex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fldChar w:fldCharType="separate"/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drawing>
          <wp:inline distT="0" distB="0" distL="114300" distR="114300">
            <wp:extent cx="304800" cy="304800"/>
            <wp:effectExtent l="0" t="0" r="0" b="0"/>
            <wp:docPr id="147" name="图片 8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8" descr="图片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（2）支出按照政府预算支出经济分类的类级科目说明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 2019年本部门一般公共预算支出381.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万元，其中：机关工资福利支出（501）259.8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；机关商品和服务支出（502）42.08万元；机关资本性支出（一）（503）0万元；机关资本性支出（二）（504）0万元；对事业单位经营性补助（505）59.29万元；对事业单位资本性补助（506）0万元；对个人和家庭的补助（509）20.3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万元，其他支出（599）0万元。因 2019 年部门预算中首次批复政府经济分类科目，与上年不形成对比。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instrText xml:space="preserve">INCLUDEPICTURE \d "http://www.sxtb.gov.cn/upload/CMStaibai/201905/201905212vhc810w6v.png" \* MERGEFORMATINET </w:instrTex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fldChar w:fldCharType="separate"/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drawing>
          <wp:inline distT="0" distB="0" distL="114300" distR="114300">
            <wp:extent cx="304800" cy="304800"/>
            <wp:effectExtent l="0" t="0" r="0" b="0"/>
            <wp:docPr id="148" name="图片 9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9" descr="图片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（四）政府性基金预算支出情况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2019年本部门没有使用政府性基金预算拨款安排的支出，并已公开空表。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 (五）国有资本经营预算拨款收支情况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2019年本部门无国有资本经营预算拨款收支，并已公开空表。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（六）部门“三公”经费等预算情况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一般公共预算“三公”经费预算支出3.47万元，较上年3.49万元减少0.02万元，减少的主要原因是减少公车运行维护费及公务招待费。其中:公务用车运行维护费2.48万元，较上年2.49万元减少0.01万元，下降0.04%，原因是严格执行上级政策，实行车辆外出审批制度，减少公车使用次数；公务接待费0.99万元，较上年1万元减少0.01万元，下降1%，原因是检查人员接待实行廉政化，拒绝铺张浪费安排在廉政灶吃饭；公车购置0万元，与上年持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2019年度会议费预算支出0.59万元，较上年0.6万元减少0.01万元，原因是近年来政府会议次数减少人员精简。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2019年度培训费0.19万元，较上年0.21万元减少0.02万元，主要原因是培训规模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次数精简。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（七）机关运行经费安排情况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本部门2019年机关运行经费预算安排23.08万元，比2018年22.54万元增加0.54万元。原因是人员增加引起日常公用经费商品服务及其他交通费用增加。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2B2B2B"/>
          <w:sz w:val="31"/>
          <w:szCs w:val="31"/>
          <w:shd w:val="clear" w:fill="FFFFFF"/>
          <w:lang w:val="en-US"/>
        </w:rPr>
        <w:t>政府采购情况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right="0" w:rightChars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2019年本部门政府采购预算共10万元,其中：政府采购货物类预算7万元，政府采购工程类预算3万元。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2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Style w:val="5"/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八、专业名词解释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一）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0" w:firstLine="620" w:firstLineChars="200"/>
        <w:textAlignment w:val="auto"/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B2B2B"/>
          <w:sz w:val="31"/>
          <w:szCs w:val="31"/>
          <w:shd w:val="clear" w:fill="FFFFFF"/>
          <w:lang w:val="en-US"/>
        </w:rPr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9C64E"/>
    <w:multiLevelType w:val="singleLevel"/>
    <w:tmpl w:val="E639C64E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765EC5"/>
    <w:multiLevelType w:val="singleLevel"/>
    <w:tmpl w:val="01765E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2Y0ZTk4NzM2NGJhMDNhNTE2YmYyZmRiYzdiNDQifQ=="/>
  </w:docVars>
  <w:rsids>
    <w:rsidRoot w:val="04347075"/>
    <w:rsid w:val="04347075"/>
    <w:rsid w:val="16704C7C"/>
    <w:rsid w:val="231132FF"/>
    <w:rsid w:val="2C223EC6"/>
    <w:rsid w:val="2C837470"/>
    <w:rsid w:val="2F4D0565"/>
    <w:rsid w:val="337D35E2"/>
    <w:rsid w:val="3E1F7788"/>
    <w:rsid w:val="43AA712C"/>
    <w:rsid w:val="5714693E"/>
    <w:rsid w:val="5B027AAC"/>
    <w:rsid w:val="5BBA6FF7"/>
    <w:rsid w:val="5C746895"/>
    <w:rsid w:val="5FF64303"/>
    <w:rsid w:val="6024015A"/>
    <w:rsid w:val="69955386"/>
    <w:rsid w:val="70AD3C34"/>
    <w:rsid w:val="7F3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5582</Words>
  <Characters>6195</Characters>
  <Lines>0</Lines>
  <Paragraphs>0</Paragraphs>
  <TotalTime>26</TotalTime>
  <ScaleCrop>false</ScaleCrop>
  <LinksUpToDate>false</LinksUpToDate>
  <CharactersWithSpaces>6208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2023-08-24T08:07:00Z</dcterms:created>
  <dc:creator> 　 　 　</dc:creator>
  <cp:lastModifiedBy>诗</cp:lastModifiedBy>
  <dcterms:modified xsi:type="dcterms:W3CDTF">2023-10-18T00:56:10Z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16EADD32986D43DB8242D663E8B5E6A4_13</vt:lpwstr>
  </property>
</Properties>
</file>