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C3FCA">
      <w:pPr>
        <w:rPr>
          <w:rFonts w:hint="eastAsia" w:ascii="宋体" w:hAnsi="宋体" w:cs="宋体"/>
          <w:sz w:val="30"/>
          <w:szCs w:val="30"/>
        </w:rPr>
      </w:pPr>
      <w:r>
        <w:rPr>
          <w:rFonts w:hint="eastAsia" w:ascii="宋体" w:hAnsi="宋体" w:cs="宋体"/>
          <w:sz w:val="30"/>
          <w:szCs w:val="30"/>
        </w:rPr>
        <w:t>附件20</w:t>
      </w:r>
    </w:p>
    <w:p w14:paraId="48AE7A33">
      <w:pPr>
        <w:spacing w:line="400" w:lineRule="exact"/>
        <w:rPr>
          <w:rFonts w:hint="eastAsia" w:ascii="黑体" w:hAnsi="黑体" w:eastAsia="黑体" w:cs="黑体"/>
          <w:sz w:val="32"/>
          <w:szCs w:val="32"/>
        </w:rPr>
      </w:pPr>
    </w:p>
    <w:p w14:paraId="2801C356">
      <w:pPr>
        <w:jc w:val="center"/>
        <w:rPr>
          <w:rFonts w:hint="eastAsia" w:ascii="方正小标宋简体" w:eastAsia="方正小标宋简体"/>
          <w:sz w:val="44"/>
          <w:szCs w:val="44"/>
        </w:rPr>
      </w:pPr>
      <w:r>
        <w:rPr>
          <w:rFonts w:hint="eastAsia" w:ascii="方正小标宋简体" w:eastAsia="方正小标宋简体"/>
          <w:sz w:val="44"/>
          <w:szCs w:val="44"/>
        </w:rPr>
        <w:t>2018年太白县预算绩效工作开展情况说明</w:t>
      </w:r>
    </w:p>
    <w:p w14:paraId="25C6D28C">
      <w:pPr>
        <w:spacing w:line="400" w:lineRule="exact"/>
        <w:jc w:val="center"/>
        <w:rPr>
          <w:rFonts w:hint="eastAsia" w:ascii="方正小标宋简体" w:eastAsia="方正小标宋简体"/>
          <w:sz w:val="44"/>
          <w:szCs w:val="44"/>
        </w:rPr>
      </w:pPr>
    </w:p>
    <w:p w14:paraId="33C1662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2018年，我县预算绩效管理工作在</w:t>
      </w:r>
      <w:r>
        <w:rPr>
          <w:rFonts w:hint="eastAsia" w:ascii="仿宋_GB2312" w:hAnsi="仿宋_GB2312" w:eastAsia="仿宋_GB2312" w:cs="仿宋_GB2312"/>
          <w:sz w:val="32"/>
          <w:szCs w:val="32"/>
        </w:rPr>
        <w:t>县委、县政府的正确领导下，在</w:t>
      </w:r>
      <w:r>
        <w:rPr>
          <w:rFonts w:hint="eastAsia" w:ascii="仿宋_GB2312" w:hAnsi="仿宋_GB2312" w:eastAsia="仿宋_GB2312" w:cs="仿宋_GB2312"/>
          <w:kern w:val="0"/>
          <w:sz w:val="32"/>
          <w:szCs w:val="32"/>
        </w:rPr>
        <w:t>上级财政部门的</w:t>
      </w:r>
      <w:r>
        <w:rPr>
          <w:rFonts w:hint="eastAsia" w:ascii="仿宋_GB2312" w:hAnsi="仿宋_GB2312" w:eastAsia="仿宋_GB2312" w:cs="仿宋_GB2312"/>
          <w:sz w:val="32"/>
          <w:szCs w:val="32"/>
        </w:rPr>
        <w:t>大力支持和精心指导下，认真贯彻落实党的十九大精神，在前两年试点的基础上，积极探索，主动作为，</w:t>
      </w:r>
      <w:r>
        <w:rPr>
          <w:rFonts w:hint="eastAsia" w:ascii="仿宋_GB2312" w:hAnsi="仿宋_GB2312" w:eastAsia="仿宋_GB2312" w:cs="仿宋_GB2312"/>
          <w:kern w:val="0"/>
          <w:sz w:val="32"/>
          <w:szCs w:val="32"/>
        </w:rPr>
        <w:t>扎实开展预算绩效管理试点扩面工作。现将有关情况总结汇报如下</w:t>
      </w:r>
      <w:r>
        <w:rPr>
          <w:rFonts w:hint="eastAsia" w:ascii="仿宋_GB2312" w:hAnsi="仿宋_GB2312" w:eastAsia="仿宋_GB2312" w:cs="仿宋_GB2312"/>
          <w:kern w:val="0"/>
          <w:sz w:val="32"/>
          <w:szCs w:val="32"/>
          <w:lang w:eastAsia="zh-CN"/>
        </w:rPr>
        <w:t>：</w:t>
      </w:r>
    </w:p>
    <w:p w14:paraId="127BA1B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黑体" w:hAnsi="黑体" w:eastAsia="黑体" w:cs="黑体"/>
          <w:b w:val="0"/>
          <w:bCs/>
          <w:kern w:val="0"/>
          <w:sz w:val="32"/>
          <w:szCs w:val="32"/>
        </w:rPr>
        <w:t>（一）加强领导，夯实责任。</w:t>
      </w:r>
      <w:r>
        <w:rPr>
          <w:rFonts w:hint="eastAsia" w:ascii="仿宋_GB2312" w:hAnsi="仿宋_GB2312" w:eastAsia="仿宋_GB2312" w:cs="仿宋_GB2312"/>
          <w:kern w:val="0"/>
          <w:sz w:val="32"/>
          <w:szCs w:val="32"/>
        </w:rPr>
        <w:t>按照</w:t>
      </w:r>
      <w:r>
        <w:rPr>
          <w:rFonts w:hint="eastAsia" w:ascii="仿宋_GB2312" w:hAnsi="仿宋_GB2312" w:eastAsia="仿宋_GB2312" w:cs="仿宋_GB2312"/>
          <w:sz w:val="32"/>
          <w:szCs w:val="32"/>
        </w:rPr>
        <w:t>《太</w:t>
      </w:r>
      <w:r>
        <w:rPr>
          <w:rFonts w:hint="eastAsia" w:ascii="仿宋_GB2312" w:hAnsi="仿宋_GB2312" w:eastAsia="仿宋_GB2312" w:cs="仿宋_GB2312"/>
          <w:kern w:val="0"/>
          <w:sz w:val="32"/>
          <w:szCs w:val="32"/>
        </w:rPr>
        <w:t>白县财政支出绩效评价实施办法（试行）》</w:t>
      </w:r>
      <w:r>
        <w:rPr>
          <w:rFonts w:hint="eastAsia" w:ascii="仿宋_GB2312" w:hAnsi="仿宋_GB2312" w:eastAsia="仿宋_GB2312" w:cs="仿宋_GB2312"/>
          <w:sz w:val="32"/>
          <w:szCs w:val="32"/>
        </w:rPr>
        <w:t>（太财字〔2013〕155号）、《2017年项目绩效评价工作方案》（太财字〔2017〕218号）等文件精神和</w:t>
      </w:r>
      <w:r>
        <w:rPr>
          <w:rFonts w:hint="eastAsia" w:ascii="仿宋_GB2312" w:hAnsi="仿宋_GB2312" w:eastAsia="仿宋_GB2312" w:cs="仿宋_GB2312"/>
          <w:kern w:val="0"/>
          <w:sz w:val="32"/>
          <w:szCs w:val="32"/>
        </w:rPr>
        <w:t>年初确定的预算绩效目标</w:t>
      </w:r>
      <w:r>
        <w:rPr>
          <w:rFonts w:hint="eastAsia" w:ascii="仿宋_GB2312" w:hAnsi="仿宋_GB2312" w:eastAsia="仿宋_GB2312" w:cs="仿宋_GB2312"/>
          <w:sz w:val="32"/>
          <w:szCs w:val="32"/>
        </w:rPr>
        <w:t>，我们分部门、分项目类别和考核要求，研究制定财政专项资金支出绩效评价指标体系，下发绩效评价工作方案，对2018年全县预算绩效管理考核工作进行了详细的安排部署，并成立由主管领导带队，各业务股室负责人任组长的评价工作小组，明确了任务，夯实了责任。为我县预算绩效管理评价工作的顺利开展奠定了基础。</w:t>
      </w:r>
    </w:p>
    <w:p w14:paraId="0612B73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 w:val="0"/>
          <w:bCs/>
          <w:kern w:val="0"/>
          <w:sz w:val="32"/>
          <w:szCs w:val="32"/>
        </w:rPr>
        <w:t>（二）完善制度办法，规范业务运行。</w:t>
      </w:r>
      <w:r>
        <w:rPr>
          <w:rFonts w:hint="eastAsia" w:ascii="仿宋_GB2312" w:hAnsi="仿宋_GB2312" w:eastAsia="仿宋_GB2312" w:cs="仿宋_GB2312"/>
          <w:sz w:val="32"/>
          <w:szCs w:val="32"/>
        </w:rPr>
        <w:t>先后出台了《太</w:t>
      </w:r>
      <w:r>
        <w:rPr>
          <w:rFonts w:hint="eastAsia" w:ascii="仿宋_GB2312" w:hAnsi="仿宋_GB2312" w:eastAsia="仿宋_GB2312" w:cs="仿宋_GB2312"/>
          <w:kern w:val="0"/>
          <w:sz w:val="32"/>
          <w:szCs w:val="32"/>
        </w:rPr>
        <w:t>白县财政支出绩效评价实施办法（试行）》</w:t>
      </w:r>
      <w:r>
        <w:rPr>
          <w:rFonts w:hint="eastAsia" w:ascii="仿宋_GB2312" w:hAnsi="仿宋_GB2312" w:eastAsia="仿宋_GB2312" w:cs="仿宋_GB2312"/>
          <w:sz w:val="32"/>
          <w:szCs w:val="32"/>
        </w:rPr>
        <w:t>（太财字〔2013〕155号）</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太白县财政支出绩效评价工作实施方案》（太财字〔2013〕245号）、《太白县财政局关于推进预算绩效管理的实施意见》（太财字〔2013〕246号）、《太白县财政局关于推进预算绩效管理工作考核办法（试行）》（太财字〔2013〕247号）、《太白县县级财政专项资金预算编制管理办法》（太财字〔2013〕326号）等规范性文件，</w:t>
      </w:r>
      <w:r>
        <w:rPr>
          <w:rFonts w:hint="eastAsia" w:ascii="仿宋_GB2312" w:hAnsi="仿宋_GB2312" w:eastAsia="仿宋_GB2312" w:cs="仿宋_GB2312"/>
          <w:kern w:val="0"/>
          <w:sz w:val="32"/>
          <w:szCs w:val="32"/>
        </w:rPr>
        <w:t>对财政支</w:t>
      </w:r>
      <w:r>
        <w:rPr>
          <w:rFonts w:hint="eastAsia" w:ascii="仿宋_GB2312" w:hAnsi="仿宋_GB2312" w:eastAsia="仿宋_GB2312" w:cs="仿宋_GB2312"/>
          <w:sz w:val="32"/>
          <w:szCs w:val="32"/>
        </w:rPr>
        <w:t>出绩效评价的对象内容、标准方法、组织管理、操作流程及考核要求等</w:t>
      </w:r>
      <w:r>
        <w:rPr>
          <w:rFonts w:hint="eastAsia" w:ascii="仿宋_GB2312" w:hAnsi="仿宋_GB2312" w:eastAsia="仿宋_GB2312" w:cs="仿宋_GB2312"/>
          <w:kern w:val="0"/>
          <w:sz w:val="32"/>
          <w:szCs w:val="32"/>
        </w:rPr>
        <w:t>进行了详细规定。</w:t>
      </w:r>
      <w:r>
        <w:rPr>
          <w:rFonts w:hint="eastAsia" w:ascii="仿宋_GB2312" w:hAnsi="仿宋_GB2312" w:eastAsia="仿宋_GB2312" w:cs="仿宋_GB2312"/>
          <w:sz w:val="32"/>
          <w:szCs w:val="32"/>
        </w:rPr>
        <w:t>并针对试点项目不断增加、评价工作量日益繁重等问题，及时制定了《太白县财政支出绩效评价工作规程（试行）》（太财字〔2015〕245号）、《2018年项目绩效评价工作方案》，对预算部门及财政局各业务股室的工作职责进行了再分工再细化，进一步落实到具体环节、具体时限、具体内容和具体要求上，正式形成了由预算股牵头抓总、各业务股室和预算部门紧密配合积极实施的工作格局，凝聚了合力，做到了以制度规范业务操作，以制度推进预算绩效管理工作向深入迈进。</w:t>
      </w:r>
    </w:p>
    <w:p w14:paraId="0736BD1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0"/>
          <w:sz w:val="32"/>
          <w:szCs w:val="32"/>
        </w:rPr>
        <w:t>（三）抓住重点环节，加强绩效目标管理。</w:t>
      </w:r>
      <w:r>
        <w:rPr>
          <w:rFonts w:hint="eastAsia" w:ascii="仿宋_GB2312" w:hAnsi="仿宋_GB2312" w:eastAsia="仿宋_GB2312" w:cs="仿宋_GB2312"/>
          <w:sz w:val="32"/>
          <w:szCs w:val="32"/>
        </w:rPr>
        <w:t>我们在以前年度试点的基础上继续按照“先易后难、由点及面、重点突破、全面推进”的原则，积极实施扩面增点工程。</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继续扩大绩效评价试点范围。今年新增县农工部、县民政局、县教体局、县市场</w:t>
      </w:r>
      <w:r>
        <w:rPr>
          <w:rFonts w:hint="eastAsia" w:ascii="仿宋_GB2312" w:hAnsi="仿宋_GB2312" w:eastAsia="仿宋_GB2312" w:cs="仿宋_GB2312"/>
          <w:sz w:val="32"/>
          <w:szCs w:val="32"/>
          <w:lang w:eastAsia="zh-CN"/>
        </w:rPr>
        <w:t>监督管理</w:t>
      </w:r>
      <w:r>
        <w:rPr>
          <w:rFonts w:hint="eastAsia" w:ascii="仿宋_GB2312" w:hAnsi="仿宋_GB2312" w:eastAsia="仿宋_GB2312" w:cs="仿宋_GB2312"/>
          <w:sz w:val="32"/>
          <w:szCs w:val="32"/>
        </w:rPr>
        <w:t>局、县国土局、县</w:t>
      </w:r>
      <w:r>
        <w:rPr>
          <w:rFonts w:hint="eastAsia" w:ascii="仿宋_GB2312" w:hAnsi="仿宋_GB2312" w:eastAsia="仿宋_GB2312" w:cs="仿宋_GB2312"/>
          <w:sz w:val="32"/>
          <w:szCs w:val="32"/>
          <w:lang w:val="en-US" w:eastAsia="zh-CN"/>
        </w:rPr>
        <w:t>农业农村局</w:t>
      </w:r>
      <w:r>
        <w:rPr>
          <w:rFonts w:hint="eastAsia" w:ascii="仿宋_GB2312" w:hAnsi="仿宋_GB2312" w:eastAsia="仿宋_GB2312" w:cs="仿宋_GB2312"/>
          <w:sz w:val="32"/>
          <w:szCs w:val="32"/>
        </w:rPr>
        <w:t>、县公安局连同县</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政法委、县统计局、县妇联、县团委、县档案局、12个部门作为部门整体支出绩效评价试点单位；截至全年，试点部</w:t>
      </w:r>
      <w:bookmarkStart w:id="0" w:name="_GoBack"/>
      <w:bookmarkEnd w:id="0"/>
      <w:r>
        <w:rPr>
          <w:rFonts w:hint="eastAsia" w:ascii="仿宋_GB2312" w:hAnsi="仿宋_GB2312" w:eastAsia="仿宋_GB2312" w:cs="仿宋_GB2312"/>
          <w:sz w:val="32"/>
          <w:szCs w:val="32"/>
        </w:rPr>
        <w:t>门和项目共计21个，占县级部门的39%。</w:t>
      </w:r>
      <w:r>
        <w:rPr>
          <w:rFonts w:hint="eastAsia" w:ascii="仿宋_GB2312" w:hAnsi="仿宋_GB2312" w:eastAsia="仿宋_GB2312" w:cs="仿宋_GB2312"/>
          <w:b/>
          <w:sz w:val="32"/>
          <w:szCs w:val="32"/>
        </w:rPr>
        <w:t>二是</w:t>
      </w:r>
      <w:r>
        <w:rPr>
          <w:rFonts w:hint="eastAsia" w:ascii="仿宋_GB2312" w:hAnsi="仿宋_GB2312" w:eastAsia="仿宋_GB2312" w:cs="仿宋_GB2312"/>
          <w:bCs/>
          <w:sz w:val="32"/>
          <w:szCs w:val="32"/>
        </w:rPr>
        <w:t>预算</w:t>
      </w:r>
      <w:r>
        <w:rPr>
          <w:rFonts w:hint="eastAsia" w:ascii="仿宋_GB2312" w:hAnsi="仿宋_GB2312" w:eastAsia="仿宋_GB2312" w:cs="仿宋_GB2312"/>
          <w:sz w:val="32"/>
          <w:szCs w:val="32"/>
        </w:rPr>
        <w:t>绩效目标编制全覆盖。2018年要求预算单位在编制部门预算的同时，对单位的所有项目支出必须填报绩效目标申报表，100万元以上的项目必须进行事前评审。虽受县级财力限制，在编制年初预算时，专项资金多为专项业务费和民生配套等支出，金额偏小，内容单一，但通过绩效目标编制，进一步增强了预算单位的绩效理念和</w:t>
      </w:r>
      <w:r>
        <w:rPr>
          <w:rFonts w:hint="eastAsia" w:ascii="仿宋_GB2312" w:hAnsi="仿宋_GB2312" w:eastAsia="仿宋_GB2312" w:cs="仿宋_GB2312"/>
          <w:kern w:val="0"/>
          <w:sz w:val="32"/>
          <w:szCs w:val="32"/>
        </w:rPr>
        <w:t>支出责任</w:t>
      </w:r>
      <w:r>
        <w:rPr>
          <w:rFonts w:hint="eastAsia" w:ascii="仿宋_GB2312" w:hAnsi="仿宋_GB2312" w:eastAsia="仿宋_GB2312" w:cs="仿宋_GB2312"/>
          <w:sz w:val="32"/>
          <w:szCs w:val="32"/>
        </w:rPr>
        <w:t>，大大</w:t>
      </w:r>
      <w:r>
        <w:rPr>
          <w:rFonts w:hint="eastAsia" w:ascii="仿宋_GB2312" w:hAnsi="仿宋_GB2312" w:eastAsia="仿宋_GB2312" w:cs="仿宋_GB2312"/>
          <w:kern w:val="0"/>
          <w:sz w:val="32"/>
          <w:szCs w:val="32"/>
        </w:rPr>
        <w:t>提高了预算单位的效率意识和责任意识。</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积极配合省市项目绩效评价工作。对列入省市绩效评价范围的扶贫专项资金等，及时与相关部门联系，完善评价体系，充实基础资料，积极开展自评。并将评价资料、自评报告一并送省市再评。</w:t>
      </w:r>
    </w:p>
    <w:p w14:paraId="2B39FD9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0"/>
          <w:sz w:val="32"/>
          <w:szCs w:val="32"/>
        </w:rPr>
        <w:t>（四）加强业务培训，不断提高工作水平。</w:t>
      </w:r>
      <w:r>
        <w:rPr>
          <w:rFonts w:hint="eastAsia" w:ascii="仿宋_GB2312" w:hAnsi="仿宋_GB2312" w:eastAsia="仿宋_GB2312" w:cs="仿宋_GB2312"/>
          <w:sz w:val="32"/>
          <w:szCs w:val="32"/>
        </w:rPr>
        <w:t>“工欲善其事，必先利其器”，预算绩效管理是一个复杂的系统工程，涉及面广、政策性强、操作难度大，对县乡财政人员来说是一项全新的挑战。为此我们把培训工作作为绩效管理的重要任务列入年初计划，采取多种方式抓好落实。</w:t>
      </w:r>
      <w:r>
        <w:rPr>
          <w:rFonts w:hint="eastAsia" w:ascii="仿宋_GB2312" w:hAnsi="仿宋_GB2312" w:eastAsia="仿宋_GB2312" w:cs="仿宋_GB2312"/>
          <w:b/>
          <w:bCs/>
          <w:sz w:val="32"/>
          <w:szCs w:val="32"/>
        </w:rPr>
        <w:t>一方面，</w:t>
      </w:r>
      <w:r>
        <w:rPr>
          <w:rFonts w:hint="eastAsia" w:ascii="仿宋_GB2312" w:hAnsi="仿宋_GB2312" w:eastAsia="仿宋_GB2312" w:cs="仿宋_GB2312"/>
          <w:sz w:val="32"/>
          <w:szCs w:val="32"/>
        </w:rPr>
        <w:t>采用以会代训的方式，与部门预算部署会合二为一，组织全县财务人员系统学习绩效管理相关政策和具体要求，并列举实例对绩效目标的编制进行讲解，使财务人员对绩效管理的意义和内容有了进一步的认识和掌握。</w:t>
      </w:r>
      <w:r>
        <w:rPr>
          <w:rFonts w:hint="eastAsia" w:ascii="仿宋_GB2312" w:hAnsi="仿宋_GB2312" w:eastAsia="仿宋_GB2312" w:cs="仿宋_GB2312"/>
          <w:b/>
          <w:bCs/>
          <w:sz w:val="32"/>
          <w:szCs w:val="32"/>
        </w:rPr>
        <w:t>另一方面，</w:t>
      </w:r>
      <w:r>
        <w:rPr>
          <w:rFonts w:hint="eastAsia" w:ascii="仿宋_GB2312" w:hAnsi="仿宋_GB2312" w:eastAsia="仿宋_GB2312" w:cs="仿宋_GB2312"/>
          <w:sz w:val="32"/>
          <w:szCs w:val="32"/>
        </w:rPr>
        <w:t>通过网络教学组织业务股室经办人员认真学习专家讲座和专题辅导，采取模拟答卷的方式对所学内容进行巩固提高，通过培训进一步提高了经办人员实施绩效管理的能力和水平。</w:t>
      </w:r>
    </w:p>
    <w:p w14:paraId="3F4C06E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0"/>
          <w:sz w:val="32"/>
          <w:szCs w:val="32"/>
        </w:rPr>
        <w:t>（五）不断探索提高，积极实施绩效评价。</w:t>
      </w:r>
      <w:r>
        <w:rPr>
          <w:rFonts w:hint="eastAsia" w:ascii="仿宋_GB2312" w:hAnsi="仿宋_GB2312" w:eastAsia="仿宋_GB2312" w:cs="仿宋_GB2312"/>
          <w:sz w:val="32"/>
          <w:szCs w:val="32"/>
        </w:rPr>
        <w:t>充分发挥财政部门绩效评价主体功能，本着积极</w:t>
      </w:r>
      <w:r>
        <w:rPr>
          <w:rFonts w:hint="eastAsia" w:ascii="仿宋_GB2312" w:hAnsi="仿宋_GB2312" w:eastAsia="仿宋_GB2312" w:cs="仿宋_GB2312"/>
          <w:kern w:val="0"/>
          <w:sz w:val="32"/>
          <w:szCs w:val="32"/>
        </w:rPr>
        <w:t>摸索，不断积累提高的目的。</w:t>
      </w:r>
      <w:r>
        <w:rPr>
          <w:rFonts w:hint="eastAsia" w:ascii="仿宋_GB2312" w:hAnsi="仿宋_GB2312" w:eastAsia="仿宋_GB2312" w:cs="仿宋_GB2312"/>
          <w:b/>
          <w:kern w:val="0"/>
          <w:sz w:val="32"/>
          <w:szCs w:val="32"/>
        </w:rPr>
        <w:t>一是</w:t>
      </w:r>
      <w:r>
        <w:rPr>
          <w:rFonts w:hint="eastAsia" w:ascii="仿宋_GB2312" w:hAnsi="仿宋_GB2312" w:eastAsia="仿宋_GB2312" w:cs="仿宋_GB2312"/>
          <w:sz w:val="32"/>
          <w:szCs w:val="32"/>
        </w:rPr>
        <w:t>制定下发了《2018年项目绩效评价工作方案》，对评价依据、方法、内容、实施步骤等进行了明确规定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为财政部门和单位实施绩效考评工作奠定基础。</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从重点环节入手，多次深入被评单位开展调查研究，在上年共性指标体系框架的基础上，结合部门职能、行业属性、项目特点，积极设计个性指标，经过反复讨论、修改完善，最终形成了太白县部门整体支出绩效评价指标和9个重点项目的绩效评价指标体系，突破了绩效评价中最为关键的环节。</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抽调相关股室项目管理人员组成评价小组，按照评价工作要求，下发绩效评价通知书，在试点单位自评的基础上积极开展评价。根据评价结果，及时出具评价报告，对试点单位、试点项目绩效管理情况进行综合分析评述，并对管理中存在的问题和不足提出意见建议。不断促进我县预算绩效管理工作上台阶、上水平。</w:t>
      </w:r>
      <w:r>
        <w:rPr>
          <w:rFonts w:hint="eastAsia" w:ascii="仿宋_GB2312" w:hAnsi="仿宋_GB2312" w:eastAsia="仿宋_GB2312" w:cs="仿宋_GB2312"/>
          <w:b/>
          <w:sz w:val="32"/>
          <w:szCs w:val="32"/>
        </w:rPr>
        <w:t>四是</w:t>
      </w:r>
      <w:r>
        <w:rPr>
          <w:rFonts w:hint="eastAsia" w:ascii="仿宋_GB2312" w:hAnsi="仿宋_GB2312" w:eastAsia="仿宋_GB2312" w:cs="仿宋_GB2312"/>
          <w:sz w:val="32"/>
          <w:szCs w:val="32"/>
        </w:rPr>
        <w:t>加大评价结果应用。根据</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太白县预算绩效管理工作考核办法》，对考核名次靠后的镇和县级部门，建议县考核办扣减其全年目标责任制考核总分。并实行考核结果与部门预算项目经费安排挂钩机制，把预算绩效管理工作成效作为部门预算编制和县级资金安排的一项重要因素，进行奖优罚劣。以上工作的实施使我县绩效管理工作得到实质性进展，并取得阶段性成效。</w:t>
      </w:r>
    </w:p>
    <w:p w14:paraId="58AB6C4F">
      <w:pPr>
        <w:spacing w:line="400" w:lineRule="exact"/>
        <w:jc w:val="center"/>
        <w:rPr>
          <w:rFonts w:hint="eastAsia" w:ascii="方正小标宋简体" w:eastAsia="方正小标宋简体"/>
          <w:sz w:val="44"/>
          <w:szCs w:val="44"/>
        </w:rPr>
      </w:pPr>
    </w:p>
    <w:p w14:paraId="64B7771B">
      <w:pPr>
        <w:spacing w:line="400" w:lineRule="exact"/>
        <w:jc w:val="center"/>
        <w:rPr>
          <w:rFonts w:hint="eastAsia" w:ascii="方正小标宋简体" w:eastAsia="方正小标宋简体"/>
          <w:sz w:val="44"/>
          <w:szCs w:val="44"/>
        </w:rPr>
      </w:pPr>
    </w:p>
    <w:p w14:paraId="372CCCDE">
      <w:pPr>
        <w:spacing w:line="400" w:lineRule="exact"/>
        <w:jc w:val="center"/>
        <w:rPr>
          <w:rFonts w:hint="eastAsia" w:ascii="方正小标宋简体" w:eastAsia="方正小标宋简体"/>
          <w:sz w:val="44"/>
          <w:szCs w:val="44"/>
        </w:rPr>
      </w:pPr>
    </w:p>
    <w:p w14:paraId="4203A082">
      <w:pPr>
        <w:spacing w:line="400" w:lineRule="exact"/>
        <w:jc w:val="center"/>
        <w:rPr>
          <w:rFonts w:hint="eastAsia" w:ascii="方正小标宋简体" w:eastAsia="方正小标宋简体"/>
          <w:sz w:val="44"/>
          <w:szCs w:val="44"/>
        </w:rPr>
      </w:pPr>
    </w:p>
    <w:p w14:paraId="18EBE682">
      <w:pPr>
        <w:rPr>
          <w:rFonts w:hint="eastAsia" w:ascii="仿宋_GB2312" w:eastAsia="仿宋_GB2312"/>
          <w:color w:val="0000FF"/>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474" w:bottom="144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modern"/>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EAD45">
    <w:pPr>
      <w:pStyle w:val="9"/>
    </w:pPr>
    <w:r>
      <w:pict>
        <v:shape id="_x0000_s4097" o:spid="_x0000_s4097" o:spt="202" type="#_x0000_t202" style="position:absolute;left:0pt;margin-top:-11.95pt;height:22.3pt;width:38.15pt;mso-position-horizontal:outside;mso-position-horizontal-relative:margin;z-index:251659264;mso-width-relative:page;mso-height-relative:page;" filled="f" stroked="f" coordsize="21600,21600">
          <v:path/>
          <v:fill on="f" focussize="0,0"/>
          <v:stroke on="f"/>
          <v:imagedata o:title=""/>
          <o:lock v:ext="edit"/>
          <v:textbox inset="0mm,0mm,0mm,0mm">
            <w:txbxContent>
              <w:p w14:paraId="171227AE">
                <w:pPr>
                  <w:pStyle w:val="9"/>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284A9">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D3898">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858F5">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55FF9">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853D8">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enableOpenTypeFeatures" w:uri="http://schemas.microsoft.com/office/word" w:val="1"/>
    <w:compatSetting w:name="doNotFlipMirrorIndents" w:uri="http://schemas.microsoft.com/office/word" w:val="1"/>
  </w:compat>
  <w:docVars>
    <w:docVar w:name="commondata" w:val="eyJoZGlkIjoiOTIxOWIxOTRkZTlkYzNmMzc2NjZkMGM5N2UwMGQ4MjYifQ=="/>
  </w:docVars>
  <w:rsids>
    <w:rsidRoot w:val="00000000"/>
    <w:rsid w:val="37C52025"/>
    <w:rsid w:val="59940F72"/>
    <w:rsid w:val="725C27A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uiPriority w:val="0"/>
    <w:tblPr>
      <w:tblCellMar>
        <w:top w:w="0" w:type="dxa"/>
        <w:left w:w="108" w:type="dxa"/>
        <w:bottom w:w="0" w:type="dxa"/>
        <w:right w:w="108" w:type="dxa"/>
      </w:tblCellMar>
    </w:tblPr>
  </w:style>
  <w:style w:type="character" w:customStyle="1" w:styleId="6">
    <w:name w:val="默认段落字体1"/>
    <w:semiHidden/>
    <w:uiPriority w:val="0"/>
  </w:style>
  <w:style w:type="character" w:customStyle="1" w:styleId="7">
    <w:name w:val="要点1"/>
    <w:basedOn w:val="6"/>
    <w:qFormat/>
    <w:uiPriority w:val="0"/>
    <w:rPr>
      <w:b/>
      <w:bCs/>
    </w:rPr>
  </w:style>
  <w:style w:type="character" w:customStyle="1" w:styleId="8">
    <w:name w:val=" Char Char"/>
    <w:basedOn w:val="6"/>
    <w:link w:val="9"/>
    <w:qFormat/>
    <w:uiPriority w:val="0"/>
    <w:rPr>
      <w:kern w:val="2"/>
      <w:sz w:val="18"/>
      <w:szCs w:val="18"/>
    </w:rPr>
  </w:style>
  <w:style w:type="paragraph" w:customStyle="1" w:styleId="9">
    <w:name w:val="页脚1"/>
    <w:basedOn w:val="1"/>
    <w:link w:val="8"/>
    <w:qFormat/>
    <w:uiPriority w:val="0"/>
    <w:pPr>
      <w:tabs>
        <w:tab w:val="center" w:pos="4153"/>
        <w:tab w:val="right" w:pos="8306"/>
      </w:tabs>
      <w:snapToGrid w:val="0"/>
      <w:jc w:val="left"/>
    </w:pPr>
    <w:rPr>
      <w:sz w:val="18"/>
      <w:szCs w:val="18"/>
    </w:rPr>
  </w:style>
  <w:style w:type="character" w:customStyle="1" w:styleId="10">
    <w:name w:val=" Char Char1"/>
    <w:basedOn w:val="6"/>
    <w:link w:val="11"/>
    <w:uiPriority w:val="0"/>
    <w:rPr>
      <w:kern w:val="2"/>
      <w:sz w:val="18"/>
      <w:szCs w:val="18"/>
    </w:rPr>
  </w:style>
  <w:style w:type="paragraph" w:customStyle="1" w:styleId="11">
    <w:name w:val="页眉1"/>
    <w:basedOn w:val="1"/>
    <w:link w:val="10"/>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2126</Words>
  <Characters>2194</Characters>
  <Lines>15</Lines>
  <Paragraphs>4</Paragraphs>
  <TotalTime>7</TotalTime>
  <ScaleCrop>false</ScaleCrop>
  <LinksUpToDate>false</LinksUpToDate>
  <CharactersWithSpaces>2194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2017-11-01T07:53:00Z</dcterms:created>
  <dc:creator>贺海宏</dc:creator>
  <cp:lastModifiedBy>Administrator</cp:lastModifiedBy>
  <cp:lastPrinted>2018-06-27T08:09:00Z</cp:lastPrinted>
  <dcterms:modified xsi:type="dcterms:W3CDTF">2025-03-07T03:26:15Z</dcterms:modified>
  <dc:title>2017年宝鸡市预算绩效管理工作说明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D96E59415A0A4FC59B31C6F3360DCCA2_13</vt:lpwstr>
  </property>
  <property fmtid="{D5CDD505-2E9C-101B-9397-08002B2CF9AE}" pid="4" name="KSOTemplateDocerSaveRecord">
    <vt:lpwstr>eyJoZGlkIjoiMzAwZDRjYjliMjc2Y2EzZGU2MTY5OTRkNTA1ZWViMGIifQ==</vt:lpwstr>
  </property>
</Properties>
</file>