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26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词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解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释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kern w:val="0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一般公共预算</w:t>
      </w:r>
      <w:r>
        <w:rPr>
          <w:rFonts w:hint="eastAsia" w:ascii="仿宋_GB2312" w:hAnsi="仿宋" w:eastAsia="仿宋_GB2312" w:cs="仿宋"/>
          <w:sz w:val="32"/>
          <w:szCs w:val="32"/>
        </w:rPr>
        <w:t>是对以税收为主体的财政收入，安排用于保障和改善民生、推动经济社会发展、维护国家安全、维持</w:t>
      </w:r>
      <w:r>
        <w:fldChar w:fldCharType="begin"/>
      </w:r>
      <w:r>
        <w:instrText xml:space="preserve"> HYPERLINK "http://baike.sogou.com/lemma/ShowInnerLink.htm?lemmaId=398119&amp;ss_c=ssc.citiao.link" \t "_blank" </w:instrText>
      </w:r>
      <w:r>
        <w:fldChar w:fldCharType="separate"/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t>国家机构</w:t>
      </w:r>
      <w:r>
        <w:rPr>
          <w:rStyle w:val="6"/>
          <w:rFonts w:hint="eastAsia" w:ascii="仿宋_GB2312" w:hAnsi="仿宋" w:eastAsia="仿宋_GB2312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正常运转等方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面的收支预算。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政府性基金预算</w:t>
      </w:r>
      <w:r>
        <w:rPr>
          <w:rFonts w:hint="eastAsia" w:ascii="仿宋_GB2312" w:hAnsi="仿宋" w:eastAsia="仿宋_GB2312" w:cs="仿宋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社会保险基金预算</w:t>
      </w:r>
      <w:r>
        <w:rPr>
          <w:rFonts w:hint="eastAsia" w:ascii="仿宋_GB2312" w:hAnsi="仿宋" w:eastAsia="仿宋_GB2312" w:cs="仿宋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国有资本经营预算</w:t>
      </w:r>
      <w:r>
        <w:rPr>
          <w:rFonts w:hint="eastAsia" w:ascii="仿宋_GB2312" w:hAnsi="仿宋" w:eastAsia="仿宋_GB2312" w:cs="仿宋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均衡性转移支付</w:t>
      </w:r>
      <w:r>
        <w:rPr>
          <w:rFonts w:hint="eastAsia" w:ascii="仿宋_GB2312" w:hAnsi="仿宋" w:eastAsia="仿宋_GB2312" w:cs="仿宋"/>
          <w:sz w:val="32"/>
          <w:szCs w:val="32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上解上级支出</w:t>
      </w:r>
      <w:r>
        <w:rPr>
          <w:rFonts w:hint="eastAsia" w:ascii="仿宋_GB2312" w:hAnsi="仿宋" w:eastAsia="仿宋_GB2312" w:cs="仿宋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xOWIxOTRkZTlkYzNmMzc2NjZkMGM5N2UwMGQ4MjYifQ=="/>
  </w:docVars>
  <w:rsids>
    <w:rsidRoot w:val="004E2B16"/>
    <w:rsid w:val="0031333B"/>
    <w:rsid w:val="00323859"/>
    <w:rsid w:val="003E4C32"/>
    <w:rsid w:val="003F6860"/>
    <w:rsid w:val="004A1C11"/>
    <w:rsid w:val="004E2B16"/>
    <w:rsid w:val="004E6207"/>
    <w:rsid w:val="004E6DAF"/>
    <w:rsid w:val="00706773"/>
    <w:rsid w:val="007F4E0E"/>
    <w:rsid w:val="0092344A"/>
    <w:rsid w:val="009D084D"/>
    <w:rsid w:val="00A16B82"/>
    <w:rsid w:val="00A30110"/>
    <w:rsid w:val="00A97064"/>
    <w:rsid w:val="00BB38C9"/>
    <w:rsid w:val="00BE141F"/>
    <w:rsid w:val="00BF58E2"/>
    <w:rsid w:val="00BF5D74"/>
    <w:rsid w:val="00C576C5"/>
    <w:rsid w:val="00C57718"/>
    <w:rsid w:val="00CD6D39"/>
    <w:rsid w:val="00D51ED0"/>
    <w:rsid w:val="00DC53CA"/>
    <w:rsid w:val="00F116BE"/>
    <w:rsid w:val="00FF0896"/>
    <w:rsid w:val="057635FE"/>
    <w:rsid w:val="0B8B68ED"/>
    <w:rsid w:val="11CD0406"/>
    <w:rsid w:val="16E459CA"/>
    <w:rsid w:val="29F31BB5"/>
    <w:rsid w:val="34B00FC1"/>
    <w:rsid w:val="3AC11136"/>
    <w:rsid w:val="461E656D"/>
    <w:rsid w:val="756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594</Words>
  <Characters>594</Characters>
  <Lines>0</Lines>
  <Paragraphs>0</Paragraphs>
  <TotalTime>5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2018-01-12T09:51:00Z</dcterms:created>
  <dc:creator>微软用户</dc:creator>
  <cp:lastModifiedBy>秦岭杜娟</cp:lastModifiedBy>
  <cp:lastPrinted>2019-06-25T08:27:00Z</cp:lastPrinted>
  <dcterms:modified xsi:type="dcterms:W3CDTF">2023-09-05T03:56:11Z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E1BAB35372C348D2B359F9BEC8FD977A</vt:lpwstr>
  </property>
</Properties>
</file>