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7C788">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太白县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农村集体经济组织运行管理办法</w:t>
      </w:r>
    </w:p>
    <w:p w14:paraId="6CCB178E">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方正小标宋简体"/>
          <w:color w:val="000000" w:themeColor="text1"/>
          <w:sz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（征求意见稿）</w:t>
      </w:r>
    </w:p>
    <w:p w14:paraId="051FB5EF">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楷体" w:eastAsia="仿宋_GB2312" w:cs="宋体"/>
          <w:b/>
          <w:bCs/>
          <w:color w:val="000000" w:themeColor="text1"/>
          <w:kern w:val="0"/>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                                        </w:t>
      </w:r>
      <w:r>
        <w:rPr>
          <w:rFonts w:hint="eastAsia" w:ascii="仿宋_GB2312" w:hAnsi="楷体" w:eastAsia="仿宋_GB2312" w:cs="宋体"/>
          <w:b/>
          <w:bCs/>
          <w:color w:val="000000" w:themeColor="text1"/>
          <w:kern w:val="0"/>
          <w:sz w:val="32"/>
          <w:szCs w:val="32"/>
          <w14:textFill>
            <w14:solidFill>
              <w14:schemeClr w14:val="tx1"/>
            </w14:solidFill>
          </w14:textFill>
        </w:rPr>
        <w:t xml:space="preserve">                                               </w:t>
      </w:r>
    </w:p>
    <w:p w14:paraId="63DA7B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eastAsia="仿宋_GB2312"/>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kern w:val="0"/>
          <w:sz w:val="36"/>
          <w:szCs w:val="36"/>
          <w14:textFill>
            <w14:solidFill>
              <w14:schemeClr w14:val="tx1"/>
            </w14:solidFill>
          </w14:textFill>
        </w:rPr>
        <w:t>第一章</w:t>
      </w:r>
      <w:r>
        <w:rPr>
          <w:rFonts w:hint="eastAsia" w:ascii="黑体" w:hAnsi="黑体" w:eastAsia="黑体" w:cs="宋体"/>
          <w:b w:val="0"/>
          <w:bCs w:val="0"/>
          <w:color w:val="000000" w:themeColor="text1"/>
          <w:kern w:val="0"/>
          <w:sz w:val="36"/>
          <w:szCs w:val="36"/>
          <w:lang w:val="en-US" w:eastAsia="zh-CN"/>
          <w14:textFill>
            <w14:solidFill>
              <w14:schemeClr w14:val="tx1"/>
            </w14:solidFill>
          </w14:textFill>
        </w:rPr>
        <w:t xml:space="preserve"> </w:t>
      </w:r>
      <w:r>
        <w:rPr>
          <w:rFonts w:hint="eastAsia" w:ascii="黑体" w:hAnsi="黑体" w:eastAsia="黑体" w:cs="宋体"/>
          <w:b w:val="0"/>
          <w:bCs w:val="0"/>
          <w:color w:val="000000" w:themeColor="text1"/>
          <w:kern w:val="0"/>
          <w:sz w:val="36"/>
          <w:szCs w:val="36"/>
          <w14:textFill>
            <w14:solidFill>
              <w14:schemeClr w14:val="tx1"/>
            </w14:solidFill>
          </w14:textFill>
        </w:rPr>
        <w:t xml:space="preserve"> 总 则</w:t>
      </w:r>
    </w:p>
    <w:p w14:paraId="691FDD21">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黑体" w:hAnsi="黑体" w:eastAsia="黑体"/>
          <w:color w:val="000000" w:themeColor="text1"/>
          <w:sz w:val="32"/>
          <w14:textFill>
            <w14:solidFill>
              <w14:schemeClr w14:val="tx1"/>
            </w14:solidFill>
          </w14:textFill>
        </w:rPr>
      </w:pPr>
    </w:p>
    <w:p w14:paraId="590523B4">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楷体" w:eastAsia="仿宋_GB2312" w:cs="宋体"/>
          <w:color w:val="000000" w:themeColor="text1"/>
          <w:kern w:val="0"/>
          <w:sz w:val="32"/>
          <w:szCs w:val="32"/>
          <w:lang w:eastAsia="zh-CN"/>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 xml:space="preserve">第一条 </w:t>
      </w:r>
      <w:r>
        <w:rPr>
          <w:rFonts w:hint="eastAsia" w:ascii="黑体" w:hAnsi="黑体" w:eastAsia="黑体"/>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为规范农村集体经济组织管理和运行，保障农村集体经济组织及其成员的合法权益，促进村集体经济发展壮大，更好</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的</w:t>
      </w:r>
      <w:r>
        <w:rPr>
          <w:rFonts w:hint="eastAsia" w:ascii="仿宋_GB2312" w:hAnsi="楷体" w:eastAsia="仿宋_GB2312" w:cs="宋体"/>
          <w:color w:val="000000" w:themeColor="text1"/>
          <w:kern w:val="0"/>
          <w:sz w:val="32"/>
          <w:szCs w:val="32"/>
          <w14:textFill>
            <w14:solidFill>
              <w14:schemeClr w14:val="tx1"/>
            </w14:solidFill>
          </w14:textFill>
        </w:rPr>
        <w:t>服务乡村振兴，根据《中华人民共和国民法典》《陕西省农村集体资产管理条例》等法律规定，结合我</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县</w:t>
      </w:r>
      <w:r>
        <w:rPr>
          <w:rFonts w:hint="eastAsia" w:ascii="仿宋_GB2312" w:hAnsi="楷体" w:eastAsia="仿宋_GB2312" w:cs="宋体"/>
          <w:color w:val="000000" w:themeColor="text1"/>
          <w:kern w:val="0"/>
          <w:sz w:val="32"/>
          <w:szCs w:val="32"/>
          <w14:textFill>
            <w14:solidFill>
              <w14:schemeClr w14:val="tx1"/>
            </w14:solidFill>
          </w14:textFill>
        </w:rPr>
        <w:t>实际，制定本办法。</w:t>
      </w:r>
    </w:p>
    <w:p w14:paraId="090020D7">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第二条</w:t>
      </w:r>
      <w:r>
        <w:rPr>
          <w:rFonts w:hint="eastAsia" w:ascii="仿宋_GB2312" w:hAnsi="楷体" w:eastAsia="仿宋_GB2312" w:cs="宋体"/>
          <w:color w:val="000000" w:themeColor="text1"/>
          <w:kern w:val="0"/>
          <w:sz w:val="32"/>
          <w:szCs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本</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县</w:t>
      </w:r>
      <w:r>
        <w:rPr>
          <w:rFonts w:hint="eastAsia" w:ascii="仿宋_GB2312" w:hAnsi="楷体" w:eastAsia="仿宋_GB2312" w:cs="宋体"/>
          <w:color w:val="000000" w:themeColor="text1"/>
          <w:kern w:val="0"/>
          <w:sz w:val="32"/>
          <w:szCs w:val="32"/>
          <w14:textFill>
            <w14:solidFill>
              <w14:schemeClr w14:val="tx1"/>
            </w14:solidFill>
          </w14:textFill>
        </w:rPr>
        <w:t>行政区域内农村集体经济组织的管理运行，适用本办法。农村集体经济组织改制为公司的不适用本办法。</w:t>
      </w:r>
    </w:p>
    <w:p w14:paraId="6BD10AB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楷体" w:eastAsia="仿宋_GB2312" w:cs="宋体"/>
          <w:color w:val="000000" w:themeColor="text1"/>
          <w:kern w:val="0"/>
          <w:sz w:val="32"/>
          <w:szCs w:val="32"/>
          <w:lang w:eastAsia="zh-CN"/>
          <w14:textFill>
            <w14:solidFill>
              <w14:schemeClr w14:val="tx1"/>
            </w14:solidFill>
          </w14:textFill>
        </w:rPr>
      </w:pPr>
      <w:r>
        <w:rPr>
          <w:rFonts w:hint="eastAsia" w:ascii="仿宋_GB2312" w:hAnsi="楷体" w:eastAsia="仿宋_GB2312" w:cs="宋体"/>
          <w:b/>
          <w:bCs/>
          <w:color w:val="000000" w:themeColor="text1"/>
          <w:kern w:val="0"/>
          <w:sz w:val="32"/>
          <w:szCs w:val="32"/>
          <w14:textFill>
            <w14:solidFill>
              <w14:schemeClr w14:val="tx1"/>
            </w14:solidFill>
          </w14:textFill>
        </w:rPr>
        <w:t xml:space="preserve">    </w:t>
      </w:r>
      <w:r>
        <w:rPr>
          <w:rFonts w:hint="eastAsia" w:ascii="黑体" w:hAnsi="黑体" w:eastAsia="黑体"/>
          <w:color w:val="000000" w:themeColor="text1"/>
          <w:sz w:val="32"/>
          <w14:textFill>
            <w14:solidFill>
              <w14:schemeClr w14:val="tx1"/>
            </w14:solidFill>
          </w14:textFill>
        </w:rPr>
        <w:t>第三条</w:t>
      </w:r>
      <w:r>
        <w:rPr>
          <w:rFonts w:hint="eastAsia" w:ascii="仿宋_GB2312" w:hAnsi="楷体" w:eastAsia="仿宋_GB2312" w:cs="宋体"/>
          <w:color w:val="000000" w:themeColor="text1"/>
          <w:kern w:val="0"/>
          <w:sz w:val="32"/>
          <w:szCs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本办法所称的农村集体经济组织指</w:t>
      </w:r>
      <w:r>
        <w:rPr>
          <w:rFonts w:hint="eastAsia" w:ascii="仿宋_GB2312" w:hAnsi="楷体" w:eastAsia="仿宋_GB2312" w:cs="宋体"/>
          <w:color w:val="000000" w:themeColor="text1"/>
          <w:kern w:val="0"/>
          <w:sz w:val="32"/>
          <w:szCs w:val="32"/>
          <w:lang w:eastAsia="zh-CN"/>
          <w14:textFill>
            <w14:solidFill>
              <w14:schemeClr w14:val="tx1"/>
            </w14:solidFill>
          </w14:textFill>
        </w:rPr>
        <w:t>镇、村、组的成员以生产资料集体所有的形式组成的独立核算的社区合作经济组织，</w:t>
      </w:r>
      <w:r>
        <w:rPr>
          <w:rFonts w:hint="eastAsia" w:ascii="仿宋_GB2312" w:hAnsi="楷体" w:eastAsia="仿宋_GB2312" w:cs="宋体"/>
          <w:color w:val="000000" w:themeColor="text1"/>
          <w:kern w:val="0"/>
          <w:sz w:val="32"/>
          <w:szCs w:val="32"/>
          <w14:textFill>
            <w14:solidFill>
              <w14:schemeClr w14:val="tx1"/>
            </w14:solidFill>
          </w14:textFill>
        </w:rPr>
        <w:t>形式包括村经济合作社（联合社）、村股份经济合作社(联合社)等。</w:t>
      </w:r>
    </w:p>
    <w:p w14:paraId="57C3DB48">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olor w:val="000000" w:themeColor="text1"/>
          <w:sz w:val="32"/>
          <w14:textFill>
            <w14:solidFill>
              <w14:schemeClr w14:val="tx1"/>
            </w14:solidFill>
          </w14:textFill>
        </w:rPr>
        <w:t>第四条</w:t>
      </w:r>
      <w:r>
        <w:rPr>
          <w:rFonts w:hint="eastAsia" w:ascii="仿宋_GB2312" w:hAnsi="楷体" w:eastAsia="仿宋_GB2312" w:cs="宋体"/>
          <w:color w:val="000000" w:themeColor="text1"/>
          <w:kern w:val="0"/>
          <w:sz w:val="32"/>
          <w:szCs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农村集体经济组织</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接受</w:t>
      </w:r>
      <w:r>
        <w:rPr>
          <w:rFonts w:hint="eastAsia" w:ascii="仿宋_GB2312" w:hAnsi="楷体" w:eastAsia="仿宋_GB2312" w:cs="宋体"/>
          <w:color w:val="000000" w:themeColor="text1"/>
          <w:kern w:val="0"/>
          <w:sz w:val="32"/>
          <w:szCs w:val="32"/>
          <w14:textFill>
            <w14:solidFill>
              <w14:schemeClr w14:val="tx1"/>
            </w14:solidFill>
          </w14:textFill>
        </w:rPr>
        <w:t>镇村级党组织领导，</w:t>
      </w:r>
      <w:r>
        <w:rPr>
          <w:rFonts w:hint="eastAsia" w:ascii="仿宋_GB2312" w:hAnsi="楷体" w:eastAsia="仿宋_GB2312" w:cs="宋体"/>
          <w:color w:val="000000" w:themeColor="text1"/>
          <w:kern w:val="0"/>
          <w:sz w:val="32"/>
          <w:szCs w:val="32"/>
          <w:lang w:eastAsia="zh-CN"/>
          <w14:textFill>
            <w14:solidFill>
              <w14:schemeClr w14:val="tx1"/>
            </w14:solidFill>
          </w14:textFill>
        </w:rPr>
        <w:t>实行镇级</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指导</w:t>
      </w:r>
      <w:r>
        <w:rPr>
          <w:rFonts w:hint="eastAsia" w:ascii="仿宋_GB2312" w:hAnsi="楷体" w:eastAsia="仿宋_GB2312" w:cs="宋体"/>
          <w:color w:val="000000" w:themeColor="text1"/>
          <w:kern w:val="0"/>
          <w:sz w:val="32"/>
          <w:szCs w:val="32"/>
          <w:lang w:eastAsia="zh-CN"/>
          <w14:textFill>
            <w14:solidFill>
              <w14:schemeClr w14:val="tx1"/>
            </w14:solidFill>
          </w14:textFill>
        </w:rPr>
        <w:t>，村级管理，</w:t>
      </w:r>
      <w:r>
        <w:rPr>
          <w:rFonts w:hint="eastAsia" w:ascii="仿宋_GB2312" w:hAnsi="楷体" w:eastAsia="仿宋_GB2312" w:cs="宋体"/>
          <w:color w:val="000000" w:themeColor="text1"/>
          <w:kern w:val="0"/>
          <w:sz w:val="32"/>
          <w:szCs w:val="32"/>
          <w14:textFill>
            <w14:solidFill>
              <w14:schemeClr w14:val="tx1"/>
            </w14:solidFill>
          </w14:textFill>
        </w:rPr>
        <w:t>依法享有独立进行经济活动的自主权。接受</w:t>
      </w:r>
      <w:r>
        <w:rPr>
          <w:rFonts w:hint="eastAsia" w:ascii="仿宋_GB2312" w:hAnsi="楷体" w:eastAsia="仿宋_GB2312" w:cs="宋体"/>
          <w:color w:val="000000" w:themeColor="text1"/>
          <w:kern w:val="0"/>
          <w:sz w:val="32"/>
          <w:szCs w:val="32"/>
          <w:u w:val="none"/>
          <w:lang w:val="en-US" w:eastAsia="zh-CN"/>
          <w14:textFill>
            <w14:solidFill>
              <w14:schemeClr w14:val="tx1"/>
            </w14:solidFill>
          </w14:textFill>
        </w:rPr>
        <w:t>县、镇</w:t>
      </w:r>
      <w:r>
        <w:rPr>
          <w:rFonts w:hint="eastAsia" w:ascii="仿宋_GB2312" w:hAnsi="楷体" w:eastAsia="仿宋_GB2312" w:cs="宋体"/>
          <w:color w:val="000000" w:themeColor="text1"/>
          <w:kern w:val="0"/>
          <w:sz w:val="32"/>
          <w:szCs w:val="32"/>
          <w14:textFill>
            <w14:solidFill>
              <w14:schemeClr w14:val="tx1"/>
            </w14:solidFill>
          </w14:textFill>
        </w:rPr>
        <w:t>人民政府</w:t>
      </w:r>
      <w:r>
        <w:rPr>
          <w:rFonts w:hint="eastAsia" w:ascii="仿宋_GB2312" w:hAnsi="楷体" w:eastAsia="仿宋_GB2312" w:cs="宋体"/>
          <w:color w:val="000000" w:themeColor="text1"/>
          <w:kern w:val="0"/>
          <w:sz w:val="32"/>
          <w:szCs w:val="32"/>
          <w:lang w:eastAsia="zh-CN"/>
          <w14:textFill>
            <w14:solidFill>
              <w14:schemeClr w14:val="tx1"/>
            </w14:solidFill>
          </w14:textFill>
        </w:rPr>
        <w:t>，</w:t>
      </w:r>
      <w:r>
        <w:rPr>
          <w:rFonts w:hint="eastAsia" w:ascii="仿宋_GB2312" w:hAnsi="楷体" w:eastAsia="仿宋_GB2312" w:cs="宋体"/>
          <w:color w:val="000000" w:themeColor="text1"/>
          <w:kern w:val="0"/>
          <w:sz w:val="32"/>
          <w:szCs w:val="32"/>
          <w14:textFill>
            <w14:solidFill>
              <w14:schemeClr w14:val="tx1"/>
            </w14:solidFill>
          </w14:textFill>
        </w:rPr>
        <w:t xml:space="preserve">村民委员会的监督。农村集体经济组织实行民主管理、依法选举和罢免管理人员，决定经营管理的重大事项。 </w:t>
      </w:r>
    </w:p>
    <w:p w14:paraId="75F638B9">
      <w:pPr>
        <w:keepNext w:val="0"/>
        <w:keepLines w:val="0"/>
        <w:pageBreakBefore w:val="0"/>
        <w:tabs>
          <w:tab w:val="left" w:pos="653"/>
        </w:tabs>
        <w:kinsoku/>
        <w:wordWrap/>
        <w:overflowPunct/>
        <w:topLinePunct w:val="0"/>
        <w:autoSpaceDE/>
        <w:autoSpaceDN/>
        <w:bidi w:val="0"/>
        <w:adjustRightInd/>
        <w:snapToGrid/>
        <w:spacing w:line="560" w:lineRule="exact"/>
        <w:ind w:firstLine="66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第五条</w:t>
      </w:r>
      <w:r>
        <w:rPr>
          <w:rFonts w:hint="eastAsia" w:ascii="仿宋_GB2312" w:hAnsi="楷体" w:eastAsia="仿宋_GB2312" w:cs="宋体"/>
          <w:color w:val="000000" w:themeColor="text1"/>
          <w:kern w:val="0"/>
          <w:sz w:val="32"/>
          <w:szCs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县农业农村局、各镇人民政府</w:t>
      </w:r>
      <w:r>
        <w:rPr>
          <w:rFonts w:hint="eastAsia" w:ascii="仿宋_GB2312" w:hAnsi="楷体" w:eastAsia="仿宋_GB2312" w:cs="宋体"/>
          <w:color w:val="000000" w:themeColor="text1"/>
          <w:kern w:val="0"/>
          <w:sz w:val="32"/>
          <w:szCs w:val="32"/>
          <w14:textFill>
            <w14:solidFill>
              <w14:schemeClr w14:val="tx1"/>
            </w14:solidFill>
          </w14:textFill>
        </w:rPr>
        <w:t>负责对农村集体经济组织的经营管理进行指导、监督和服务，并依法维护农村集体经济组织及其成员的合法权益。农村集体经济组织依法经营管理本组织集体的所有资产，任何公民、法人和其他组织不得侵犯。</w:t>
      </w:r>
    </w:p>
    <w:p w14:paraId="356A5563">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Times New Roman" w:eastAsia="仿宋_GB2312" w:cs="Times New Roman"/>
          <w:b w:val="0"/>
          <w:bCs w:val="0"/>
          <w:color w:val="000000" w:themeColor="text1"/>
          <w:kern w:val="2"/>
          <w:sz w:val="32"/>
          <w:szCs w:val="32"/>
          <w14:textFill>
            <w14:solidFill>
              <w14:schemeClr w14:val="tx1"/>
            </w14:solidFill>
          </w14:textFill>
        </w:rPr>
      </w:pPr>
      <w:r>
        <w:rPr>
          <w:rFonts w:hint="eastAsia" w:ascii="黑体" w:hAnsi="黑体" w:eastAsia="黑体" w:cs="Times New Roman"/>
          <w:b w:val="0"/>
          <w:bCs w:val="0"/>
          <w:color w:val="000000" w:themeColor="text1"/>
          <w:kern w:val="2"/>
          <w:sz w:val="32"/>
          <w:szCs w:val="20"/>
          <w14:textFill>
            <w14:solidFill>
              <w14:schemeClr w14:val="tx1"/>
            </w14:solidFill>
          </w14:textFill>
        </w:rPr>
        <w:t xml:space="preserve">    </w:t>
      </w:r>
      <w:r>
        <w:rPr>
          <w:rFonts w:ascii="黑体" w:hAnsi="黑体" w:eastAsia="黑体" w:cs="Times New Roman"/>
          <w:b w:val="0"/>
          <w:bCs w:val="0"/>
          <w:color w:val="000000" w:themeColor="text1"/>
          <w:kern w:val="2"/>
          <w:sz w:val="32"/>
          <w:szCs w:val="20"/>
          <w14:textFill>
            <w14:solidFill>
              <w14:schemeClr w14:val="tx1"/>
            </w14:solidFill>
          </w14:textFill>
        </w:rPr>
        <w:t>第</w:t>
      </w:r>
      <w:r>
        <w:rPr>
          <w:rFonts w:hint="eastAsia" w:ascii="黑体" w:hAnsi="黑体" w:eastAsia="黑体" w:cs="Times New Roman"/>
          <w:b w:val="0"/>
          <w:bCs w:val="0"/>
          <w:color w:val="000000" w:themeColor="text1"/>
          <w:kern w:val="2"/>
          <w:sz w:val="32"/>
          <w:szCs w:val="20"/>
          <w14:textFill>
            <w14:solidFill>
              <w14:schemeClr w14:val="tx1"/>
            </w14:solidFill>
          </w14:textFill>
        </w:rPr>
        <w:t>六</w:t>
      </w:r>
      <w:r>
        <w:rPr>
          <w:rFonts w:ascii="黑体" w:hAnsi="黑体" w:eastAsia="黑体" w:cs="Times New Roman"/>
          <w:b w:val="0"/>
          <w:bCs w:val="0"/>
          <w:color w:val="000000" w:themeColor="text1"/>
          <w:kern w:val="2"/>
          <w:sz w:val="32"/>
          <w:szCs w:val="20"/>
          <w14:textFill>
            <w14:solidFill>
              <w14:schemeClr w14:val="tx1"/>
            </w14:solidFill>
          </w14:textFill>
        </w:rPr>
        <w:t>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"https://baike.so.com/doc/6751471-6966036.html" \t "_blank" </w:instrText>
      </w:r>
      <w:r>
        <w:rPr>
          <w:color w:val="000000" w:themeColor="text1"/>
          <w14:textFill>
            <w14:solidFill>
              <w14:schemeClr w14:val="tx1"/>
            </w14:solidFill>
          </w14:textFill>
        </w:rPr>
        <w:fldChar w:fldCharType="separate"/>
      </w:r>
      <w:r>
        <w:rPr>
          <w:rFonts w:ascii="仿宋_GB2312" w:hAnsi="Times New Roman" w:eastAsia="仿宋_GB2312" w:cs="Times New Roman"/>
          <w:b w:val="0"/>
          <w:bCs w:val="0"/>
          <w:color w:val="000000" w:themeColor="text1"/>
          <w:kern w:val="2"/>
          <w:sz w:val="32"/>
          <w:szCs w:val="32"/>
          <w14:textFill>
            <w14:solidFill>
              <w14:schemeClr w14:val="tx1"/>
            </w14:solidFill>
          </w14:textFill>
        </w:rPr>
        <w:t>农村集体经济组织</w:t>
      </w:r>
      <w:r>
        <w:rPr>
          <w:rFonts w:ascii="仿宋_GB2312" w:hAnsi="Times New Roman" w:eastAsia="仿宋_GB2312" w:cs="Times New Roman"/>
          <w:b w:val="0"/>
          <w:bCs w:val="0"/>
          <w:color w:val="000000" w:themeColor="text1"/>
          <w:kern w:val="2"/>
          <w:sz w:val="32"/>
          <w:szCs w:val="32"/>
          <w14:textFill>
            <w14:solidFill>
              <w14:schemeClr w14:val="tx1"/>
            </w14:solidFill>
          </w14:textFill>
        </w:rPr>
        <w:fldChar w:fldCharType="end"/>
      </w:r>
      <w:r>
        <w:rPr>
          <w:rFonts w:ascii="仿宋_GB2312" w:hAnsi="Times New Roman" w:eastAsia="仿宋_GB2312" w:cs="Times New Roman"/>
          <w:b w:val="0"/>
          <w:bCs w:val="0"/>
          <w:color w:val="000000" w:themeColor="text1"/>
          <w:kern w:val="2"/>
          <w:sz w:val="32"/>
          <w:szCs w:val="32"/>
          <w14:textFill>
            <w14:solidFill>
              <w14:schemeClr w14:val="tx1"/>
            </w14:solidFill>
          </w14:textFill>
        </w:rPr>
        <w:t>章程应当符合</w:t>
      </w:r>
      <w:r>
        <w:rPr>
          <w:rFonts w:hint="eastAsia" w:ascii="仿宋_GB2312" w:hAnsi="Times New Roman" w:eastAsia="仿宋_GB2312" w:cs="Times New Roman"/>
          <w:b w:val="0"/>
          <w:bCs w:val="0"/>
          <w:color w:val="000000" w:themeColor="text1"/>
          <w:kern w:val="2"/>
          <w:sz w:val="32"/>
          <w:szCs w:val="32"/>
          <w:lang w:val="en-US" w:eastAsia="zh-CN"/>
          <w14:textFill>
            <w14:solidFill>
              <w14:schemeClr w14:val="tx1"/>
            </w14:solidFill>
          </w14:textFill>
        </w:rPr>
        <w:t>相关</w:t>
      </w:r>
      <w:r>
        <w:rPr>
          <w:rFonts w:ascii="仿宋_GB2312" w:hAnsi="Times New Roman" w:eastAsia="仿宋_GB2312" w:cs="Times New Roman"/>
          <w:b w:val="0"/>
          <w:bCs w:val="0"/>
          <w:color w:val="000000" w:themeColor="text1"/>
          <w:kern w:val="2"/>
          <w:sz w:val="32"/>
          <w:szCs w:val="32"/>
          <w14:textFill>
            <w14:solidFill>
              <w14:schemeClr w14:val="tx1"/>
            </w14:solidFill>
          </w14:textFill>
        </w:rPr>
        <w:t>法律、法规、规章的规定。农村集体经济组织章程由本组织成员大会表决通过。组织章程应当载明下列事项:</w:t>
      </w:r>
    </w:p>
    <w:p w14:paraId="4F79FF47">
      <w:pPr>
        <w:pStyle w:val="7"/>
        <w:keepNext w:val="0"/>
        <w:keepLines w:val="0"/>
        <w:pageBreakBefore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一</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ascii="仿宋_GB2312" w:hAnsi="Times New Roman" w:eastAsia="仿宋_GB2312" w:cs="Times New Roman"/>
          <w:color w:val="000000" w:themeColor="text1"/>
          <w:kern w:val="2"/>
          <w:sz w:val="32"/>
          <w:szCs w:val="32"/>
          <w14:textFill>
            <w14:solidFill>
              <w14:schemeClr w14:val="tx1"/>
            </w14:solidFill>
          </w14:textFill>
        </w:rPr>
        <w:t>总则;</w:t>
      </w:r>
    </w:p>
    <w:p w14:paraId="4C616D42">
      <w:pPr>
        <w:pStyle w:val="7"/>
        <w:keepNext w:val="0"/>
        <w:keepLines w:val="0"/>
        <w:pageBreakBefore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二</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ascii="仿宋_GB2312" w:hAnsi="Times New Roman" w:eastAsia="仿宋_GB2312" w:cs="Times New Roman"/>
          <w:color w:val="000000" w:themeColor="text1"/>
          <w:kern w:val="2"/>
          <w:sz w:val="32"/>
          <w:szCs w:val="32"/>
          <w14:textFill>
            <w14:solidFill>
              <w14:schemeClr w14:val="tx1"/>
            </w14:solidFill>
          </w14:textFill>
        </w:rPr>
        <w:t>成员</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名册</w:t>
      </w:r>
      <w:r>
        <w:rPr>
          <w:rFonts w:ascii="仿宋_GB2312" w:hAnsi="Times New Roman" w:eastAsia="仿宋_GB2312" w:cs="Times New Roman"/>
          <w:color w:val="000000" w:themeColor="text1"/>
          <w:kern w:val="2"/>
          <w:sz w:val="32"/>
          <w:szCs w:val="32"/>
          <w14:textFill>
            <w14:solidFill>
              <w14:schemeClr w14:val="tx1"/>
            </w14:solidFill>
          </w14:textFill>
        </w:rPr>
        <w:t>;</w:t>
      </w:r>
    </w:p>
    <w:p w14:paraId="0C102619">
      <w:pPr>
        <w:pStyle w:val="7"/>
        <w:keepNext w:val="0"/>
        <w:keepLines w:val="0"/>
        <w:pageBreakBefore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三</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ascii="仿宋_GB2312" w:hAnsi="Times New Roman" w:eastAsia="仿宋_GB2312" w:cs="Times New Roman"/>
          <w:color w:val="000000" w:themeColor="text1"/>
          <w:kern w:val="2"/>
          <w:sz w:val="32"/>
          <w:szCs w:val="32"/>
          <w14:textFill>
            <w14:solidFill>
              <w14:schemeClr w14:val="tx1"/>
            </w14:solidFill>
          </w14:textFill>
        </w:rPr>
        <w:t>组织机构;</w:t>
      </w:r>
    </w:p>
    <w:p w14:paraId="25DF1795">
      <w:pPr>
        <w:pStyle w:val="7"/>
        <w:keepNext w:val="0"/>
        <w:keepLines w:val="0"/>
        <w:pageBreakBefore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四</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ascii="仿宋_GB2312" w:hAnsi="Times New Roman" w:eastAsia="仿宋_GB2312" w:cs="Times New Roman"/>
          <w:color w:val="000000" w:themeColor="text1"/>
          <w:kern w:val="2"/>
          <w:sz w:val="32"/>
          <w:szCs w:val="32"/>
          <w14:textFill>
            <w14:solidFill>
              <w14:schemeClr w14:val="tx1"/>
            </w14:solidFill>
          </w14:textFill>
        </w:rPr>
        <w:t>资产经营和财务管理;</w:t>
      </w:r>
    </w:p>
    <w:p w14:paraId="496B7516">
      <w:pPr>
        <w:pStyle w:val="7"/>
        <w:keepNext w:val="0"/>
        <w:keepLines w:val="0"/>
        <w:pageBreakBefore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五</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ascii="仿宋_GB2312" w:hAnsi="Times New Roman" w:eastAsia="仿宋_GB2312" w:cs="Times New Roman"/>
          <w:color w:val="000000" w:themeColor="text1"/>
          <w:kern w:val="2"/>
          <w:sz w:val="32"/>
          <w:szCs w:val="32"/>
          <w14:textFill>
            <w14:solidFill>
              <w14:schemeClr w14:val="tx1"/>
            </w14:solidFill>
          </w14:textFill>
        </w:rPr>
        <w:t>经营性资产量化与收益分配;</w:t>
      </w:r>
    </w:p>
    <w:p w14:paraId="50AA36E3">
      <w:pPr>
        <w:pStyle w:val="7"/>
        <w:keepNext w:val="0"/>
        <w:keepLines w:val="0"/>
        <w:pageBreakBefore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六</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ascii="仿宋_GB2312" w:hAnsi="Times New Roman" w:eastAsia="仿宋_GB2312" w:cs="Times New Roman"/>
          <w:color w:val="000000" w:themeColor="text1"/>
          <w:kern w:val="2"/>
          <w:sz w:val="32"/>
          <w:szCs w:val="32"/>
          <w14:textFill>
            <w14:solidFill>
              <w14:schemeClr w14:val="tx1"/>
            </w14:solidFill>
          </w14:textFill>
        </w:rPr>
        <w:t>变更和注销;</w:t>
      </w:r>
    </w:p>
    <w:p w14:paraId="46E490D0">
      <w:pPr>
        <w:pStyle w:val="7"/>
        <w:keepNext w:val="0"/>
        <w:keepLines w:val="0"/>
        <w:pageBreakBefore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七</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ascii="仿宋_GB2312" w:hAnsi="Times New Roman" w:eastAsia="仿宋_GB2312" w:cs="Times New Roman"/>
          <w:color w:val="000000" w:themeColor="text1"/>
          <w:kern w:val="2"/>
          <w:sz w:val="32"/>
          <w:szCs w:val="32"/>
          <w14:textFill>
            <w14:solidFill>
              <w14:schemeClr w14:val="tx1"/>
            </w14:solidFill>
          </w14:textFill>
        </w:rPr>
        <w:t>附则;</w:t>
      </w:r>
    </w:p>
    <w:p w14:paraId="383E86AF">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14:textFill>
            <w14:solidFill>
              <w14:schemeClr w14:val="tx1"/>
            </w14:solidFill>
          </w14:textFill>
        </w:rPr>
        <w:t xml:space="preserve"> </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14:textFill>
            <w14:solidFill>
              <w14:schemeClr w14:val="tx1"/>
            </w14:solidFill>
          </w14:textFill>
        </w:rPr>
        <w:t>八</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r>
        <w:rPr>
          <w:rFonts w:ascii="仿宋_GB2312" w:hAnsi="Times New Roman" w:eastAsia="仿宋_GB2312" w:cs="Times New Roman"/>
          <w:color w:val="000000" w:themeColor="text1"/>
          <w:kern w:val="2"/>
          <w:sz w:val="32"/>
          <w:szCs w:val="32"/>
          <w14:textFill>
            <w14:solidFill>
              <w14:schemeClr w14:val="tx1"/>
            </w14:solidFill>
          </w14:textFill>
        </w:rPr>
        <w:t>全体成员（代表）签字或盖章</w:t>
      </w:r>
      <w:r>
        <w:rPr>
          <w:rFonts w:hint="eastAsia" w:ascii="仿宋_GB2312" w:hAnsi="Times New Roman" w:eastAsia="仿宋_GB2312" w:cs="Times New Roman"/>
          <w:color w:val="000000" w:themeColor="text1"/>
          <w:kern w:val="2"/>
          <w:sz w:val="32"/>
          <w:szCs w:val="32"/>
          <w:lang w:eastAsia="zh-CN"/>
          <w14:textFill>
            <w14:solidFill>
              <w14:schemeClr w14:val="tx1"/>
            </w14:solidFill>
          </w14:textFill>
        </w:rPr>
        <w:t>。</w:t>
      </w:r>
    </w:p>
    <w:p w14:paraId="214A99BB">
      <w:pPr>
        <w:pStyle w:val="7"/>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b w:val="0"/>
          <w:bCs w:val="0"/>
          <w:color w:val="000000" w:themeColor="text1"/>
          <w:sz w:val="32"/>
          <w:szCs w:val="32"/>
          <w14:textFill>
            <w14:solidFill>
              <w14:schemeClr w14:val="tx1"/>
            </w14:solidFill>
          </w14:textFill>
        </w:rPr>
      </w:pPr>
    </w:p>
    <w:p w14:paraId="0B74B6C1">
      <w:pPr>
        <w:pStyle w:val="7"/>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b w:val="0"/>
          <w:bCs w:val="0"/>
          <w:color w:val="000000" w:themeColor="text1"/>
          <w:kern w:val="2"/>
          <w:sz w:val="32"/>
          <w:szCs w:val="32"/>
          <w14:textFill>
            <w14:solidFill>
              <w14:schemeClr w14:val="tx1"/>
            </w14:solidFill>
          </w14:textFill>
        </w:rPr>
      </w:pPr>
      <w:r>
        <w:rPr>
          <w:rFonts w:hint="eastAsia" w:ascii="黑体" w:hAnsi="黑体" w:eastAsia="黑体"/>
          <w:b w:val="0"/>
          <w:bCs w:val="0"/>
          <w:color w:val="000000" w:themeColor="text1"/>
          <w:sz w:val="36"/>
          <w:szCs w:val="36"/>
          <w14:textFill>
            <w14:solidFill>
              <w14:schemeClr w14:val="tx1"/>
            </w14:solidFill>
          </w14:textFill>
        </w:rPr>
        <w:t xml:space="preserve">第二章 </w:t>
      </w:r>
      <w:r>
        <w:rPr>
          <w:rFonts w:hint="eastAsia" w:ascii="黑体" w:hAnsi="黑体" w:eastAsia="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b w:val="0"/>
          <w:bCs w:val="0"/>
          <w:color w:val="000000" w:themeColor="text1"/>
          <w:sz w:val="36"/>
          <w:szCs w:val="36"/>
          <w14:textFill>
            <w14:solidFill>
              <w14:schemeClr w14:val="tx1"/>
            </w14:solidFill>
          </w14:textFill>
        </w:rPr>
        <w:t>组织机构登记</w:t>
      </w:r>
    </w:p>
    <w:p w14:paraId="000653EA">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黑体" w:hAnsi="黑体" w:eastAsia="黑体"/>
          <w:color w:val="000000" w:themeColor="text1"/>
          <w:sz w:val="32"/>
          <w14:textFill>
            <w14:solidFill>
              <w14:schemeClr w14:val="tx1"/>
            </w14:solidFill>
          </w14:textFill>
        </w:rPr>
      </w:pPr>
    </w:p>
    <w:p w14:paraId="38DFD342">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 xml:space="preserve">第七条  </w:t>
      </w:r>
      <w:r>
        <w:rPr>
          <w:rFonts w:hint="eastAsia" w:ascii="仿宋_GB2312" w:hAnsi="楷体" w:eastAsia="仿宋_GB2312" w:cs="宋体"/>
          <w:color w:val="000000" w:themeColor="text1"/>
          <w:kern w:val="0"/>
          <w:sz w:val="32"/>
          <w:szCs w:val="32"/>
          <w14:textFill>
            <w14:solidFill>
              <w14:schemeClr w14:val="tx1"/>
            </w14:solidFill>
          </w14:textFill>
        </w:rPr>
        <w:t>农村集体经济组织</w:t>
      </w:r>
      <w:r>
        <w:rPr>
          <w:rFonts w:hint="eastAsia" w:ascii="仿宋_GB2312" w:eastAsia="仿宋_GB2312"/>
          <w:color w:val="000000" w:themeColor="text1"/>
          <w:sz w:val="32"/>
          <w:szCs w:val="32"/>
          <w14:textFill>
            <w14:solidFill>
              <w14:schemeClr w14:val="tx1"/>
            </w14:solidFill>
          </w14:textFill>
        </w:rPr>
        <w:t>依法登记，领取农村集体经济组织登记证书（以下简称登记证），取得特别法人资格。未经依法登记，不得以集体经济组织名义从事经营活动。</w:t>
      </w:r>
    </w:p>
    <w:p w14:paraId="3EAEBC7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第八条</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登记证统一为：</w:t>
      </w:r>
      <w:r>
        <w:rPr>
          <w:rFonts w:hint="eastAsia" w:ascii="仿宋_GB2312" w:hAnsi="楷体" w:eastAsia="仿宋_GB2312" w:cs="宋体"/>
          <w:color w:val="000000" w:themeColor="text1"/>
          <w:kern w:val="0"/>
          <w:sz w:val="32"/>
          <w:szCs w:val="32"/>
          <w:lang w:eastAsia="zh-CN"/>
          <w14:textFill>
            <w14:solidFill>
              <w14:schemeClr w14:val="tx1"/>
            </w14:solidFill>
          </w14:textFill>
        </w:rPr>
        <w:t>太白</w:t>
      </w:r>
      <w:r>
        <w:rPr>
          <w:rFonts w:hint="eastAsia" w:ascii="仿宋_GB2312" w:hAnsi="楷体" w:eastAsia="仿宋_GB2312" w:cs="宋体"/>
          <w:color w:val="000000" w:themeColor="text1"/>
          <w:kern w:val="0"/>
          <w:sz w:val="32"/>
          <w:szCs w:val="32"/>
          <w14:textFill>
            <w14:solidFill>
              <w14:schemeClr w14:val="tx1"/>
            </w14:solidFill>
          </w14:textFill>
        </w:rPr>
        <w:t>县XX镇XX村经济合作社(或联合社)、</w:t>
      </w:r>
      <w:r>
        <w:rPr>
          <w:rFonts w:hint="eastAsia" w:ascii="仿宋_GB2312" w:hAnsi="楷体" w:eastAsia="仿宋_GB2312" w:cs="宋体"/>
          <w:color w:val="000000" w:themeColor="text1"/>
          <w:kern w:val="0"/>
          <w:sz w:val="32"/>
          <w:szCs w:val="32"/>
          <w:lang w:eastAsia="zh-CN"/>
          <w14:textFill>
            <w14:solidFill>
              <w14:schemeClr w14:val="tx1"/>
            </w14:solidFill>
          </w14:textFill>
        </w:rPr>
        <w:t>太白</w:t>
      </w:r>
      <w:r>
        <w:rPr>
          <w:rFonts w:hint="eastAsia" w:ascii="仿宋_GB2312" w:hAnsi="楷体" w:eastAsia="仿宋_GB2312" w:cs="宋体"/>
          <w:color w:val="000000" w:themeColor="text1"/>
          <w:kern w:val="0"/>
          <w:sz w:val="32"/>
          <w:szCs w:val="32"/>
          <w14:textFill>
            <w14:solidFill>
              <w14:schemeClr w14:val="tx1"/>
            </w14:solidFill>
          </w14:textFill>
        </w:rPr>
        <w:t>县XX镇XX村股份经济合作社(或联合社)。</w:t>
      </w:r>
    </w:p>
    <w:p w14:paraId="620A8254">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登记证内容包括：</w:t>
      </w:r>
    </w:p>
    <w:p w14:paraId="6C694D34">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（一）名称；</w:t>
      </w:r>
    </w:p>
    <w:p w14:paraId="086D08E8">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（二）类型；</w:t>
      </w:r>
    </w:p>
    <w:p w14:paraId="54904A96">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（三）住所；</w:t>
      </w:r>
    </w:p>
    <w:p w14:paraId="3FEC1ACC">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（四）业务范围；</w:t>
      </w:r>
    </w:p>
    <w:p w14:paraId="7FE7CF32">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（五）法定代表人；</w:t>
      </w:r>
    </w:p>
    <w:p w14:paraId="57520CB8">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（六）资产情况；</w:t>
      </w:r>
    </w:p>
    <w:p w14:paraId="607B6A4D">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（七）成立日期；</w:t>
      </w:r>
    </w:p>
    <w:p w14:paraId="3A64D13E">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（八）有效期限；</w:t>
      </w:r>
    </w:p>
    <w:p w14:paraId="097C1B83">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（九）登记机关。</w:t>
      </w:r>
    </w:p>
    <w:p w14:paraId="5A193CC2">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黑体" w:hAnsi="黑体" w:eastAsia="黑体" w:cs="Times New Roman"/>
          <w:color w:val="000000" w:themeColor="text1"/>
          <w:kern w:val="2"/>
          <w:sz w:val="32"/>
          <w:szCs w:val="20"/>
          <w14:textFill>
            <w14:solidFill>
              <w14:schemeClr w14:val="tx1"/>
            </w14:solidFill>
          </w14:textFill>
        </w:rPr>
        <w:t>第九条</w:t>
      </w:r>
      <w:r>
        <w:rPr>
          <w:rFonts w:hint="eastAsia" w:ascii="仿宋_GB2312" w:eastAsia="仿宋_GB2312"/>
          <w:b/>
          <w:color w:val="000000" w:themeColor="text1"/>
          <w:sz w:val="32"/>
          <w:szCs w:val="32"/>
          <w:shd w:val="clear" w:color="auto" w:fill="FFFFFF"/>
          <w14:textFill>
            <w14:solidFill>
              <w14:schemeClr w14:val="tx1"/>
            </w14:solidFill>
          </w14:textFill>
        </w:rPr>
        <w:t xml:space="preserve"> </w:t>
      </w:r>
      <w:r>
        <w:rPr>
          <w:rFonts w:hint="eastAsia" w:ascii="仿宋_GB2312" w:eastAsia="仿宋_GB2312"/>
          <w:b/>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eastAsia="仿宋_GB2312"/>
          <w:color w:val="000000" w:themeColor="text1"/>
          <w:sz w:val="32"/>
          <w:szCs w:val="32"/>
          <w:shd w:val="clear" w:color="auto" w:fill="FFFFFF"/>
          <w14:textFill>
            <w14:solidFill>
              <w14:schemeClr w14:val="tx1"/>
            </w14:solidFill>
          </w14:textFill>
        </w:rPr>
        <w:t>农村集体经济组织申报登记应提交以下资料：</w:t>
      </w:r>
    </w:p>
    <w:p w14:paraId="0EBB2C29">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（一）《农村集体经济组织登记赋码申请表》；</w:t>
      </w:r>
    </w:p>
    <w:p w14:paraId="21C48BCC">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hAnsi="楷体" w:eastAsia="仿宋_GB2312"/>
          <w:color w:val="000000" w:themeColor="text1"/>
          <w:sz w:val="32"/>
          <w:szCs w:val="32"/>
          <w14:textFill>
            <w14:solidFill>
              <w14:schemeClr w14:val="tx1"/>
            </w14:solidFill>
          </w14:textFill>
        </w:rPr>
        <w:t>镇人民政府（涉农街道办）</w:t>
      </w:r>
      <w:r>
        <w:rPr>
          <w:rFonts w:hint="eastAsia" w:ascii="仿宋_GB2312" w:eastAsia="仿宋_GB2312"/>
          <w:color w:val="000000" w:themeColor="text1"/>
          <w:sz w:val="32"/>
          <w:szCs w:val="32"/>
          <w14:textFill>
            <w14:solidFill>
              <w14:schemeClr w14:val="tx1"/>
            </w14:solidFill>
          </w14:textFill>
        </w:rPr>
        <w:t>批准成立的文件；</w:t>
      </w:r>
    </w:p>
    <w:p w14:paraId="773FB114">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（三）成员大会或经成员大会授权的成员代表会议的决议；</w:t>
      </w:r>
    </w:p>
    <w:p w14:paraId="4CA07DCA">
      <w:pPr>
        <w:pStyle w:val="2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成员名册；</w:t>
      </w:r>
    </w:p>
    <w:p w14:paraId="0E31A848">
      <w:pPr>
        <w:pStyle w:val="2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组织章程；</w:t>
      </w:r>
    </w:p>
    <w:p w14:paraId="3709CD38">
      <w:pPr>
        <w:pStyle w:val="2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法定代表人的身份证原件及复印件；</w:t>
      </w:r>
    </w:p>
    <w:p w14:paraId="273A5D5D">
      <w:pPr>
        <w:pStyle w:val="2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农村集体经济组织住所证明等材料；</w:t>
      </w:r>
    </w:p>
    <w:p w14:paraId="503B082E">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农村集体经济组织清产核资结果公示报告和成员身份认定结果公示报告</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14:paraId="6EB9BA0E">
      <w:pPr>
        <w:keepNext w:val="0"/>
        <w:keepLines w:val="0"/>
        <w:pageBreakBefore w:val="0"/>
        <w:widowControl/>
        <w:kinsoku/>
        <w:wordWrap/>
        <w:overflowPunct/>
        <w:topLinePunct w:val="0"/>
        <w:autoSpaceDE/>
        <w:autoSpaceDN/>
        <w:bidi w:val="0"/>
        <w:adjustRightInd/>
        <w:snapToGrid/>
        <w:spacing w:line="560" w:lineRule="exact"/>
        <w:ind w:firstLine="660"/>
        <w:textAlignment w:val="auto"/>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第十条</w:t>
      </w:r>
      <w:r>
        <w:rPr>
          <w:rFonts w:hint="eastAsia" w:ascii="黑体" w:hAnsi="黑体" w:eastAsia="黑体"/>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 xml:space="preserve"> 县农业农村</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局</w:t>
      </w:r>
      <w:r>
        <w:rPr>
          <w:rFonts w:hint="eastAsia" w:ascii="仿宋_GB2312" w:hAnsi="楷体" w:eastAsia="仿宋_GB2312" w:cs="宋体"/>
          <w:color w:val="000000" w:themeColor="text1"/>
          <w:kern w:val="0"/>
          <w:sz w:val="32"/>
          <w:szCs w:val="32"/>
          <w14:textFill>
            <w14:solidFill>
              <w14:schemeClr w14:val="tx1"/>
            </w14:solidFill>
          </w14:textFill>
        </w:rPr>
        <w:t>负责本辖区农村集体经济组织登记赋码颁证工作。</w:t>
      </w:r>
      <w:r>
        <w:rPr>
          <w:rFonts w:hint="eastAsia" w:ascii="仿宋_GB2312" w:hAnsi="宋体" w:eastAsia="仿宋_GB2312" w:cs="宋体"/>
          <w:color w:val="000000" w:themeColor="text1"/>
          <w:kern w:val="0"/>
          <w:sz w:val="32"/>
          <w:szCs w:val="32"/>
          <w14:textFill>
            <w14:solidFill>
              <w14:schemeClr w14:val="tx1"/>
            </w14:solidFill>
          </w14:textFill>
        </w:rPr>
        <w:t>对于符合赋码登记条件的，在受理之日起15个工作日内办理相关手续，颁发</w:t>
      </w:r>
      <w:r>
        <w:rPr>
          <w:rFonts w:hint="eastAsia" w:ascii="仿宋_GB2312" w:hAnsi="楷体" w:eastAsia="仿宋_GB2312" w:cs="宋体"/>
          <w:color w:val="000000" w:themeColor="text1"/>
          <w:kern w:val="0"/>
          <w:sz w:val="32"/>
          <w:szCs w:val="32"/>
          <w14:textFill>
            <w14:solidFill>
              <w14:schemeClr w14:val="tx1"/>
            </w14:solidFill>
          </w14:textFill>
        </w:rPr>
        <w:t>《登记证》；对于申请材料不完整的，应由农村集体经济组织在15个工作日内补充完善后重新申报；对于不符合登记赋码条件的，应当给予书面答复。</w:t>
      </w:r>
    </w:p>
    <w:p w14:paraId="7ED6231F">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w:t>
      </w:r>
      <w:r>
        <w:rPr>
          <w:rFonts w:hint="eastAsia" w:ascii="黑体" w:hAnsi="黑体" w:eastAsia="黑体"/>
          <w:color w:val="000000" w:themeColor="text1"/>
          <w:sz w:val="32"/>
          <w14:textFill>
            <w14:solidFill>
              <w14:schemeClr w14:val="tx1"/>
            </w14:solidFill>
          </w14:textFill>
        </w:rPr>
        <w:t xml:space="preserve">第十一条  </w:t>
      </w:r>
      <w:r>
        <w:rPr>
          <w:rFonts w:hint="eastAsia" w:ascii="仿宋_GB2312" w:hAnsi="楷体" w:eastAsia="仿宋_GB2312" w:cs="宋体"/>
          <w:color w:val="000000" w:themeColor="text1"/>
          <w:kern w:val="0"/>
          <w:sz w:val="32"/>
          <w:szCs w:val="32"/>
          <w14:textFill>
            <w14:solidFill>
              <w14:schemeClr w14:val="tx1"/>
            </w14:solidFill>
          </w14:textFill>
        </w:rPr>
        <w:t>农村集体经济组织应凭《登记证》正本或副本到相关部门办理公章刻制和银行开户等相关手续。</w:t>
      </w:r>
    </w:p>
    <w:p w14:paraId="20E914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宋体"/>
          <w:b w:val="0"/>
          <w:bCs w:val="0"/>
          <w:color w:val="000000" w:themeColor="text1"/>
          <w:kern w:val="0"/>
          <w:sz w:val="32"/>
          <w:szCs w:val="32"/>
          <w14:textFill>
            <w14:solidFill>
              <w14:schemeClr w14:val="tx1"/>
            </w14:solidFill>
          </w14:textFill>
        </w:rPr>
      </w:pPr>
    </w:p>
    <w:p w14:paraId="6140A2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val="0"/>
          <w:bCs w:val="0"/>
          <w:color w:val="000000" w:themeColor="text1"/>
          <w:sz w:val="32"/>
          <w14:textFill>
            <w14:solidFill>
              <w14:schemeClr w14:val="tx1"/>
            </w14:solidFill>
          </w14:textFill>
        </w:rPr>
      </w:pPr>
      <w:r>
        <w:rPr>
          <w:rFonts w:hint="eastAsia" w:ascii="黑体" w:hAnsi="黑体" w:eastAsia="黑体" w:cs="宋体"/>
          <w:b w:val="0"/>
          <w:bCs w:val="0"/>
          <w:color w:val="000000" w:themeColor="text1"/>
          <w:kern w:val="0"/>
          <w:sz w:val="36"/>
          <w:szCs w:val="36"/>
          <w14:textFill>
            <w14:solidFill>
              <w14:schemeClr w14:val="tx1"/>
            </w14:solidFill>
          </w14:textFill>
        </w:rPr>
        <w:t xml:space="preserve">第三章 </w:t>
      </w:r>
      <w:r>
        <w:rPr>
          <w:rFonts w:hint="eastAsia" w:ascii="黑体" w:hAnsi="黑体" w:eastAsia="黑体" w:cs="宋体"/>
          <w:b w:val="0"/>
          <w:bCs w:val="0"/>
          <w:color w:val="000000" w:themeColor="text1"/>
          <w:kern w:val="0"/>
          <w:sz w:val="36"/>
          <w:szCs w:val="36"/>
          <w:lang w:val="en-US" w:eastAsia="zh-CN"/>
          <w14:textFill>
            <w14:solidFill>
              <w14:schemeClr w14:val="tx1"/>
            </w14:solidFill>
          </w14:textFill>
        </w:rPr>
        <w:t xml:space="preserve"> </w:t>
      </w:r>
      <w:r>
        <w:rPr>
          <w:rFonts w:hint="eastAsia" w:ascii="黑体" w:hAnsi="黑体" w:eastAsia="黑体" w:cs="宋体"/>
          <w:b w:val="0"/>
          <w:bCs w:val="0"/>
          <w:color w:val="000000" w:themeColor="text1"/>
          <w:kern w:val="0"/>
          <w:sz w:val="36"/>
          <w:szCs w:val="36"/>
          <w14:textFill>
            <w14:solidFill>
              <w14:schemeClr w14:val="tx1"/>
            </w14:solidFill>
          </w14:textFill>
        </w:rPr>
        <w:t>组织机构运行</w:t>
      </w:r>
    </w:p>
    <w:p w14:paraId="6CD4C2F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b/>
          <w:bCs/>
          <w:color w:val="000000" w:themeColor="text1"/>
          <w:sz w:val="32"/>
          <w14:textFill>
            <w14:solidFill>
              <w14:schemeClr w14:val="tx1"/>
            </w14:solidFill>
          </w14:textFill>
        </w:rPr>
      </w:pPr>
      <w:r>
        <w:rPr>
          <w:rFonts w:hint="eastAsia" w:ascii="仿宋" w:hAnsi="仿宋" w:eastAsia="仿宋"/>
          <w:b/>
          <w:bCs/>
          <w:color w:val="000000" w:themeColor="text1"/>
          <w:sz w:val="32"/>
          <w14:textFill>
            <w14:solidFill>
              <w14:schemeClr w14:val="tx1"/>
            </w14:solidFill>
          </w14:textFill>
        </w:rPr>
        <w:t xml:space="preserve">    </w:t>
      </w:r>
    </w:p>
    <w:p w14:paraId="423DA1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宋体"/>
          <w:color w:val="000000" w:themeColor="text1"/>
          <w:kern w:val="0"/>
          <w:sz w:val="32"/>
          <w:szCs w:val="32"/>
          <w:lang w:eastAsia="zh-CN"/>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第十二条</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农村集体经济组织的最高权力机构是成员大会。凡涉及成员切身利益的重大事项，必须提交成员大会讨论决定。农村集体经济组织对具体事项的表决，可以通过召开成员代表会议的形式进行</w:t>
      </w:r>
      <w:r>
        <w:rPr>
          <w:rFonts w:hint="eastAsia" w:ascii="仿宋_GB2312" w:hAnsi="楷体" w:eastAsia="仿宋_GB2312" w:cs="宋体"/>
          <w:color w:val="000000" w:themeColor="text1"/>
          <w:kern w:val="0"/>
          <w:sz w:val="32"/>
          <w:szCs w:val="32"/>
          <w:lang w:eastAsia="zh-CN"/>
          <w14:textFill>
            <w14:solidFill>
              <w14:schemeClr w14:val="tx1"/>
            </w14:solidFill>
          </w14:textFill>
        </w:rPr>
        <w:t>，</w:t>
      </w:r>
      <w:r>
        <w:rPr>
          <w:rFonts w:hint="eastAsia" w:ascii="仿宋_GB2312" w:hAnsi="楷体" w:eastAsia="仿宋_GB2312" w:cs="宋体"/>
          <w:color w:val="000000" w:themeColor="text1"/>
          <w:kern w:val="0"/>
          <w:sz w:val="32"/>
          <w:szCs w:val="32"/>
          <w14:textFill>
            <w14:solidFill>
              <w14:schemeClr w14:val="tx1"/>
            </w14:solidFill>
          </w14:textFill>
        </w:rPr>
        <w:t>成员代表会议表决通过的事项应当公示7个工作日</w:t>
      </w:r>
      <w:r>
        <w:rPr>
          <w:rFonts w:hint="eastAsia" w:ascii="仿宋_GB2312" w:hAnsi="楷体" w:eastAsia="仿宋_GB2312" w:cs="宋体"/>
          <w:color w:val="000000" w:themeColor="text1"/>
          <w:kern w:val="0"/>
          <w:sz w:val="32"/>
          <w:szCs w:val="32"/>
          <w:lang w:eastAsia="zh-CN"/>
          <w14:textFill>
            <w14:solidFill>
              <w14:schemeClr w14:val="tx1"/>
            </w14:solidFill>
          </w14:textFill>
        </w:rPr>
        <w:t>，</w:t>
      </w:r>
      <w:r>
        <w:rPr>
          <w:rFonts w:hint="eastAsia" w:ascii="仿宋_GB2312" w:hAnsi="楷体" w:eastAsia="仿宋_GB2312" w:cs="宋体"/>
          <w:color w:val="000000" w:themeColor="text1"/>
          <w:kern w:val="0"/>
          <w:sz w:val="32"/>
          <w:szCs w:val="32"/>
          <w14:textFill>
            <w14:solidFill>
              <w14:schemeClr w14:val="tx1"/>
            </w14:solidFill>
          </w14:textFill>
        </w:rPr>
        <w:t>2/3以上有选举权的成员提出异议的，应当提交成员大会重新表决。成员大会或者成员代表会议应当实行“一人一票制”，具体由组织章程确定。</w:t>
      </w:r>
    </w:p>
    <w:p w14:paraId="5F8C917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楷体" w:eastAsia="仿宋_GB2312" w:cs="宋体"/>
          <w:color w:val="000000" w:themeColor="text1"/>
          <w:kern w:val="0"/>
          <w:sz w:val="32"/>
          <w:szCs w:val="32"/>
          <w:lang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olor w:val="000000" w:themeColor="text1"/>
          <w:sz w:val="32"/>
          <w14:textFill>
            <w14:solidFill>
              <w14:schemeClr w14:val="tx1"/>
            </w14:solidFill>
          </w14:textFill>
        </w:rPr>
        <w:t>第十三条</w:t>
      </w:r>
      <w:r>
        <w:rPr>
          <w:rFonts w:hint="eastAsia" w:ascii="仿宋_GB2312" w:hAnsi="楷体" w:eastAsia="仿宋_GB2312" w:cs="宋体"/>
          <w:b/>
          <w:bCs/>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农村集体经济组织成员大会，应当有本组织具有选举权的成员的2/3以上参加，或者有本组织2/3以上户的代表参加，所作决定应当经到会成员的半数以上通过。农村集体经济组织召开成员代表会议，应当有本组织2/3以上的成员代表参加，所作决定应当经到会代表2/3以上通过。</w:t>
      </w:r>
    </w:p>
    <w:p w14:paraId="49EC6428">
      <w:pPr>
        <w:keepNext w:val="0"/>
        <w:keepLines w:val="0"/>
        <w:pageBreakBefore w:val="0"/>
        <w:kinsoku/>
        <w:wordWrap/>
        <w:overflowPunct/>
        <w:topLinePunct w:val="0"/>
        <w:autoSpaceDE/>
        <w:autoSpaceDN/>
        <w:bidi w:val="0"/>
        <w:adjustRightInd/>
        <w:snapToGrid/>
        <w:spacing w:line="560" w:lineRule="exact"/>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olor w:val="000000" w:themeColor="text1"/>
          <w:sz w:val="32"/>
          <w14:textFill>
            <w14:solidFill>
              <w14:schemeClr w14:val="tx1"/>
            </w14:solidFill>
          </w14:textFill>
        </w:rPr>
        <w:t>第十四条</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农村集体经济组织设立奇数人数的股东理事会</w:t>
      </w:r>
      <w:r>
        <w:rPr>
          <w:rFonts w:hint="eastAsia" w:ascii="仿宋_GB2312" w:hAnsi="楷体" w:eastAsia="仿宋_GB2312" w:cs="宋体"/>
          <w:color w:val="000000" w:themeColor="text1"/>
          <w:kern w:val="0"/>
          <w:sz w:val="32"/>
          <w:szCs w:val="32"/>
          <w:lang w:eastAsia="zh-CN"/>
          <w14:textFill>
            <w14:solidFill>
              <w14:schemeClr w14:val="tx1"/>
            </w14:solidFill>
          </w14:textFill>
        </w:rPr>
        <w:t>、</w:t>
      </w:r>
      <w:r>
        <w:rPr>
          <w:rFonts w:hint="eastAsia" w:ascii="仿宋_GB2312" w:hAnsi="楷体" w:eastAsia="仿宋_GB2312" w:cs="宋体"/>
          <w:color w:val="000000" w:themeColor="text1"/>
          <w:kern w:val="0"/>
          <w:sz w:val="32"/>
          <w:szCs w:val="32"/>
          <w14:textFill>
            <w14:solidFill>
              <w14:schemeClr w14:val="tx1"/>
            </w14:solidFill>
          </w14:textFill>
        </w:rPr>
        <w:t>3-5人的监事会，理事会、监事会的组成人员由本集体经济组织成员大会或者成员代表会议选举产生，每届任期5年，可与“村两委”换届同步进行，可连选连任，但不得交叉任职。</w:t>
      </w:r>
    </w:p>
    <w:p w14:paraId="01F69A27">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楷体" w:eastAsia="仿宋_GB2312" w:cs="宋体"/>
          <w:color w:val="000000" w:themeColor="text1"/>
          <w:kern w:val="0"/>
          <w:sz w:val="32"/>
          <w:szCs w:val="32"/>
          <w:lang w:eastAsia="zh-CN"/>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第十五条</w:t>
      </w:r>
      <w:r>
        <w:rPr>
          <w:rFonts w:hint="eastAsia" w:ascii="仿宋_GB2312" w:hAnsi="楷体" w:eastAsia="仿宋_GB2312" w:cs="宋体"/>
          <w:color w:val="000000" w:themeColor="text1"/>
          <w:kern w:val="0"/>
          <w:sz w:val="32"/>
          <w:szCs w:val="32"/>
          <w14:textFill>
            <w14:solidFill>
              <w14:schemeClr w14:val="tx1"/>
            </w14:solidFill>
          </w14:textFill>
        </w:rPr>
        <w:t xml:space="preserve">  集体经济组织有选举权成员的1/5以上或1/3以上户的代表联名，可以要求罢免不称职的理事会、监事会成员；理事会应当在收到罢免议案30天内组织召开成员大会或者成员代表会议进行表决。</w:t>
      </w:r>
    </w:p>
    <w:p w14:paraId="2EAF6ABE">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第十六条</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农村集体经济组织应当履行以下职责：</w:t>
      </w:r>
    </w:p>
    <w:p w14:paraId="28954688">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（一）经营管理属于本组织成员集体所有的土地等资源资产和其他资产；</w:t>
      </w:r>
    </w:p>
    <w:p w14:paraId="011B713C">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（二）经营管理依法确定由本组织使用的国家所有的资源性资产及其他资产；</w:t>
      </w:r>
    </w:p>
    <w:p w14:paraId="3E113CBC">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（三）管理上级部门拨付的资产、资金以及公民、法人和其他组织捐赠的资产、资金；</w:t>
      </w:r>
    </w:p>
    <w:p w14:paraId="4963622F">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（四）办理集体土地及其他集体资源资产的承包、流转、开发利用事项；</w:t>
      </w:r>
    </w:p>
    <w:p w14:paraId="4FCE54A8">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（五）为本组织成员提供社会化服务；</w:t>
      </w:r>
    </w:p>
    <w:p w14:paraId="243BE686">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楷体" w:eastAsia="仿宋_GB2312" w:cs="宋体"/>
          <w:color w:val="000000" w:themeColor="text1"/>
          <w:kern w:val="0"/>
          <w:sz w:val="32"/>
          <w:szCs w:val="32"/>
          <w:lang w:eastAsia="zh-CN"/>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 xml:space="preserve">（六）法律、法规、规章规定的其他职责。 </w:t>
      </w:r>
    </w:p>
    <w:p w14:paraId="6305157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第十七条</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农村集体经济组织享有以下权利：</w:t>
      </w:r>
    </w:p>
    <w:p w14:paraId="1D6B13D1">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（一）集体土地、林地、滩涂等集体资源及其他集体资产的所有权；</w:t>
      </w:r>
    </w:p>
    <w:p w14:paraId="62444240">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（二）由本组织经营管理的国家所有资产的使用权、经营权和收益权；</w:t>
      </w:r>
    </w:p>
    <w:p w14:paraId="52E3D5E8">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（三）独立进行经济活动，管理内部事务；</w:t>
      </w:r>
    </w:p>
    <w:p w14:paraId="5E325044">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（四）拒绝不合法的收费、摊派或者集资；</w:t>
      </w:r>
    </w:p>
    <w:p w14:paraId="0EC6626D">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（五）法律、法规、规章规定的其他权利。</w:t>
      </w:r>
    </w:p>
    <w:p w14:paraId="5C5C1CB1">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第十八条</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农村集体经济组织应当履行以下义务：</w:t>
      </w:r>
    </w:p>
    <w:p w14:paraId="0764FD41">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（一）遵守法律、法规、规章和组织章程；</w:t>
      </w:r>
    </w:p>
    <w:p w14:paraId="6BB97834">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（二）保护集体所有的和依法确定由集体使用的国家所有的资产；</w:t>
      </w:r>
    </w:p>
    <w:p w14:paraId="546C84A5">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（三）接受各级人民政府农业农村行政主管部门的指导和监督，接受审计部门的审计，接受组织成员的监督；</w:t>
      </w:r>
    </w:p>
    <w:p w14:paraId="6027AA2B">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（四）实行资产与财务公开制度；</w:t>
      </w:r>
    </w:p>
    <w:p w14:paraId="450D315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楷体" w:eastAsia="仿宋_GB2312" w:cs="宋体"/>
          <w:color w:val="000000" w:themeColor="text1"/>
          <w:kern w:val="0"/>
          <w:sz w:val="32"/>
          <w:szCs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（五）承担上级部门安排的经济事项；</w:t>
      </w:r>
    </w:p>
    <w:p w14:paraId="420882CC">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仿宋" w:hAnsi="仿宋" w:eastAsia="仿宋"/>
          <w:color w:val="000000" w:themeColor="text1"/>
          <w:sz w:val="32"/>
          <w14:textFill>
            <w14:solidFill>
              <w14:schemeClr w14:val="tx1"/>
            </w14:solidFill>
          </w14:textFill>
        </w:rPr>
      </w:pPr>
      <w:r>
        <w:rPr>
          <w:rFonts w:hint="eastAsia" w:ascii="仿宋_GB2312" w:hAnsi="楷体" w:eastAsia="仿宋_GB2312" w:cs="宋体"/>
          <w:color w:val="000000" w:themeColor="text1"/>
          <w:kern w:val="0"/>
          <w:sz w:val="32"/>
          <w:szCs w:val="32"/>
          <w14:textFill>
            <w14:solidFill>
              <w14:schemeClr w14:val="tx1"/>
            </w14:solidFill>
          </w14:textFill>
        </w:rPr>
        <w:t>（六）法律、法规、规章规定的其他义务。</w:t>
      </w:r>
    </w:p>
    <w:p w14:paraId="6F3DA7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第十九条</w:t>
      </w:r>
      <w:r>
        <w:rPr>
          <w:rFonts w:hint="eastAsia" w:ascii="仿宋_GB2312" w:hAnsi="楷体" w:eastAsia="仿宋_GB2312" w:cs="宋体"/>
          <w:b/>
          <w:bCs/>
          <w:color w:val="000000" w:themeColor="text1"/>
          <w:kern w:val="0"/>
          <w:sz w:val="32"/>
          <w:szCs w:val="32"/>
          <w14:textFill>
            <w14:solidFill>
              <w14:schemeClr w14:val="tx1"/>
            </w14:solidFill>
          </w14:textFill>
        </w:rPr>
        <w:t xml:space="preserve"> </w:t>
      </w:r>
      <w:r>
        <w:rPr>
          <w:rFonts w:hint="eastAsia" w:ascii="仿宋_GB2312" w:hAnsi="楷体" w:eastAsia="仿宋_GB2312" w:cs="宋体"/>
          <w:b/>
          <w:bCs/>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14:textFill>
            <w14:solidFill>
              <w14:schemeClr w14:val="tx1"/>
            </w14:solidFill>
          </w14:textFill>
        </w:rPr>
        <w:t>实行村集体经济组织向村党组织、成员大会或成员代表大会、镇人民政府报告制度，汇报人事变动、工作计划、资金安排、产业发展、</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收益</w:t>
      </w:r>
      <w:r>
        <w:rPr>
          <w:rFonts w:hint="eastAsia" w:ascii="仿宋_GB2312" w:hAnsi="楷体" w:eastAsia="仿宋_GB2312" w:cs="宋体"/>
          <w:color w:val="000000" w:themeColor="text1"/>
          <w:kern w:val="0"/>
          <w:sz w:val="32"/>
          <w:szCs w:val="32"/>
          <w14:textFill>
            <w14:solidFill>
              <w14:schemeClr w14:val="tx1"/>
            </w14:solidFill>
          </w14:textFill>
        </w:rPr>
        <w:t>分配等事项</w:t>
      </w:r>
      <w:r>
        <w:rPr>
          <w:rFonts w:hint="eastAsia" w:ascii="仿宋_GB2312" w:hAnsi="楷体" w:eastAsia="仿宋_GB2312" w:cs="宋体"/>
          <w:color w:val="000000" w:themeColor="text1"/>
          <w:kern w:val="0"/>
          <w:sz w:val="32"/>
          <w:szCs w:val="32"/>
          <w:lang w:eastAsia="zh-CN"/>
          <w14:textFill>
            <w14:solidFill>
              <w14:schemeClr w14:val="tx1"/>
            </w14:solidFill>
          </w14:textFill>
        </w:rPr>
        <w:t>，</w:t>
      </w:r>
      <w:r>
        <w:rPr>
          <w:rFonts w:hint="eastAsia" w:ascii="仿宋_GB2312" w:hAnsi="楷体" w:eastAsia="仿宋_GB2312" w:cs="宋体"/>
          <w:color w:val="000000" w:themeColor="text1"/>
          <w:kern w:val="0"/>
          <w:sz w:val="32"/>
          <w:szCs w:val="32"/>
          <w14:textFill>
            <w14:solidFill>
              <w14:schemeClr w14:val="tx1"/>
            </w14:solidFill>
          </w14:textFill>
        </w:rPr>
        <w:t>每年至少报告两次以上。实行理事会商议制度，重大事项必须集体研究、集体决策。建立健全集体经济组织的监事会制度，监事会坚持每季度公开财务、社务情况。</w:t>
      </w:r>
    </w:p>
    <w:p w14:paraId="6FFCDA5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 xml:space="preserve">    第二十条</w:t>
      </w:r>
      <w:r>
        <w:rPr>
          <w:rFonts w:hint="eastAsia" w:ascii="仿宋_GB2312" w:hAnsi="楷体" w:eastAsia="仿宋_GB2312" w:cs="宋体"/>
          <w:b/>
          <w:bCs/>
          <w:color w:val="000000" w:themeColor="text1"/>
          <w:kern w:val="0"/>
          <w:sz w:val="32"/>
          <w:szCs w:val="32"/>
          <w14:textFill>
            <w14:solidFill>
              <w14:schemeClr w14:val="tx1"/>
            </w14:solidFill>
          </w14:textFill>
        </w:rPr>
        <w:t xml:space="preserve"> </w:t>
      </w:r>
      <w:r>
        <w:rPr>
          <w:rFonts w:hint="eastAsia" w:ascii="仿宋_GB2312" w:hAnsi="楷体" w:eastAsia="仿宋_GB2312" w:cs="宋体"/>
          <w:b/>
          <w:bCs/>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农村集体经济组织理事会负责起草本集体经济发展规划、财务收支计划草案等，提名所属经济实体负责人，经成员大会或者成员代表会议表决通过，并报镇人民政府（涉农街道办）审核备案。</w:t>
      </w:r>
    </w:p>
    <w:p w14:paraId="7E4A33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第二十一条</w:t>
      </w:r>
      <w:r>
        <w:rPr>
          <w:rFonts w:hint="eastAsia"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村集体经济组织所从事的生产经营活动必须遵守《合同法》等相关法律规定，使用规范的经济合同文本。</w:t>
      </w:r>
    </w:p>
    <w:p w14:paraId="48EAD0C0">
      <w:pPr>
        <w:keepNext w:val="0"/>
        <w:keepLines w:val="0"/>
        <w:pageBreakBefore w:val="0"/>
        <w:kinsoku/>
        <w:wordWrap/>
        <w:overflowPunct/>
        <w:topLinePunct w:val="0"/>
        <w:autoSpaceDE/>
        <w:autoSpaceDN/>
        <w:bidi w:val="0"/>
        <w:adjustRightInd/>
        <w:snapToGrid/>
        <w:spacing w:line="560" w:lineRule="exact"/>
        <w:ind w:firstLine="720" w:firstLineChars="200"/>
        <w:jc w:val="center"/>
        <w:textAlignment w:val="auto"/>
        <w:rPr>
          <w:rFonts w:hint="eastAsia" w:ascii="黑体" w:hAnsi="黑体" w:eastAsia="黑体" w:cs="宋体"/>
          <w:b w:val="0"/>
          <w:bCs w:val="0"/>
          <w:color w:val="000000" w:themeColor="text1"/>
          <w:kern w:val="0"/>
          <w:sz w:val="36"/>
          <w:szCs w:val="36"/>
          <w14:textFill>
            <w14:solidFill>
              <w14:schemeClr w14:val="tx1"/>
            </w14:solidFill>
          </w14:textFill>
        </w:rPr>
      </w:pPr>
    </w:p>
    <w:p w14:paraId="153C440C">
      <w:pPr>
        <w:keepNext w:val="0"/>
        <w:keepLines w:val="0"/>
        <w:pageBreakBefore w:val="0"/>
        <w:kinsoku/>
        <w:wordWrap/>
        <w:overflowPunct/>
        <w:topLinePunct w:val="0"/>
        <w:autoSpaceDE/>
        <w:autoSpaceDN/>
        <w:bidi w:val="0"/>
        <w:adjustRightInd/>
        <w:snapToGrid/>
        <w:spacing w:line="560" w:lineRule="exact"/>
        <w:ind w:firstLine="720" w:firstLineChars="200"/>
        <w:jc w:val="center"/>
        <w:textAlignment w:val="auto"/>
        <w:rPr>
          <w:rFonts w:ascii="黑体" w:hAnsi="黑体" w:eastAsia="黑体"/>
          <w:color w:val="000000" w:themeColor="text1"/>
          <w:sz w:val="32"/>
          <w14:textFill>
            <w14:solidFill>
              <w14:schemeClr w14:val="tx1"/>
            </w14:solidFill>
          </w14:textFill>
        </w:rPr>
      </w:pPr>
      <w:r>
        <w:rPr>
          <w:rFonts w:hint="eastAsia" w:ascii="黑体" w:hAnsi="黑体" w:eastAsia="黑体" w:cs="宋体"/>
          <w:b w:val="0"/>
          <w:bCs w:val="0"/>
          <w:color w:val="000000" w:themeColor="text1"/>
          <w:kern w:val="0"/>
          <w:sz w:val="36"/>
          <w:szCs w:val="36"/>
          <w14:textFill>
            <w14:solidFill>
              <w14:schemeClr w14:val="tx1"/>
            </w14:solidFill>
          </w14:textFill>
        </w:rPr>
        <w:t xml:space="preserve">第四章 </w:t>
      </w:r>
      <w:r>
        <w:rPr>
          <w:rFonts w:hint="eastAsia" w:ascii="黑体" w:hAnsi="黑体" w:eastAsia="黑体" w:cs="宋体"/>
          <w:b w:val="0"/>
          <w:bCs w:val="0"/>
          <w:color w:val="000000" w:themeColor="text1"/>
          <w:kern w:val="0"/>
          <w:sz w:val="36"/>
          <w:szCs w:val="36"/>
          <w:lang w:val="en-US" w:eastAsia="zh-CN"/>
          <w14:textFill>
            <w14:solidFill>
              <w14:schemeClr w14:val="tx1"/>
            </w14:solidFill>
          </w14:textFill>
        </w:rPr>
        <w:t xml:space="preserve"> </w:t>
      </w:r>
      <w:r>
        <w:rPr>
          <w:rFonts w:hint="eastAsia" w:ascii="黑体" w:hAnsi="黑体" w:eastAsia="黑体" w:cs="宋体"/>
          <w:b w:val="0"/>
          <w:bCs w:val="0"/>
          <w:color w:val="000000" w:themeColor="text1"/>
          <w:kern w:val="0"/>
          <w:sz w:val="36"/>
          <w:szCs w:val="36"/>
          <w14:textFill>
            <w14:solidFill>
              <w14:schemeClr w14:val="tx1"/>
            </w14:solidFill>
          </w14:textFill>
        </w:rPr>
        <w:t>组织机构管理</w:t>
      </w:r>
    </w:p>
    <w:p w14:paraId="0394089B">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 xml:space="preserve">    </w:t>
      </w:r>
    </w:p>
    <w:p w14:paraId="4364CB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第二十二条</w:t>
      </w:r>
      <w:r>
        <w:rPr>
          <w:rFonts w:hint="eastAsia" w:ascii="仿宋_GB2312" w:hAnsi="楷体" w:eastAsia="仿宋_GB2312" w:cs="宋体"/>
          <w:b/>
          <w:bCs/>
          <w:color w:val="000000" w:themeColor="text1"/>
          <w:kern w:val="0"/>
          <w:sz w:val="32"/>
          <w:szCs w:val="32"/>
          <w14:textFill>
            <w14:solidFill>
              <w14:schemeClr w14:val="tx1"/>
            </w14:solidFill>
          </w14:textFill>
        </w:rPr>
        <w:t xml:space="preserve"> </w:t>
      </w:r>
      <w:r>
        <w:rPr>
          <w:rFonts w:hint="eastAsia" w:ascii="仿宋_GB2312" w:hAnsi="楷体" w:eastAsia="仿宋_GB2312" w:cs="宋体"/>
          <w:b/>
          <w:bCs/>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农村集体经济组织实行年度报备制度，于每年12月31日前应向登记发证机关提交以下资料：</w:t>
      </w:r>
    </w:p>
    <w:p w14:paraId="7672B0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（一）村集体经济组织年度总结；</w:t>
      </w:r>
    </w:p>
    <w:p w14:paraId="576C50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（二）村集体经济组织资产负债表；</w:t>
      </w:r>
    </w:p>
    <w:p w14:paraId="34F475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（三）村集体经济组织收益及收益分配表；</w:t>
      </w:r>
    </w:p>
    <w:p w14:paraId="16B96A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（四）登记机关要求提交的其他资料。</w:t>
      </w:r>
    </w:p>
    <w:p w14:paraId="23517F1D">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    </w:t>
      </w:r>
      <w:r>
        <w:rPr>
          <w:rFonts w:hint="eastAsia" w:ascii="黑体" w:hAnsi="黑体" w:eastAsia="黑体"/>
          <w:color w:val="000000" w:themeColor="text1"/>
          <w:sz w:val="32"/>
          <w14:textFill>
            <w14:solidFill>
              <w14:schemeClr w14:val="tx1"/>
            </w14:solidFill>
          </w14:textFill>
        </w:rPr>
        <w:t>第二十三条</w:t>
      </w:r>
      <w:r>
        <w:rPr>
          <w:rFonts w:hint="eastAsia"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农村集体经济组织变更登记内容，按照登记程序，经镇人民政府审核后，报送县农业农村部门核定变更登记，并发放新的登记证书。</w:t>
      </w:r>
    </w:p>
    <w:p w14:paraId="03006CBE">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申请变更应提交下列材料：</w:t>
      </w:r>
    </w:p>
    <w:p w14:paraId="7A35D49E">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（一）申请变更报告和变更登记申请表；</w:t>
      </w:r>
    </w:p>
    <w:p w14:paraId="1BE9271B">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（二）原《集体经济组织登记证书》正、副本；</w:t>
      </w:r>
    </w:p>
    <w:p w14:paraId="374CCCB4">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（三）变更事项证明材料，包含理事长、监事长等变更的会议记录及新的章程，新当选理事长、监事长的身份证原件和复印件，变更组织地址的证明等；</w:t>
      </w:r>
    </w:p>
    <w:p w14:paraId="663D1709">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（四）登记机关要求提交的其他材料。</w:t>
      </w:r>
    </w:p>
    <w:p w14:paraId="1335D70A">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 xml:space="preserve">    第二十四条</w:t>
      </w:r>
      <w:r>
        <w:rPr>
          <w:rFonts w:hint="eastAsia"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《集体经济组织登记证书》遗失或者损毁申请补发的，应在公关媒体上刊登声明，并按照登记程序向县区登记机关申请补发《集体经济组织登记证书》。</w:t>
      </w:r>
    </w:p>
    <w:p w14:paraId="0AC5E20E">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 xml:space="preserve">    第二十五条 </w:t>
      </w: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农村集体经济组织合并、分立，应当向县农业农村部门提交下列材料，并交回《集体经济组织登记证书》：</w:t>
      </w:r>
    </w:p>
    <w:p w14:paraId="1F3E6FA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（一）组织合并、分立及资产处置的会议记录材料；</w:t>
      </w:r>
    </w:p>
    <w:p w14:paraId="0152849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（二）本镇人民政府审核意见；</w:t>
      </w:r>
    </w:p>
    <w:p w14:paraId="61CFABFF">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themeColor="text1"/>
          <w:sz w:val="32"/>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（三）依法清理债权债务的方案及决议。</w:t>
      </w:r>
    </w:p>
    <w:p w14:paraId="78F5E3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第二十六条</w:t>
      </w:r>
      <w:r>
        <w:rPr>
          <w:rFonts w:hint="eastAsia" w:ascii="仿宋_GB2312" w:hAnsi="楷体" w:eastAsia="仿宋_GB2312" w:cs="宋体"/>
          <w:b/>
          <w:bCs/>
          <w:color w:val="000000" w:themeColor="text1"/>
          <w:kern w:val="0"/>
          <w:sz w:val="32"/>
          <w:szCs w:val="32"/>
          <w14:textFill>
            <w14:solidFill>
              <w14:schemeClr w14:val="tx1"/>
            </w14:solidFill>
          </w14:textFill>
        </w:rPr>
        <w:t xml:space="preserve"> </w:t>
      </w:r>
      <w:r>
        <w:rPr>
          <w:rFonts w:hint="eastAsia" w:ascii="仿宋_GB2312" w:hAnsi="楷体" w:eastAsia="仿宋_GB2312" w:cs="宋体"/>
          <w:b/>
          <w:bCs/>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农村集体经济组织应当在遵守法律法规、有关政策和章程的前提下，健全完善集体资产管理、使用、处置制度、收益分配制度等内部管理制度。</w:t>
      </w:r>
    </w:p>
    <w:p w14:paraId="2B0001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第二十七条</w:t>
      </w:r>
      <w:r>
        <w:rPr>
          <w:rFonts w:hint="eastAsia" w:ascii="黑体" w:hAnsi="黑体" w:eastAsia="黑体"/>
          <w:color w:val="000000" w:themeColor="text1"/>
          <w:sz w:val="32"/>
          <w:lang w:val="en-US" w:eastAsia="zh-CN"/>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农村集体经济组织应当加强内部财务管理，设立专职会计，或委托有资质的第三方代理记账。</w:t>
      </w:r>
    </w:p>
    <w:p w14:paraId="2F915BE0">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 xml:space="preserve">    第二十八条</w:t>
      </w:r>
      <w:r>
        <w:rPr>
          <w:rFonts w:hint="eastAsia" w:ascii="黑体" w:hAnsi="黑体" w:eastAsia="黑体"/>
          <w:color w:val="000000" w:themeColor="text1"/>
          <w:sz w:val="32"/>
          <w:lang w:val="en-US" w:eastAsia="zh-CN"/>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农村集体经济组织承担国家财政投资的项目，须按照有关规定，经镇人民政府审核批准或按照项目主管部门要求，实行公开招投标。不能进行公开招投标的，须报经镇人民政府同意后实施。</w:t>
      </w:r>
    </w:p>
    <w:p w14:paraId="1B495B4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第二十九条</w:t>
      </w: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农村集体经济组织管理人员劳动报酬，由成员大会研究确定标准，在本年度收益（管理费用）中予以支付，具体由章程或者成员（户代表）大会确定。</w:t>
      </w:r>
    </w:p>
    <w:p w14:paraId="68E18CCD">
      <w:pPr>
        <w:keepNext w:val="0"/>
        <w:keepLines w:val="0"/>
        <w:pageBreakBefore w:val="0"/>
        <w:kinsoku/>
        <w:wordWrap/>
        <w:overflowPunct/>
        <w:topLinePunct w:val="0"/>
        <w:autoSpaceDE/>
        <w:autoSpaceDN/>
        <w:bidi w:val="0"/>
        <w:adjustRightInd/>
        <w:snapToGrid/>
        <w:spacing w:line="560" w:lineRule="exact"/>
        <w:ind w:firstLine="2560" w:firstLineChars="800"/>
        <w:jc w:val="both"/>
        <w:textAlignment w:val="auto"/>
        <w:rPr>
          <w:rFonts w:hint="eastAsia" w:ascii="黑体" w:hAnsi="黑体" w:eastAsia="黑体"/>
          <w:color w:val="000000" w:themeColor="text1"/>
          <w:sz w:val="32"/>
          <w14:textFill>
            <w14:solidFill>
              <w14:schemeClr w14:val="tx1"/>
            </w14:solidFill>
          </w14:textFill>
        </w:rPr>
      </w:pPr>
    </w:p>
    <w:p w14:paraId="5EBA935B">
      <w:pPr>
        <w:keepNext w:val="0"/>
        <w:keepLines w:val="0"/>
        <w:pageBreakBefore w:val="0"/>
        <w:kinsoku/>
        <w:wordWrap/>
        <w:overflowPunct/>
        <w:topLinePunct w:val="0"/>
        <w:autoSpaceDE/>
        <w:autoSpaceDN/>
        <w:bidi w:val="0"/>
        <w:adjustRightInd/>
        <w:snapToGrid/>
        <w:spacing w:line="560" w:lineRule="exact"/>
        <w:ind w:firstLine="2880" w:firstLineChars="800"/>
        <w:jc w:val="both"/>
        <w:textAlignment w:val="auto"/>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6"/>
          <w:szCs w:val="28"/>
          <w14:textFill>
            <w14:solidFill>
              <w14:schemeClr w14:val="tx1"/>
            </w14:solidFill>
          </w14:textFill>
        </w:rPr>
        <w:t>第五章</w:t>
      </w:r>
      <w:r>
        <w:rPr>
          <w:rFonts w:hint="eastAsia" w:ascii="黑体" w:hAnsi="黑体" w:eastAsia="黑体"/>
          <w:color w:val="000000" w:themeColor="text1"/>
          <w:sz w:val="36"/>
          <w:szCs w:val="28"/>
          <w:lang w:val="en-US" w:eastAsia="zh-CN"/>
          <w14:textFill>
            <w14:solidFill>
              <w14:schemeClr w14:val="tx1"/>
            </w14:solidFill>
          </w14:textFill>
        </w:rPr>
        <w:t xml:space="preserve"> </w:t>
      </w:r>
      <w:r>
        <w:rPr>
          <w:rFonts w:hint="eastAsia" w:ascii="黑体" w:hAnsi="黑体" w:eastAsia="黑体"/>
          <w:color w:val="000000" w:themeColor="text1"/>
          <w:sz w:val="36"/>
          <w:szCs w:val="28"/>
          <w14:textFill>
            <w14:solidFill>
              <w14:schemeClr w14:val="tx1"/>
            </w14:solidFill>
          </w14:textFill>
        </w:rPr>
        <w:t xml:space="preserve"> 组织财务管理</w:t>
      </w:r>
    </w:p>
    <w:p w14:paraId="645F5A63">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color w:val="000000" w:themeColor="text1"/>
          <w:sz w:val="32"/>
          <w14:textFill>
            <w14:solidFill>
              <w14:schemeClr w14:val="tx1"/>
            </w14:solidFill>
          </w14:textFill>
        </w:rPr>
      </w:pPr>
    </w:p>
    <w:p w14:paraId="1E10A67C">
      <w:pPr>
        <w:keepNext w:val="0"/>
        <w:keepLines w:val="0"/>
        <w:pageBreakBefore w:val="0"/>
        <w:kinsoku/>
        <w:wordWrap/>
        <w:overflowPunct/>
        <w:topLinePunct w:val="0"/>
        <w:autoSpaceDE/>
        <w:autoSpaceDN/>
        <w:bidi w:val="0"/>
        <w:adjustRightInd/>
        <w:snapToGrid/>
        <w:spacing w:line="560" w:lineRule="exact"/>
        <w:ind w:firstLine="660"/>
        <w:textAlignment w:val="auto"/>
        <w:rPr>
          <w:rFonts w:ascii="仿宋" w:hAnsi="仿宋" w:eastAsia="仿宋"/>
          <w:color w:val="FF0000"/>
          <w:sz w:val="32"/>
        </w:rPr>
      </w:pPr>
      <w:r>
        <w:rPr>
          <w:rFonts w:hint="eastAsia" w:ascii="黑体" w:hAnsi="黑体" w:eastAsia="黑体"/>
          <w:color w:val="000000" w:themeColor="text1"/>
          <w:sz w:val="32"/>
          <w14:textFill>
            <w14:solidFill>
              <w14:schemeClr w14:val="tx1"/>
            </w14:solidFill>
          </w14:textFill>
        </w:rPr>
        <w:t>第三十条</w:t>
      </w:r>
      <w:r>
        <w:rPr>
          <w:rFonts w:hint="eastAsia" w:ascii="黑体" w:hAnsi="黑体" w:eastAsia="黑体"/>
          <w:color w:val="000000" w:themeColor="text1"/>
          <w:sz w:val="32"/>
          <w:lang w:val="en-US" w:eastAsia="zh-CN"/>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集体经济组织的法人是经济组织的财务负责人。财务负责人和财务管理人员应当拟定投资决策方案，按照《村集体经济组织会计制度》的规定，制定本集体经济组织收入管理、开支审批、财务公开、预算决算等相关财务管理制度。</w:t>
      </w:r>
    </w:p>
    <w:p w14:paraId="551CF220">
      <w:pPr>
        <w:keepNext w:val="0"/>
        <w:keepLines w:val="0"/>
        <w:pageBreakBefore w:val="0"/>
        <w:kinsoku/>
        <w:wordWrap/>
        <w:overflowPunct/>
        <w:topLinePunct w:val="0"/>
        <w:autoSpaceDE/>
        <w:autoSpaceDN/>
        <w:bidi w:val="0"/>
        <w:adjustRightInd/>
        <w:snapToGrid/>
        <w:spacing w:line="560" w:lineRule="exact"/>
        <w:ind w:firstLine="660"/>
        <w:textAlignment w:val="auto"/>
        <w:rPr>
          <w:rFonts w:hint="default" w:ascii="仿宋" w:hAnsi="仿宋" w:eastAsia="仿宋"/>
          <w:color w:val="FF0000"/>
          <w:sz w:val="32"/>
          <w:lang w:val="en-US" w:eastAsia="zh-CN"/>
        </w:rPr>
      </w:pPr>
      <w:r>
        <w:rPr>
          <w:rFonts w:hint="eastAsia" w:ascii="黑体" w:hAnsi="黑体" w:eastAsia="黑体"/>
          <w:color w:val="000000" w:themeColor="text1"/>
          <w:sz w:val="32"/>
          <w14:textFill>
            <w14:solidFill>
              <w14:schemeClr w14:val="tx1"/>
            </w14:solidFill>
          </w14:textFill>
        </w:rPr>
        <w:t>第三十一条</w:t>
      </w:r>
      <w:r>
        <w:rPr>
          <w:rFonts w:hint="eastAsia"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财务管理人员应当根据上年度决算，拟定本年度财务预算和决算方案，加强财务管理和会计核算，及时编制会计报表,整理账务账册和补充归集相关资料。坚持季度公开、年度公开，实行重大财务事项和生产经营情况公示制度，提高组织成员知晓率。</w:t>
      </w:r>
    </w:p>
    <w:p w14:paraId="729563D9">
      <w:pPr>
        <w:keepNext w:val="0"/>
        <w:keepLines w:val="0"/>
        <w:pageBreakBefore w:val="0"/>
        <w:kinsoku/>
        <w:wordWrap/>
        <w:overflowPunct/>
        <w:topLinePunct w:val="0"/>
        <w:autoSpaceDE/>
        <w:autoSpaceDN/>
        <w:bidi w:val="0"/>
        <w:adjustRightInd/>
        <w:snapToGrid/>
        <w:spacing w:line="560" w:lineRule="exact"/>
        <w:ind w:firstLine="660"/>
        <w:textAlignment w:val="auto"/>
        <w:rPr>
          <w:rFonts w:hint="default" w:ascii="仿宋" w:hAnsi="仿宋" w:eastAsia="仿宋"/>
          <w:color w:val="000000" w:themeColor="text1"/>
          <w:sz w:val="32"/>
          <w:lang w:val="en-US" w:eastAsia="zh-CN"/>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第三十二条</w:t>
      </w:r>
      <w:r>
        <w:rPr>
          <w:rFonts w:hint="eastAsia"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经营和财务收支情况接受各级审计部门的监督审计，应及时将经营情况纳入上级动态监测管理范围，村经济合作社(或联合社)、村股份经济合作社(或联合社)账务通过三资管理平台系统进行账务录入；集体经济组织除法定的会计账册外，不得另立会计账册，对本经济组织的资产不得以个人的名义开立账户存储，且集体经济组织账户不得进行外借和对外担保，严格控制非生产性开支。</w:t>
      </w:r>
    </w:p>
    <w:p w14:paraId="1D7A9D94">
      <w:pPr>
        <w:keepNext w:val="0"/>
        <w:keepLines w:val="0"/>
        <w:pageBreakBefore w:val="0"/>
        <w:kinsoku/>
        <w:wordWrap/>
        <w:overflowPunct/>
        <w:topLinePunct w:val="0"/>
        <w:autoSpaceDE/>
        <w:autoSpaceDN/>
        <w:bidi w:val="0"/>
        <w:adjustRightInd/>
        <w:snapToGrid/>
        <w:spacing w:line="560" w:lineRule="exact"/>
        <w:ind w:firstLine="660"/>
        <w:textAlignment w:val="auto"/>
        <w:rPr>
          <w:rFonts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第三十三条</w:t>
      </w:r>
      <w:r>
        <w:rPr>
          <w:rFonts w:hint="eastAsia"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应做好收益分配工作，按照当年净收益的分配顺序和比例最终由本理事会拟定方案，提请成员大会或代表大会审议通过后实施，并报乡镇人民政府备案。收益分配坚持股东为上、股权为重、按股设置，按权重比例分配。村集体经济组织对外投资，或属于村集体性质的农民合作社应将经营收益转入股份经济合作社进行分配，并及时在三资管理平台系统入账。</w:t>
      </w:r>
    </w:p>
    <w:p w14:paraId="77028273">
      <w:pPr>
        <w:keepNext w:val="0"/>
        <w:keepLines w:val="0"/>
        <w:pageBreakBefore w:val="0"/>
        <w:kinsoku/>
        <w:wordWrap/>
        <w:overflowPunct/>
        <w:topLinePunct w:val="0"/>
        <w:autoSpaceDE/>
        <w:autoSpaceDN/>
        <w:bidi w:val="0"/>
        <w:adjustRightInd/>
        <w:snapToGrid/>
        <w:spacing w:line="560" w:lineRule="exact"/>
        <w:ind w:firstLine="2560" w:firstLineChars="800"/>
        <w:jc w:val="both"/>
        <w:textAlignment w:val="auto"/>
        <w:rPr>
          <w:rFonts w:hint="eastAsia" w:ascii="黑体" w:hAnsi="黑体" w:eastAsia="黑体"/>
          <w:color w:val="000000" w:themeColor="text1"/>
          <w:sz w:val="32"/>
          <w14:textFill>
            <w14:solidFill>
              <w14:schemeClr w14:val="tx1"/>
            </w14:solidFill>
          </w14:textFill>
        </w:rPr>
      </w:pPr>
    </w:p>
    <w:p w14:paraId="5379DA7C">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6"/>
          <w:szCs w:val="28"/>
          <w14:textFill>
            <w14:solidFill>
              <w14:schemeClr w14:val="tx1"/>
            </w14:solidFill>
          </w14:textFill>
        </w:rPr>
        <w:t>第六章  组织合同管理</w:t>
      </w:r>
    </w:p>
    <w:p w14:paraId="6BC116FA">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color w:val="000000" w:themeColor="text1"/>
          <w:sz w:val="32"/>
          <w14:textFill>
            <w14:solidFill>
              <w14:schemeClr w14:val="tx1"/>
            </w14:solidFill>
          </w14:textFill>
        </w:rPr>
      </w:pPr>
    </w:p>
    <w:p w14:paraId="73D63373">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第三十四条</w:t>
      </w:r>
      <w:r>
        <w:rPr>
          <w:rFonts w:hint="eastAsia"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合同是经济组织经营的核心，村集体经济组织对外进行经济活动时应当签订要素齐全的协议、合同。应当包括以下条款：</w:t>
      </w:r>
    </w:p>
    <w:p w14:paraId="042E2BEA">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（一）当事人的名称或者姓名和住所；</w:t>
      </w:r>
    </w:p>
    <w:p w14:paraId="2CA44B8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（二）标的；</w:t>
      </w:r>
    </w:p>
    <w:p w14:paraId="364AEAB7">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（三）数量；</w:t>
      </w:r>
    </w:p>
    <w:p w14:paraId="1349D0D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（四）质量；</w:t>
      </w:r>
    </w:p>
    <w:p w14:paraId="7D07A173">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（五）价款或者报酬；</w:t>
      </w:r>
    </w:p>
    <w:p w14:paraId="4513B96A">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（六）履行期限、地点和方式；</w:t>
      </w:r>
    </w:p>
    <w:p w14:paraId="02791799">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（七）违约责任；</w:t>
      </w:r>
    </w:p>
    <w:p w14:paraId="3E365AA8">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（八）解决争议的方法。</w:t>
      </w:r>
    </w:p>
    <w:p w14:paraId="4533883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 w:hAnsi="仿宋" w:eastAsia="仿宋"/>
          <w:color w:val="000000" w:themeColor="text1"/>
          <w:sz w:val="32"/>
          <w:lang w:eastAsia="zh-CN"/>
          <w14:textFill>
            <w14:solidFill>
              <w14:schemeClr w14:val="tx1"/>
            </w14:solidFill>
          </w14:textFill>
        </w:rPr>
      </w:pPr>
      <w:r>
        <w:rPr>
          <w:rFonts w:hint="eastAsia" w:ascii="仿宋_GB2312" w:hAnsi="楷体" w:eastAsia="仿宋_GB2312" w:cs="宋体"/>
          <w:color w:val="000000" w:themeColor="text1"/>
          <w:kern w:val="0"/>
          <w:sz w:val="32"/>
          <w:szCs w:val="32"/>
          <w:lang w:val="en-US" w:eastAsia="zh-CN"/>
          <w14:textFill>
            <w14:solidFill>
              <w14:schemeClr w14:val="tx1"/>
            </w14:solidFill>
          </w14:textFill>
        </w:rPr>
        <w:t>合同具体内容由双方当事人约定。</w:t>
      </w:r>
    </w:p>
    <w:p w14:paraId="1EDBA5F2">
      <w:pPr>
        <w:keepNext w:val="0"/>
        <w:keepLines w:val="0"/>
        <w:pageBreakBefore w:val="0"/>
        <w:kinsoku/>
        <w:wordWrap/>
        <w:overflowPunct/>
        <w:topLinePunct w:val="0"/>
        <w:autoSpaceDE/>
        <w:autoSpaceDN/>
        <w:bidi w:val="0"/>
        <w:adjustRightInd/>
        <w:snapToGrid/>
        <w:spacing w:line="560" w:lineRule="exact"/>
        <w:ind w:firstLine="660"/>
        <w:textAlignment w:val="auto"/>
        <w:rPr>
          <w:rFonts w:hint="default" w:ascii="仿宋" w:hAnsi="仿宋" w:eastAsia="仿宋"/>
          <w:color w:val="FF0000"/>
          <w:sz w:val="32"/>
          <w:lang w:val="en-US" w:eastAsia="zh-CN"/>
        </w:rPr>
      </w:pPr>
      <w:r>
        <w:rPr>
          <w:rFonts w:hint="eastAsia" w:ascii="黑体" w:hAnsi="黑体" w:eastAsia="黑体"/>
          <w:color w:val="000000" w:themeColor="text1"/>
          <w:sz w:val="32"/>
          <w14:textFill>
            <w14:solidFill>
              <w14:schemeClr w14:val="tx1"/>
            </w14:solidFill>
          </w14:textFill>
        </w:rPr>
        <w:t>第三十五条</w:t>
      </w: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对外签订合同，由法定代表人代表村集体经济组织对外签订合同；若法定代表人因故无法签订，应由持有法人委托书的委托人进行签订。合同订立过程应当由监事会全程参与监督。合同签订完毕后，应作为财务档案和文书档案分别规定保管。</w:t>
      </w:r>
    </w:p>
    <w:p w14:paraId="6EFC3251">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第三十六条</w:t>
      </w:r>
      <w:r>
        <w:rPr>
          <w:rFonts w:hint="eastAsia"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处理合同纠纷坚持以法律为准绳、以事实为依据，法律无明文规定的，以国家政策或合同条款为准。</w:t>
      </w:r>
    </w:p>
    <w:p w14:paraId="3E93970D">
      <w:pPr>
        <w:keepNext w:val="0"/>
        <w:keepLines w:val="0"/>
        <w:pageBreakBefore w:val="0"/>
        <w:kinsoku/>
        <w:wordWrap/>
        <w:overflowPunct/>
        <w:topLinePunct w:val="0"/>
        <w:autoSpaceDE/>
        <w:autoSpaceDN/>
        <w:bidi w:val="0"/>
        <w:adjustRightInd/>
        <w:snapToGrid/>
        <w:spacing w:line="560" w:lineRule="exact"/>
        <w:ind w:firstLine="4080" w:firstLineChars="850"/>
        <w:jc w:val="both"/>
        <w:textAlignment w:val="auto"/>
        <w:rPr>
          <w:rFonts w:hint="eastAsia" w:ascii="黑体" w:hAnsi="黑体" w:eastAsia="黑体"/>
          <w:color w:val="000000" w:themeColor="text1"/>
          <w:sz w:val="48"/>
          <w:szCs w:val="48"/>
          <w14:textFill>
            <w14:solidFill>
              <w14:schemeClr w14:val="tx1"/>
            </w14:solidFill>
          </w14:textFill>
        </w:rPr>
      </w:pPr>
    </w:p>
    <w:p w14:paraId="0879153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6"/>
          <w:szCs w:val="28"/>
          <w14:textFill>
            <w14:solidFill>
              <w14:schemeClr w14:val="tx1"/>
            </w14:solidFill>
          </w14:textFill>
        </w:rPr>
        <w:t>第七章  组织</w:t>
      </w:r>
      <w:r>
        <w:rPr>
          <w:rFonts w:hint="eastAsia" w:ascii="黑体" w:hAnsi="黑体" w:eastAsia="黑体"/>
          <w:color w:val="000000" w:themeColor="text1"/>
          <w:sz w:val="36"/>
          <w:szCs w:val="28"/>
          <w:lang w:val="en-US" w:eastAsia="zh-CN"/>
          <w14:textFill>
            <w14:solidFill>
              <w14:schemeClr w14:val="tx1"/>
            </w14:solidFill>
          </w14:textFill>
        </w:rPr>
        <w:t>资产和</w:t>
      </w:r>
      <w:r>
        <w:rPr>
          <w:rFonts w:hint="eastAsia" w:ascii="黑体" w:hAnsi="黑体" w:eastAsia="黑体"/>
          <w:color w:val="000000" w:themeColor="text1"/>
          <w:sz w:val="36"/>
          <w:szCs w:val="28"/>
          <w14:textFill>
            <w14:solidFill>
              <w14:schemeClr w14:val="tx1"/>
            </w14:solidFill>
          </w14:textFill>
        </w:rPr>
        <w:t>运营管理</w:t>
      </w:r>
    </w:p>
    <w:p w14:paraId="574C6F40">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color w:val="000000" w:themeColor="text1"/>
          <w:sz w:val="32"/>
          <w14:textFill>
            <w14:solidFill>
              <w14:schemeClr w14:val="tx1"/>
            </w14:solidFill>
          </w14:textFill>
        </w:rPr>
      </w:pPr>
    </w:p>
    <w:p w14:paraId="1A2B35C8">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 w:hAnsi="仿宋" w:eastAsia="仿宋"/>
          <w:color w:val="000000" w:themeColor="text1"/>
          <w:sz w:val="32"/>
          <w:lang w:val="en-US" w:eastAsia="zh-CN"/>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第三十七条</w:t>
      </w:r>
      <w:r>
        <w:rPr>
          <w:rFonts w:hint="eastAsia"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农村集体经济组织依据《陕西省农村集体资产管理条例》制定本集体经济组织资产清查、登记、保管、使用、处置等管理制度；建立资产台账，及时公示，接受组织成员和社会各界的监督。</w:t>
      </w:r>
    </w:p>
    <w:p w14:paraId="33C1706C">
      <w:pPr>
        <w:keepNext w:val="0"/>
        <w:keepLines w:val="0"/>
        <w:pageBreakBefore w:val="0"/>
        <w:kinsoku/>
        <w:wordWrap/>
        <w:overflowPunct/>
        <w:topLinePunct w:val="0"/>
        <w:autoSpaceDE/>
        <w:autoSpaceDN/>
        <w:bidi w:val="0"/>
        <w:adjustRightInd/>
        <w:snapToGrid/>
        <w:spacing w:line="560" w:lineRule="exact"/>
        <w:ind w:firstLine="660"/>
        <w:textAlignment w:val="auto"/>
        <w:rPr>
          <w:rFonts w:hint="default" w:ascii="仿宋" w:hAnsi="仿宋" w:eastAsia="仿宋"/>
          <w:color w:val="000000" w:themeColor="text1"/>
          <w:sz w:val="32"/>
          <w:lang w:val="en-US" w:eastAsia="zh-CN"/>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第三十八条</w:t>
      </w:r>
      <w:r>
        <w:rPr>
          <w:rFonts w:hint="eastAsia" w:ascii="黑体" w:hAnsi="黑体" w:eastAsia="黑体"/>
          <w:color w:val="000000" w:themeColor="text1"/>
          <w:sz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农村集体经济组织依据相关法律法规对集体经营性资产进行股份或份额量化处理，完善经营性资产份额量化信息，建立经营性资产份额登记簿，集体经济组织按照组织成员份额（股份）进行分红。</w:t>
      </w:r>
    </w:p>
    <w:p w14:paraId="3CAD4FF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第三十</w:t>
      </w:r>
      <w:r>
        <w:rPr>
          <w:rFonts w:hint="eastAsia" w:ascii="黑体" w:hAnsi="黑体" w:eastAsia="黑体"/>
          <w:color w:val="000000" w:themeColor="text1"/>
          <w:sz w:val="32"/>
          <w:lang w:val="en-US" w:eastAsia="zh-CN"/>
          <w14:textFill>
            <w14:solidFill>
              <w14:schemeClr w14:val="tx1"/>
            </w14:solidFill>
          </w14:textFill>
        </w:rPr>
        <w:t>九</w:t>
      </w:r>
      <w:r>
        <w:rPr>
          <w:rFonts w:hint="eastAsia" w:ascii="黑体" w:hAnsi="黑体" w:eastAsia="黑体"/>
          <w:color w:val="000000" w:themeColor="text1"/>
          <w:sz w:val="32"/>
          <w14:textFill>
            <w14:solidFill>
              <w14:schemeClr w14:val="tx1"/>
            </w14:solidFill>
          </w14:textFill>
        </w:rPr>
        <w:t>条</w:t>
      </w:r>
      <w:r>
        <w:rPr>
          <w:rFonts w:hint="eastAsia" w:ascii="黑体" w:hAnsi="黑体" w:eastAsia="黑体"/>
          <w:color w:val="000000" w:themeColor="text1"/>
          <w:sz w:val="32"/>
          <w:lang w:val="en-US" w:eastAsia="zh-CN"/>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农村集体经济组织应保障集体资金安全。可采取独资经营、股份合作、租赁等方式盘活存量资产，进行经济经营活动，确保资产保值增值。</w:t>
      </w:r>
    </w:p>
    <w:p w14:paraId="4174AD0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              </w:t>
      </w:r>
    </w:p>
    <w:p w14:paraId="673859B1">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仿宋" w:hAnsi="仿宋" w:eastAsia="仿宋"/>
          <w:color w:val="000000" w:themeColor="text1"/>
          <w:sz w:val="32"/>
          <w14:textFill>
            <w14:solidFill>
              <w14:schemeClr w14:val="tx1"/>
            </w14:solidFill>
          </w14:textFill>
        </w:rPr>
      </w:pPr>
      <w:r>
        <w:rPr>
          <w:rFonts w:hint="eastAsia" w:ascii="黑体" w:hAnsi="黑体" w:eastAsia="黑体"/>
          <w:color w:val="000000" w:themeColor="text1"/>
          <w:sz w:val="36"/>
          <w:szCs w:val="28"/>
          <w14:textFill>
            <w14:solidFill>
              <w14:schemeClr w14:val="tx1"/>
            </w14:solidFill>
          </w14:textFill>
        </w:rPr>
        <w:t>第八章  组织机构监督</w:t>
      </w:r>
    </w:p>
    <w:p w14:paraId="5910CA5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b w:val="0"/>
          <w:bCs w:val="0"/>
          <w:color w:val="000000" w:themeColor="text1"/>
          <w:sz w:val="32"/>
          <w14:textFill>
            <w14:solidFill>
              <w14:schemeClr w14:val="tx1"/>
            </w14:solidFill>
          </w14:textFill>
        </w:rPr>
      </w:pPr>
      <w:r>
        <w:rPr>
          <w:rFonts w:hint="eastAsia" w:ascii="仿宋" w:hAnsi="仿宋" w:eastAsia="仿宋"/>
          <w:b/>
          <w:bCs/>
          <w:color w:val="000000" w:themeColor="text1"/>
          <w:sz w:val="32"/>
          <w14:textFill>
            <w14:solidFill>
              <w14:schemeClr w14:val="tx1"/>
            </w14:solidFill>
          </w14:textFill>
        </w:rPr>
        <w:t xml:space="preserve">  </w:t>
      </w:r>
      <w:r>
        <w:rPr>
          <w:rFonts w:hint="eastAsia" w:ascii="仿宋" w:hAnsi="仿宋" w:eastAsia="仿宋"/>
          <w:b w:val="0"/>
          <w:bCs w:val="0"/>
          <w:color w:val="000000" w:themeColor="text1"/>
          <w:sz w:val="32"/>
          <w14:textFill>
            <w14:solidFill>
              <w14:schemeClr w14:val="tx1"/>
            </w14:solidFill>
          </w14:textFill>
        </w:rPr>
        <w:t xml:space="preserve">  </w:t>
      </w:r>
    </w:p>
    <w:p w14:paraId="659743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kern w:val="0"/>
          <w:sz w:val="32"/>
          <w:szCs w:val="32"/>
          <w14:textFill>
            <w14:solidFill>
              <w14:schemeClr w14:val="tx1"/>
            </w14:solidFill>
          </w14:textFill>
        </w:rPr>
        <w:t>第</w:t>
      </w:r>
      <w:r>
        <w:rPr>
          <w:rFonts w:hint="eastAsia" w:ascii="黑体" w:hAnsi="黑体" w:eastAsia="黑体" w:cs="宋体"/>
          <w:b w:val="0"/>
          <w:bCs w:val="0"/>
          <w:color w:val="000000" w:themeColor="text1"/>
          <w:kern w:val="0"/>
          <w:sz w:val="32"/>
          <w:szCs w:val="32"/>
          <w:lang w:val="en-US" w:eastAsia="zh-CN"/>
          <w14:textFill>
            <w14:solidFill>
              <w14:schemeClr w14:val="tx1"/>
            </w14:solidFill>
          </w14:textFill>
        </w:rPr>
        <w:t>四十</w:t>
      </w:r>
      <w:r>
        <w:rPr>
          <w:rFonts w:ascii="黑体" w:hAnsi="黑体" w:eastAsia="黑体" w:cs="宋体"/>
          <w:b w:val="0"/>
          <w:bCs w:val="0"/>
          <w:color w:val="000000" w:themeColor="text1"/>
          <w:kern w:val="0"/>
          <w:sz w:val="32"/>
          <w:szCs w:val="32"/>
          <w14:textFill>
            <w14:solidFill>
              <w14:schemeClr w14:val="tx1"/>
            </w14:solidFill>
          </w14:textFill>
        </w:rPr>
        <w:t>条</w:t>
      </w:r>
      <w:r>
        <w:rPr>
          <w:rFonts w:hint="eastAsia" w:ascii="黑体" w:hAnsi="黑体" w:eastAsia="黑体" w:cs="宋体"/>
          <w:b w:val="0"/>
          <w:bCs w:val="0"/>
          <w:color w:val="000000" w:themeColor="text1"/>
          <w:kern w:val="0"/>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农村集体经济组织应接受镇政府和镇纪检监察机关监督，接受项目主管单位的业务指导和监督，自觉接受监事会日常监督。</w:t>
      </w:r>
      <w:r>
        <w:rPr>
          <w:rFonts w:hint="eastAsia" w:ascii="仿宋_GB2312" w:eastAsia="仿宋_GB2312"/>
          <w:color w:val="000000" w:themeColor="text1"/>
          <w:sz w:val="32"/>
          <w:szCs w:val="32"/>
          <w14:textFill>
            <w14:solidFill>
              <w14:schemeClr w14:val="tx1"/>
            </w14:solidFill>
          </w14:textFill>
        </w:rPr>
        <w:t xml:space="preserve">    </w:t>
      </w:r>
    </w:p>
    <w:p w14:paraId="20DAF2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14:textFill>
            <w14:solidFill>
              <w14:schemeClr w14:val="tx1"/>
            </w14:solidFill>
          </w14:textFill>
        </w:rPr>
      </w:pPr>
      <w:r>
        <w:rPr>
          <w:rFonts w:hint="eastAsia" w:ascii="黑体" w:hAnsi="黑体" w:eastAsia="黑体" w:cs="宋体"/>
          <w:b w:val="0"/>
          <w:bCs w:val="0"/>
          <w:color w:val="000000" w:themeColor="text1"/>
          <w:kern w:val="0"/>
          <w:sz w:val="32"/>
          <w:szCs w:val="32"/>
          <w14:textFill>
            <w14:solidFill>
              <w14:schemeClr w14:val="tx1"/>
            </w14:solidFill>
          </w14:textFill>
        </w:rPr>
        <w:t>第四十</w:t>
      </w:r>
      <w:r>
        <w:rPr>
          <w:rFonts w:hint="eastAsia" w:ascii="黑体" w:hAnsi="黑体" w:eastAsia="黑体" w:cs="宋体"/>
          <w:b w:val="0"/>
          <w:bCs w:val="0"/>
          <w:color w:val="000000" w:themeColor="text1"/>
          <w:kern w:val="0"/>
          <w:sz w:val="32"/>
          <w:szCs w:val="32"/>
          <w:lang w:val="en-US" w:eastAsia="zh-CN"/>
          <w14:textFill>
            <w14:solidFill>
              <w14:schemeClr w14:val="tx1"/>
            </w14:solidFill>
          </w14:textFill>
        </w:rPr>
        <w:t>一</w:t>
      </w:r>
      <w:r>
        <w:rPr>
          <w:rFonts w:ascii="黑体" w:hAnsi="黑体" w:eastAsia="黑体" w:cs="宋体"/>
          <w:b w:val="0"/>
          <w:bCs w:val="0"/>
          <w:color w:val="000000" w:themeColor="text1"/>
          <w:kern w:val="0"/>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应当依据相关法律法规建立健全内部长效监督机制，积极发挥监事会监督职能，规范集体经济组织各项工作流程，负责日常监督。村集体经济组织定期公示集体资产、资金使用、土地补偿和收益分配等事项，自觉接受组织成员和社会各界监督。</w:t>
      </w:r>
    </w:p>
    <w:p w14:paraId="08F88971">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000000" w:themeColor="text1"/>
          <w:sz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hAnsi="黑体" w:eastAsia="黑体" w:cs="宋体"/>
          <w:b w:val="0"/>
          <w:bCs w:val="0"/>
          <w:color w:val="000000" w:themeColor="text1"/>
          <w:kern w:val="0"/>
          <w:sz w:val="32"/>
          <w:szCs w:val="32"/>
          <w14:textFill>
            <w14:solidFill>
              <w14:schemeClr w14:val="tx1"/>
            </w14:solidFill>
          </w14:textFill>
        </w:rPr>
        <w:t>第四十</w:t>
      </w:r>
      <w:r>
        <w:rPr>
          <w:rFonts w:hint="eastAsia" w:ascii="黑体" w:hAnsi="黑体" w:eastAsia="黑体" w:cs="宋体"/>
          <w:b w:val="0"/>
          <w:bCs w:val="0"/>
          <w:color w:val="000000" w:themeColor="text1"/>
          <w:kern w:val="0"/>
          <w:sz w:val="32"/>
          <w:szCs w:val="32"/>
          <w:lang w:val="en-US" w:eastAsia="zh-CN"/>
          <w14:textFill>
            <w14:solidFill>
              <w14:schemeClr w14:val="tx1"/>
            </w14:solidFill>
          </w14:textFill>
        </w:rPr>
        <w:t>二</w:t>
      </w:r>
      <w:r>
        <w:rPr>
          <w:rFonts w:ascii="黑体" w:hAnsi="黑体" w:eastAsia="黑体" w:cs="宋体"/>
          <w:b w:val="0"/>
          <w:bCs w:val="0"/>
          <w:color w:val="000000" w:themeColor="text1"/>
          <w:kern w:val="0"/>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农村集体经济组织实行年度财务审计和干部离任审计制度。审计完毕后，审计部门及时出具书面审计报告和意见书，做出综合评价，审计结果要及时公布。</w:t>
      </w:r>
    </w:p>
    <w:p w14:paraId="5834C2C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              </w:t>
      </w:r>
    </w:p>
    <w:p w14:paraId="0D76B930">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仿宋" w:hAnsi="仿宋" w:eastAsia="仿宋"/>
          <w:color w:val="000000" w:themeColor="text1"/>
          <w:sz w:val="32"/>
          <w14:textFill>
            <w14:solidFill>
              <w14:schemeClr w14:val="tx1"/>
            </w14:solidFill>
          </w14:textFill>
        </w:rPr>
      </w:pPr>
      <w:r>
        <w:rPr>
          <w:rFonts w:hint="eastAsia" w:ascii="黑体" w:hAnsi="黑体" w:eastAsia="黑体" w:cs="宋体"/>
          <w:b w:val="0"/>
          <w:bCs w:val="0"/>
          <w:color w:val="000000" w:themeColor="text1"/>
          <w:kern w:val="0"/>
          <w:sz w:val="36"/>
          <w:szCs w:val="36"/>
          <w14:textFill>
            <w14:solidFill>
              <w14:schemeClr w14:val="tx1"/>
            </w14:solidFill>
          </w14:textFill>
        </w:rPr>
        <w:t>第九章  绩效评价</w:t>
      </w:r>
    </w:p>
    <w:p w14:paraId="5F6E8F52">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ascii="黑体" w:hAnsi="黑体" w:eastAsia="黑体" w:cs="宋体"/>
          <w:b w:val="0"/>
          <w:bCs w:val="0"/>
          <w:color w:val="000000" w:themeColor="text1"/>
          <w:kern w:val="0"/>
          <w:sz w:val="32"/>
          <w:szCs w:val="32"/>
          <w14:textFill>
            <w14:solidFill>
              <w14:schemeClr w14:val="tx1"/>
            </w14:solidFill>
          </w14:textFill>
        </w:rPr>
      </w:pPr>
    </w:p>
    <w:p w14:paraId="0AE21031">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ascii="仿宋_GB2312" w:hAnsi="楷体" w:eastAsia="仿宋_GB2312" w:cs="宋体"/>
          <w:color w:val="000000" w:themeColor="text1"/>
          <w:kern w:val="0"/>
          <w:sz w:val="32"/>
          <w:szCs w:val="32"/>
          <w14:textFill>
            <w14:solidFill>
              <w14:schemeClr w14:val="tx1"/>
            </w14:solidFill>
          </w14:textFill>
        </w:rPr>
      </w:pPr>
      <w:r>
        <w:rPr>
          <w:rFonts w:ascii="黑体" w:hAnsi="黑体" w:eastAsia="黑体" w:cs="宋体"/>
          <w:b w:val="0"/>
          <w:bCs w:val="0"/>
          <w:color w:val="000000" w:themeColor="text1"/>
          <w:kern w:val="0"/>
          <w:sz w:val="32"/>
          <w:szCs w:val="32"/>
          <w14:textFill>
            <w14:solidFill>
              <w14:schemeClr w14:val="tx1"/>
            </w14:solidFill>
          </w14:textFill>
        </w:rPr>
        <w:t>第</w:t>
      </w:r>
      <w:r>
        <w:rPr>
          <w:rFonts w:hint="eastAsia" w:ascii="黑体" w:hAnsi="黑体" w:eastAsia="黑体" w:cs="宋体"/>
          <w:b w:val="0"/>
          <w:bCs w:val="0"/>
          <w:color w:val="000000" w:themeColor="text1"/>
          <w:kern w:val="0"/>
          <w:sz w:val="32"/>
          <w:szCs w:val="32"/>
          <w14:textFill>
            <w14:solidFill>
              <w14:schemeClr w14:val="tx1"/>
            </w14:solidFill>
          </w14:textFill>
        </w:rPr>
        <w:t>四十</w:t>
      </w:r>
      <w:r>
        <w:rPr>
          <w:rFonts w:hint="eastAsia" w:ascii="黑体" w:hAnsi="黑体" w:eastAsia="黑体" w:cs="宋体"/>
          <w:b w:val="0"/>
          <w:bCs w:val="0"/>
          <w:color w:val="000000" w:themeColor="text1"/>
          <w:kern w:val="0"/>
          <w:sz w:val="32"/>
          <w:szCs w:val="32"/>
          <w:lang w:val="en-US" w:eastAsia="zh-CN"/>
          <w14:textFill>
            <w14:solidFill>
              <w14:schemeClr w14:val="tx1"/>
            </w14:solidFill>
          </w14:textFill>
        </w:rPr>
        <w:t>三</w:t>
      </w:r>
      <w:r>
        <w:rPr>
          <w:rFonts w:ascii="黑体" w:hAnsi="黑体" w:eastAsia="黑体" w:cs="宋体"/>
          <w:b w:val="0"/>
          <w:bCs w:val="0"/>
          <w:color w:val="000000" w:themeColor="text1"/>
          <w:kern w:val="0"/>
          <w:sz w:val="32"/>
          <w:szCs w:val="32"/>
          <w14:textFill>
            <w14:solidFill>
              <w14:schemeClr w14:val="tx1"/>
            </w14:solidFill>
          </w14:textFill>
        </w:rPr>
        <w:t>条</w:t>
      </w:r>
      <w:r>
        <w:rPr>
          <w:rFonts w:ascii="仿宋_GB2312" w:hAnsi="楷体" w:eastAsia="仿宋_GB2312" w:cs="宋体"/>
          <w:color w:val="000000" w:themeColor="text1"/>
          <w:kern w:val="0"/>
          <w:sz w:val="32"/>
          <w:szCs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县农业农村部门将村集体经济发展纳入绩效评价考核内容。各镇人民政府要将农村集体经济组织管理工作纳入年度绩效考评范畴，科学合理设置绩效考评指标，确保有效推进农村集体经济组织规范高效运行。</w:t>
      </w:r>
    </w:p>
    <w:p w14:paraId="110160D3">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ascii="仿宋_GB2312" w:hAnsi="楷体" w:eastAsia="仿宋_GB2312" w:cs="宋体"/>
          <w:color w:val="000000" w:themeColor="text1"/>
          <w:kern w:val="0"/>
          <w:sz w:val="32"/>
          <w:szCs w:val="32"/>
          <w14:textFill>
            <w14:solidFill>
              <w14:schemeClr w14:val="tx1"/>
            </w14:solidFill>
          </w14:textFill>
        </w:rPr>
      </w:pPr>
      <w:r>
        <w:rPr>
          <w:rFonts w:ascii="黑体" w:hAnsi="黑体" w:eastAsia="黑体" w:cs="宋体"/>
          <w:b w:val="0"/>
          <w:bCs w:val="0"/>
          <w:color w:val="000000" w:themeColor="text1"/>
          <w:kern w:val="0"/>
          <w:sz w:val="32"/>
          <w:szCs w:val="32"/>
          <w14:textFill>
            <w14:solidFill>
              <w14:schemeClr w14:val="tx1"/>
            </w14:solidFill>
          </w14:textFill>
        </w:rPr>
        <w:t>第</w:t>
      </w:r>
      <w:r>
        <w:rPr>
          <w:rFonts w:hint="eastAsia" w:ascii="黑体" w:hAnsi="黑体" w:eastAsia="黑体" w:cs="宋体"/>
          <w:b w:val="0"/>
          <w:bCs w:val="0"/>
          <w:color w:val="000000" w:themeColor="text1"/>
          <w:kern w:val="0"/>
          <w:sz w:val="32"/>
          <w:szCs w:val="32"/>
          <w14:textFill>
            <w14:solidFill>
              <w14:schemeClr w14:val="tx1"/>
            </w14:solidFill>
          </w14:textFill>
        </w:rPr>
        <w:t>四十</w:t>
      </w:r>
      <w:r>
        <w:rPr>
          <w:rFonts w:hint="eastAsia" w:ascii="黑体" w:hAnsi="黑体" w:eastAsia="黑体" w:cs="宋体"/>
          <w:b w:val="0"/>
          <w:bCs w:val="0"/>
          <w:color w:val="000000" w:themeColor="text1"/>
          <w:kern w:val="0"/>
          <w:sz w:val="32"/>
          <w:szCs w:val="32"/>
          <w:lang w:val="en-US" w:eastAsia="zh-CN"/>
          <w14:textFill>
            <w14:solidFill>
              <w14:schemeClr w14:val="tx1"/>
            </w14:solidFill>
          </w14:textFill>
        </w:rPr>
        <w:t>四</w:t>
      </w:r>
      <w:r>
        <w:rPr>
          <w:rFonts w:ascii="黑体" w:hAnsi="黑体" w:eastAsia="黑体" w:cs="宋体"/>
          <w:b w:val="0"/>
          <w:bCs w:val="0"/>
          <w:color w:val="000000" w:themeColor="text1"/>
          <w:kern w:val="0"/>
          <w:sz w:val="32"/>
          <w:szCs w:val="32"/>
          <w14:textFill>
            <w14:solidFill>
              <w14:schemeClr w14:val="tx1"/>
            </w14:solidFill>
          </w14:textFill>
        </w:rPr>
        <w:t>条</w:t>
      </w:r>
      <w:r>
        <w:rPr>
          <w:rFonts w:hint="eastAsia" w:ascii="仿宋_GB2312" w:hAnsi="楷体" w:eastAsia="仿宋_GB2312" w:cs="宋体"/>
          <w:color w:val="000000" w:themeColor="text1"/>
          <w:kern w:val="0"/>
          <w:sz w:val="32"/>
          <w:szCs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 xml:space="preserve"> 各镇人民政府要将农村集体经济组织管理工作纳入对理事长年度述职评议，对工作成效突出的理事长给予通报表扬。考评结果与管理人员报酬兑现挂钩。</w:t>
      </w:r>
    </w:p>
    <w:p w14:paraId="02EE1A6D">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楷体" w:eastAsia="仿宋_GB2312" w:cs="宋体"/>
          <w:color w:val="000000" w:themeColor="text1"/>
          <w:kern w:val="0"/>
          <w:sz w:val="32"/>
          <w:szCs w:val="32"/>
          <w:lang w:val="en-US" w:eastAsia="zh-CN"/>
          <w14:textFill>
            <w14:solidFill>
              <w14:schemeClr w14:val="tx1"/>
            </w14:solidFill>
          </w14:textFill>
        </w:rPr>
      </w:pPr>
      <w:r>
        <w:rPr>
          <w:rFonts w:ascii="黑体" w:hAnsi="黑体" w:eastAsia="黑体" w:cs="宋体"/>
          <w:b w:val="0"/>
          <w:bCs w:val="0"/>
          <w:color w:val="000000" w:themeColor="text1"/>
          <w:kern w:val="0"/>
          <w:sz w:val="32"/>
          <w:szCs w:val="32"/>
          <w14:textFill>
            <w14:solidFill>
              <w14:schemeClr w14:val="tx1"/>
            </w14:solidFill>
          </w14:textFill>
        </w:rPr>
        <w:t>第</w:t>
      </w:r>
      <w:r>
        <w:rPr>
          <w:rFonts w:hint="eastAsia" w:ascii="黑体" w:hAnsi="黑体" w:eastAsia="黑体" w:cs="宋体"/>
          <w:b w:val="0"/>
          <w:bCs w:val="0"/>
          <w:color w:val="000000" w:themeColor="text1"/>
          <w:kern w:val="0"/>
          <w:sz w:val="32"/>
          <w:szCs w:val="32"/>
          <w14:textFill>
            <w14:solidFill>
              <w14:schemeClr w14:val="tx1"/>
            </w14:solidFill>
          </w14:textFill>
        </w:rPr>
        <w:t>四十</w:t>
      </w:r>
      <w:r>
        <w:rPr>
          <w:rFonts w:hint="eastAsia" w:ascii="黑体" w:hAnsi="黑体" w:eastAsia="黑体" w:cs="宋体"/>
          <w:b w:val="0"/>
          <w:bCs w:val="0"/>
          <w:color w:val="000000" w:themeColor="text1"/>
          <w:kern w:val="0"/>
          <w:sz w:val="32"/>
          <w:szCs w:val="32"/>
          <w:lang w:val="en-US" w:eastAsia="zh-CN"/>
          <w14:textFill>
            <w14:solidFill>
              <w14:schemeClr w14:val="tx1"/>
            </w14:solidFill>
          </w14:textFill>
        </w:rPr>
        <w:t>五</w:t>
      </w:r>
      <w:r>
        <w:rPr>
          <w:rFonts w:ascii="黑体" w:hAnsi="黑体" w:eastAsia="黑体" w:cs="宋体"/>
          <w:b w:val="0"/>
          <w:bCs w:val="0"/>
          <w:color w:val="000000" w:themeColor="text1"/>
          <w:kern w:val="0"/>
          <w:sz w:val="32"/>
          <w:szCs w:val="32"/>
          <w14:textFill>
            <w14:solidFill>
              <w14:schemeClr w14:val="tx1"/>
            </w14:solidFill>
          </w14:textFill>
        </w:rPr>
        <w:t>条</w:t>
      </w:r>
      <w:r>
        <w:rPr>
          <w:rFonts w:hint="eastAsia" w:ascii="黑体" w:hAnsi="黑体" w:eastAsia="黑体" w:cs="宋体"/>
          <w:b w:val="0"/>
          <w:bCs w:val="0"/>
          <w:color w:val="000000" w:themeColor="text1"/>
          <w:kern w:val="0"/>
          <w:sz w:val="32"/>
          <w:szCs w:val="32"/>
          <w:lang w:val="en-US" w:eastAsia="zh-CN"/>
          <w14:textFill>
            <w14:solidFill>
              <w14:schemeClr w14:val="tx1"/>
            </w14:solidFill>
          </w14:textFill>
        </w:rPr>
        <w:t xml:space="preserve"> </w:t>
      </w:r>
      <w:r>
        <w:rPr>
          <w:rFonts w:ascii="仿宋_GB2312" w:hAnsi="楷体" w:eastAsia="仿宋_GB2312" w:cs="宋体"/>
          <w:color w:val="000000" w:themeColor="text1"/>
          <w:kern w:val="0"/>
          <w:sz w:val="32"/>
          <w:szCs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fldChar w:fldCharType="begin"/>
      </w:r>
      <w:r>
        <w:rPr>
          <w:rFonts w:hint="eastAsia" w:ascii="仿宋_GB2312" w:hAnsi="楷体" w:eastAsia="仿宋_GB2312" w:cs="宋体"/>
          <w:color w:val="000000" w:themeColor="text1"/>
          <w:kern w:val="0"/>
          <w:sz w:val="32"/>
          <w:szCs w:val="32"/>
          <w:lang w:val="en-US" w:eastAsia="zh-CN"/>
          <w14:textFill>
            <w14:solidFill>
              <w14:schemeClr w14:val="tx1"/>
            </w14:solidFill>
          </w14:textFill>
        </w:rPr>
        <w:instrText xml:space="preserve"> HYPERLINK "https://baike.so.com/doc/5602235-5814839.html" \t "_blank" </w:instrTex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fldChar w:fldCharType="separate"/>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集体经济</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fldChar w:fldCharType="end"/>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组织管理人员滥用职权、玩忽职守、循私舞弊以及有其他损害组织及其成员合法权益行为的，由所在镇人民政府按照相关规定给予处理，并责令限期改正;情节严重的，建议罢免职务。建议罢免职务的，应当按照</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fldChar w:fldCharType="begin"/>
      </w:r>
      <w:r>
        <w:rPr>
          <w:rFonts w:hint="eastAsia" w:ascii="仿宋_GB2312" w:hAnsi="楷体" w:eastAsia="仿宋_GB2312" w:cs="宋体"/>
          <w:color w:val="000000" w:themeColor="text1"/>
          <w:kern w:val="0"/>
          <w:sz w:val="32"/>
          <w:szCs w:val="32"/>
          <w:lang w:val="en-US" w:eastAsia="zh-CN"/>
          <w14:textFill>
            <w14:solidFill>
              <w14:schemeClr w14:val="tx1"/>
            </w14:solidFill>
          </w14:textFill>
        </w:rPr>
        <w:instrText xml:space="preserve"> HYPERLINK "https://baike.so.com/doc/5602238-5814842.html" \t "_blank" </w:instrTex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fldChar w:fldCharType="separate"/>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集体经济组织</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fldChar w:fldCharType="end"/>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章程规定的程序进行。</w:t>
      </w:r>
    </w:p>
    <w:p w14:paraId="73C41DF5">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ascii="仿宋" w:hAnsi="仿宋" w:eastAsia="仿宋"/>
          <w:color w:val="000000" w:themeColor="text1"/>
          <w:sz w:val="32"/>
          <w14:textFill>
            <w14:solidFill>
              <w14:schemeClr w14:val="tx1"/>
            </w14:solidFill>
          </w14:textFill>
        </w:rPr>
      </w:pPr>
      <w:r>
        <w:rPr>
          <w:rFonts w:ascii="黑体" w:hAnsi="黑体" w:eastAsia="黑体" w:cs="宋体"/>
          <w:b w:val="0"/>
          <w:bCs w:val="0"/>
          <w:color w:val="000000" w:themeColor="text1"/>
          <w:kern w:val="0"/>
          <w:sz w:val="32"/>
          <w:szCs w:val="32"/>
          <w14:textFill>
            <w14:solidFill>
              <w14:schemeClr w14:val="tx1"/>
            </w14:solidFill>
          </w14:textFill>
        </w:rPr>
        <w:t>第</w:t>
      </w:r>
      <w:r>
        <w:rPr>
          <w:rFonts w:hint="eastAsia" w:ascii="黑体" w:hAnsi="黑体" w:eastAsia="黑体" w:cs="宋体"/>
          <w:b w:val="0"/>
          <w:bCs w:val="0"/>
          <w:color w:val="000000" w:themeColor="text1"/>
          <w:kern w:val="0"/>
          <w:sz w:val="32"/>
          <w:szCs w:val="32"/>
          <w14:textFill>
            <w14:solidFill>
              <w14:schemeClr w14:val="tx1"/>
            </w14:solidFill>
          </w14:textFill>
        </w:rPr>
        <w:t>四十</w:t>
      </w:r>
      <w:r>
        <w:rPr>
          <w:rFonts w:hint="eastAsia" w:ascii="黑体" w:hAnsi="黑体" w:eastAsia="黑体" w:cs="宋体"/>
          <w:b w:val="0"/>
          <w:bCs w:val="0"/>
          <w:color w:val="000000" w:themeColor="text1"/>
          <w:kern w:val="0"/>
          <w:sz w:val="32"/>
          <w:szCs w:val="32"/>
          <w:lang w:val="en-US" w:eastAsia="zh-CN"/>
          <w14:textFill>
            <w14:solidFill>
              <w14:schemeClr w14:val="tx1"/>
            </w14:solidFill>
          </w14:textFill>
        </w:rPr>
        <w:t>六</w:t>
      </w:r>
      <w:r>
        <w:rPr>
          <w:rFonts w:ascii="黑体" w:hAnsi="黑体" w:eastAsia="黑体" w:cs="宋体"/>
          <w:b w:val="0"/>
          <w:bCs w:val="0"/>
          <w:color w:val="000000" w:themeColor="text1"/>
          <w:kern w:val="0"/>
          <w:sz w:val="32"/>
          <w:szCs w:val="32"/>
          <w14:textFill>
            <w14:solidFill>
              <w14:schemeClr w14:val="tx1"/>
            </w14:solidFill>
          </w14:textFill>
        </w:rPr>
        <w:t>条</w:t>
      </w:r>
      <w:r>
        <w:rPr>
          <w:rFonts w:hint="eastAsia" w:ascii="黑体" w:hAnsi="黑体" w:eastAsia="黑体" w:cs="宋体"/>
          <w:b/>
          <w:bCs/>
          <w:color w:val="000000" w:themeColor="text1"/>
          <w:kern w:val="0"/>
          <w:sz w:val="32"/>
          <w:szCs w:val="32"/>
          <w14:textFill>
            <w14:solidFill>
              <w14:schemeClr w14:val="tx1"/>
            </w14:solidFill>
          </w14:textFill>
        </w:rPr>
        <w:t xml:space="preserve"> </w:t>
      </w:r>
      <w:r>
        <w:rPr>
          <w:rFonts w:hint="eastAsia" w:ascii="黑体" w:hAnsi="黑体" w:eastAsia="黑体" w:cs="宋体"/>
          <w:b/>
          <w:bCs/>
          <w:color w:val="000000" w:themeColor="text1"/>
          <w:kern w:val="0"/>
          <w:sz w:val="32"/>
          <w:szCs w:val="32"/>
          <w:lang w:val="en-US" w:eastAsia="zh-CN"/>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任何单位和个人平调、侵占、挪用、截留、私分</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fldChar w:fldCharType="begin"/>
      </w:r>
      <w:r>
        <w:rPr>
          <w:rFonts w:hint="eastAsia" w:ascii="仿宋_GB2312" w:hAnsi="楷体" w:eastAsia="仿宋_GB2312" w:cs="宋体"/>
          <w:color w:val="000000" w:themeColor="text1"/>
          <w:kern w:val="0"/>
          <w:sz w:val="32"/>
          <w:szCs w:val="32"/>
          <w:lang w:val="en-US" w:eastAsia="zh-CN"/>
          <w14:textFill>
            <w14:solidFill>
              <w14:schemeClr w14:val="tx1"/>
            </w14:solidFill>
          </w14:textFill>
        </w:rPr>
        <w:instrText xml:space="preserve"> HYPERLINK "https://baike.so.com/doc/5602238-5814842.html" \t "_blank" </w:instrTex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fldChar w:fldCharType="separate"/>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集体经济组织</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fldChar w:fldCharType="end"/>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及其成员的合法财产，非法干预集体经济组织及其成员的生产经营活动，向集体经济组织及其成员摊派，强迫集体经济组织及其成员接受有偿服务，造成集体经济组织经济损失的，由镇人民政府依法追究责任;构成犯罪的，由司法机关依法追究刑事责任。</w:t>
      </w:r>
      <w:r>
        <w:rPr>
          <w:rFonts w:hint="eastAsia" w:ascii="仿宋" w:hAnsi="仿宋" w:eastAsia="仿宋"/>
          <w:color w:val="000000" w:themeColor="text1"/>
          <w:sz w:val="32"/>
          <w14:textFill>
            <w14:solidFill>
              <w14:schemeClr w14:val="tx1"/>
            </w14:solidFill>
          </w14:textFill>
        </w:rPr>
        <w:t xml:space="preserve">                </w:t>
      </w:r>
    </w:p>
    <w:p w14:paraId="0BADEE93">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                 </w:t>
      </w:r>
    </w:p>
    <w:p w14:paraId="6F160449">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hAnsi="楷体" w:eastAsia="仿宋_GB2312"/>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kern w:val="0"/>
          <w:sz w:val="36"/>
          <w:szCs w:val="36"/>
          <w14:textFill>
            <w14:solidFill>
              <w14:schemeClr w14:val="tx1"/>
            </w14:solidFill>
          </w14:textFill>
        </w:rPr>
        <w:t>第十章  附 则</w:t>
      </w:r>
    </w:p>
    <w:p w14:paraId="5A6B250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 xml:space="preserve">   </w:t>
      </w:r>
    </w:p>
    <w:p w14:paraId="71D8FA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FF0000"/>
          <w:lang w:val="en-US" w:eastAsia="zh-CN"/>
        </w:rPr>
      </w:pPr>
      <w:r>
        <w:rPr>
          <w:rFonts w:hint="eastAsia" w:ascii="黑体" w:hAnsi="黑体" w:eastAsia="黑体" w:cs="宋体"/>
          <w:b w:val="0"/>
          <w:bCs w:val="0"/>
          <w:color w:val="000000" w:themeColor="text1"/>
          <w:kern w:val="0"/>
          <w:sz w:val="32"/>
          <w:szCs w:val="32"/>
          <w14:textFill>
            <w14:solidFill>
              <w14:schemeClr w14:val="tx1"/>
            </w14:solidFill>
          </w14:textFill>
        </w:rPr>
        <w:t>第四十</w:t>
      </w:r>
      <w:r>
        <w:rPr>
          <w:rFonts w:hint="eastAsia" w:ascii="黑体" w:hAnsi="黑体" w:eastAsia="黑体" w:cs="宋体"/>
          <w:b w:val="0"/>
          <w:bCs w:val="0"/>
          <w:color w:val="000000" w:themeColor="text1"/>
          <w:kern w:val="0"/>
          <w:sz w:val="32"/>
          <w:szCs w:val="32"/>
          <w:lang w:val="en-US" w:eastAsia="zh-CN"/>
          <w14:textFill>
            <w14:solidFill>
              <w14:schemeClr w14:val="tx1"/>
            </w14:solidFill>
          </w14:textFill>
        </w:rPr>
        <w:t>七</w:t>
      </w:r>
      <w:r>
        <w:rPr>
          <w:rFonts w:hint="eastAsia" w:ascii="黑体" w:hAnsi="黑体" w:eastAsia="黑体" w:cs="宋体"/>
          <w:b w:val="0"/>
          <w:bCs w:val="0"/>
          <w:color w:val="000000" w:themeColor="text1"/>
          <w:kern w:val="0"/>
          <w:sz w:val="32"/>
          <w:szCs w:val="32"/>
          <w14:textFill>
            <w14:solidFill>
              <w14:schemeClr w14:val="tx1"/>
            </w14:solidFill>
          </w14:textFill>
        </w:rPr>
        <w:t>条</w:t>
      </w:r>
      <w:r>
        <w:rPr>
          <w:rFonts w:hint="eastAsia" w:ascii="仿宋" w:hAnsi="仿宋" w:eastAsia="仿宋"/>
          <w:color w:val="000000" w:themeColor="text1"/>
          <w:sz w:val="32"/>
          <w14:textFill>
            <w14:solidFill>
              <w14:schemeClr w14:val="tx1"/>
            </w14:solidFill>
          </w14:textFill>
        </w:rPr>
        <w:t xml:space="preserve">  </w:t>
      </w:r>
      <w:r>
        <w:rPr>
          <w:rFonts w:hint="eastAsia" w:ascii="仿宋_GB2312" w:hAnsi="楷体" w:eastAsia="仿宋_GB2312" w:cs="宋体"/>
          <w:color w:val="000000" w:themeColor="text1"/>
          <w:kern w:val="0"/>
          <w:sz w:val="32"/>
          <w:szCs w:val="32"/>
          <w:lang w:val="en-US" w:eastAsia="zh-CN"/>
          <w14:textFill>
            <w14:solidFill>
              <w14:schemeClr w14:val="tx1"/>
            </w14:solidFill>
          </w14:textFill>
        </w:rPr>
        <w:t>本办法自发布之日起30日后施行，有效期至2027年12月31日。《太白县农村集体经济组织运行管理办法》（试行）（太政发〔2019〕12号）同</w:t>
      </w:r>
      <w:bookmarkStart w:id="0" w:name="_GoBack"/>
      <w:bookmarkEnd w:id="0"/>
      <w:r>
        <w:rPr>
          <w:rFonts w:hint="eastAsia" w:ascii="仿宋_GB2312" w:hAnsi="楷体" w:eastAsia="仿宋_GB2312" w:cs="宋体"/>
          <w:color w:val="000000" w:themeColor="text1"/>
          <w:kern w:val="0"/>
          <w:sz w:val="32"/>
          <w:szCs w:val="32"/>
          <w:lang w:val="en-US" w:eastAsia="zh-CN"/>
          <w14:textFill>
            <w14:solidFill>
              <w14:schemeClr w14:val="tx1"/>
            </w14:solidFill>
          </w14:textFill>
        </w:rPr>
        <w:t>时废止。</w:t>
      </w:r>
      <w:r>
        <w:rPr>
          <w:rFonts w:hint="eastAsia"/>
          <w:color w:val="FF0000"/>
          <w:lang w:val="en-US" w:eastAsia="zh-CN"/>
        </w:rPr>
        <w:tab/>
      </w:r>
    </w:p>
    <w:p w14:paraId="7F8099C1">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color w:val="FF0000"/>
          <w:lang w:val="en-US" w:eastAsia="zh-CN"/>
        </w:rPr>
      </w:pPr>
    </w:p>
    <w:p w14:paraId="2DD1A787">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color w:val="FF0000"/>
          <w:lang w:val="en-US" w:eastAsia="zh-CN"/>
        </w:rPr>
      </w:pPr>
    </w:p>
    <w:p w14:paraId="21454E26">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color w:val="FF0000"/>
          <w:lang w:val="en-US" w:eastAsia="zh-CN"/>
        </w:rPr>
      </w:pPr>
    </w:p>
    <w:p w14:paraId="06DC39D2">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color w:val="FF0000"/>
          <w:lang w:val="en-US" w:eastAsia="zh-CN"/>
        </w:rPr>
      </w:pPr>
    </w:p>
    <w:p w14:paraId="5B428F14">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color w:val="FF0000"/>
          <w:lang w:val="en-US" w:eastAsia="zh-CN"/>
        </w:rPr>
      </w:pPr>
    </w:p>
    <w:p w14:paraId="7EB87DA7">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color w:val="FF0000"/>
          <w:lang w:val="en-US" w:eastAsia="zh-CN"/>
        </w:rPr>
      </w:pPr>
    </w:p>
    <w:p w14:paraId="2EFD35D0">
      <w:pPr>
        <w:keepNext w:val="0"/>
        <w:keepLines w:val="0"/>
        <w:pageBreakBefore w:val="0"/>
        <w:kinsoku/>
        <w:wordWrap/>
        <w:overflowPunct/>
        <w:topLinePunct w:val="0"/>
        <w:autoSpaceDE/>
        <w:autoSpaceDN/>
        <w:bidi w:val="0"/>
        <w:adjustRightInd/>
        <w:snapToGrid/>
        <w:spacing w:line="560" w:lineRule="exact"/>
        <w:textAlignment w:val="auto"/>
        <w:rPr>
          <w:rFonts w:hint="eastAsia"/>
          <w:color w:val="FF0000"/>
          <w:lang w:val="en-US" w:eastAsia="zh-CN"/>
        </w:rPr>
      </w:pPr>
    </w:p>
    <w:sectPr>
      <w:footerReference r:id="rId3" w:type="default"/>
      <w:footerReference r:id="rId4" w:type="even"/>
      <w:pgSz w:w="11907" w:h="16840"/>
      <w:pgMar w:top="2098" w:right="1474" w:bottom="1984" w:left="1587" w:header="510" w:footer="1474"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DF76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F77B5">
                          <w:pPr>
                            <w:pStyle w:val="5"/>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8F77B5">
                    <w:pPr>
                      <w:pStyle w:val="5"/>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38C7">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- 14 -</w:t>
    </w:r>
    <w:r>
      <w:fldChar w:fldCharType="end"/>
    </w:r>
  </w:p>
  <w:p w14:paraId="6211B29A">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E1"/>
    <w:rsid w:val="00012922"/>
    <w:rsid w:val="000133D1"/>
    <w:rsid w:val="00016764"/>
    <w:rsid w:val="00027677"/>
    <w:rsid w:val="0003517C"/>
    <w:rsid w:val="000408E1"/>
    <w:rsid w:val="00044719"/>
    <w:rsid w:val="00044C18"/>
    <w:rsid w:val="00063713"/>
    <w:rsid w:val="00063FFD"/>
    <w:rsid w:val="00085559"/>
    <w:rsid w:val="000B0C67"/>
    <w:rsid w:val="000B1A36"/>
    <w:rsid w:val="000B1AC8"/>
    <w:rsid w:val="000D1CC4"/>
    <w:rsid w:val="000D1D35"/>
    <w:rsid w:val="000E032A"/>
    <w:rsid w:val="000E2E31"/>
    <w:rsid w:val="000F51A9"/>
    <w:rsid w:val="000F5CE4"/>
    <w:rsid w:val="0010161A"/>
    <w:rsid w:val="00124B06"/>
    <w:rsid w:val="001624C3"/>
    <w:rsid w:val="0016343C"/>
    <w:rsid w:val="001671DF"/>
    <w:rsid w:val="00171924"/>
    <w:rsid w:val="00180368"/>
    <w:rsid w:val="00186D9D"/>
    <w:rsid w:val="00192FC6"/>
    <w:rsid w:val="001B2563"/>
    <w:rsid w:val="001C3D6D"/>
    <w:rsid w:val="001C687F"/>
    <w:rsid w:val="001C781B"/>
    <w:rsid w:val="001E3BB9"/>
    <w:rsid w:val="001E3CE4"/>
    <w:rsid w:val="001E5472"/>
    <w:rsid w:val="001E7139"/>
    <w:rsid w:val="001F751E"/>
    <w:rsid w:val="0022369D"/>
    <w:rsid w:val="00231173"/>
    <w:rsid w:val="00263230"/>
    <w:rsid w:val="002635D6"/>
    <w:rsid w:val="00267828"/>
    <w:rsid w:val="0027159E"/>
    <w:rsid w:val="00274A5E"/>
    <w:rsid w:val="002A4A72"/>
    <w:rsid w:val="002B05ED"/>
    <w:rsid w:val="002B2C9D"/>
    <w:rsid w:val="002D0EB3"/>
    <w:rsid w:val="002D3680"/>
    <w:rsid w:val="003070EC"/>
    <w:rsid w:val="003149BC"/>
    <w:rsid w:val="00315CB8"/>
    <w:rsid w:val="00320DC4"/>
    <w:rsid w:val="00323987"/>
    <w:rsid w:val="00330EBD"/>
    <w:rsid w:val="00336025"/>
    <w:rsid w:val="003677AB"/>
    <w:rsid w:val="003729CA"/>
    <w:rsid w:val="003A480E"/>
    <w:rsid w:val="003B495E"/>
    <w:rsid w:val="003B76EA"/>
    <w:rsid w:val="003D14F0"/>
    <w:rsid w:val="003D6824"/>
    <w:rsid w:val="003E6314"/>
    <w:rsid w:val="003E7A42"/>
    <w:rsid w:val="00410ABD"/>
    <w:rsid w:val="004333AD"/>
    <w:rsid w:val="004476CF"/>
    <w:rsid w:val="00470044"/>
    <w:rsid w:val="00470773"/>
    <w:rsid w:val="00483347"/>
    <w:rsid w:val="00493A6F"/>
    <w:rsid w:val="00494292"/>
    <w:rsid w:val="004A1133"/>
    <w:rsid w:val="004A6BF0"/>
    <w:rsid w:val="004A7F0A"/>
    <w:rsid w:val="004B388E"/>
    <w:rsid w:val="004B5A1C"/>
    <w:rsid w:val="004E7E03"/>
    <w:rsid w:val="004F0A3F"/>
    <w:rsid w:val="004F2AE3"/>
    <w:rsid w:val="005249A9"/>
    <w:rsid w:val="00524A1F"/>
    <w:rsid w:val="00526DC2"/>
    <w:rsid w:val="005363BF"/>
    <w:rsid w:val="005409AB"/>
    <w:rsid w:val="00541FA9"/>
    <w:rsid w:val="00543B39"/>
    <w:rsid w:val="005458C7"/>
    <w:rsid w:val="00546555"/>
    <w:rsid w:val="005514D9"/>
    <w:rsid w:val="00581760"/>
    <w:rsid w:val="00594F58"/>
    <w:rsid w:val="005A7738"/>
    <w:rsid w:val="005C3543"/>
    <w:rsid w:val="006060E8"/>
    <w:rsid w:val="0061191F"/>
    <w:rsid w:val="006166A2"/>
    <w:rsid w:val="00623BE4"/>
    <w:rsid w:val="006328DF"/>
    <w:rsid w:val="006369AA"/>
    <w:rsid w:val="00642A94"/>
    <w:rsid w:val="00655B51"/>
    <w:rsid w:val="006655A3"/>
    <w:rsid w:val="0068266A"/>
    <w:rsid w:val="00695A6F"/>
    <w:rsid w:val="006960E4"/>
    <w:rsid w:val="00696C12"/>
    <w:rsid w:val="006E25D2"/>
    <w:rsid w:val="006E657A"/>
    <w:rsid w:val="006F36D3"/>
    <w:rsid w:val="006F6ADE"/>
    <w:rsid w:val="0072230E"/>
    <w:rsid w:val="00724054"/>
    <w:rsid w:val="00740558"/>
    <w:rsid w:val="00741675"/>
    <w:rsid w:val="00744DB3"/>
    <w:rsid w:val="007610E0"/>
    <w:rsid w:val="00761808"/>
    <w:rsid w:val="007630D0"/>
    <w:rsid w:val="0076671D"/>
    <w:rsid w:val="00784E30"/>
    <w:rsid w:val="00787056"/>
    <w:rsid w:val="007939AE"/>
    <w:rsid w:val="00796350"/>
    <w:rsid w:val="007A2BA0"/>
    <w:rsid w:val="007A5567"/>
    <w:rsid w:val="007B06B3"/>
    <w:rsid w:val="007B3583"/>
    <w:rsid w:val="007B7257"/>
    <w:rsid w:val="007C183D"/>
    <w:rsid w:val="007C2B24"/>
    <w:rsid w:val="007D08FA"/>
    <w:rsid w:val="007D7DF8"/>
    <w:rsid w:val="007E667A"/>
    <w:rsid w:val="007F6F5F"/>
    <w:rsid w:val="008025B1"/>
    <w:rsid w:val="0080465A"/>
    <w:rsid w:val="0080473A"/>
    <w:rsid w:val="0083116A"/>
    <w:rsid w:val="00833FD2"/>
    <w:rsid w:val="00836F25"/>
    <w:rsid w:val="008407DD"/>
    <w:rsid w:val="00850A62"/>
    <w:rsid w:val="0086420E"/>
    <w:rsid w:val="00896EE4"/>
    <w:rsid w:val="00897722"/>
    <w:rsid w:val="008B012D"/>
    <w:rsid w:val="008F6CBF"/>
    <w:rsid w:val="00901816"/>
    <w:rsid w:val="00910825"/>
    <w:rsid w:val="00931FC6"/>
    <w:rsid w:val="009502F9"/>
    <w:rsid w:val="00952B21"/>
    <w:rsid w:val="009652B5"/>
    <w:rsid w:val="009654FA"/>
    <w:rsid w:val="009810A7"/>
    <w:rsid w:val="009828C3"/>
    <w:rsid w:val="009B2B90"/>
    <w:rsid w:val="009D42C8"/>
    <w:rsid w:val="009D6A9D"/>
    <w:rsid w:val="009E59A1"/>
    <w:rsid w:val="00A02688"/>
    <w:rsid w:val="00A04559"/>
    <w:rsid w:val="00A1177F"/>
    <w:rsid w:val="00A1464D"/>
    <w:rsid w:val="00A23A59"/>
    <w:rsid w:val="00A303DB"/>
    <w:rsid w:val="00A3215E"/>
    <w:rsid w:val="00A360B6"/>
    <w:rsid w:val="00A80AE1"/>
    <w:rsid w:val="00A82AF8"/>
    <w:rsid w:val="00A86C8F"/>
    <w:rsid w:val="00A9457E"/>
    <w:rsid w:val="00A95F10"/>
    <w:rsid w:val="00AC259A"/>
    <w:rsid w:val="00AD0F05"/>
    <w:rsid w:val="00AD350A"/>
    <w:rsid w:val="00AE3978"/>
    <w:rsid w:val="00B02DBB"/>
    <w:rsid w:val="00B0502F"/>
    <w:rsid w:val="00B236DB"/>
    <w:rsid w:val="00B3224B"/>
    <w:rsid w:val="00B51B65"/>
    <w:rsid w:val="00B52360"/>
    <w:rsid w:val="00B60378"/>
    <w:rsid w:val="00B63EFA"/>
    <w:rsid w:val="00B830C3"/>
    <w:rsid w:val="00B94B38"/>
    <w:rsid w:val="00B96DDE"/>
    <w:rsid w:val="00BB00BB"/>
    <w:rsid w:val="00BB0A28"/>
    <w:rsid w:val="00BB19A1"/>
    <w:rsid w:val="00BB3C31"/>
    <w:rsid w:val="00BB6E01"/>
    <w:rsid w:val="00BC3A0D"/>
    <w:rsid w:val="00BE509D"/>
    <w:rsid w:val="00BF3114"/>
    <w:rsid w:val="00C044BC"/>
    <w:rsid w:val="00C07018"/>
    <w:rsid w:val="00C26F7B"/>
    <w:rsid w:val="00C324D0"/>
    <w:rsid w:val="00C33CA6"/>
    <w:rsid w:val="00C377D4"/>
    <w:rsid w:val="00C4230C"/>
    <w:rsid w:val="00C463CF"/>
    <w:rsid w:val="00C46E78"/>
    <w:rsid w:val="00C52292"/>
    <w:rsid w:val="00C54F2F"/>
    <w:rsid w:val="00C638B3"/>
    <w:rsid w:val="00C74E1B"/>
    <w:rsid w:val="00C8213A"/>
    <w:rsid w:val="00C82650"/>
    <w:rsid w:val="00CB6C78"/>
    <w:rsid w:val="00CD4D23"/>
    <w:rsid w:val="00CF4341"/>
    <w:rsid w:val="00D0463A"/>
    <w:rsid w:val="00D13716"/>
    <w:rsid w:val="00D211A7"/>
    <w:rsid w:val="00D23ACE"/>
    <w:rsid w:val="00D609CA"/>
    <w:rsid w:val="00D61717"/>
    <w:rsid w:val="00D66CD0"/>
    <w:rsid w:val="00DA03C2"/>
    <w:rsid w:val="00DA1A3B"/>
    <w:rsid w:val="00DB10DC"/>
    <w:rsid w:val="00DC2B33"/>
    <w:rsid w:val="00DC5007"/>
    <w:rsid w:val="00DD0BA3"/>
    <w:rsid w:val="00E16C15"/>
    <w:rsid w:val="00E2329B"/>
    <w:rsid w:val="00E25A90"/>
    <w:rsid w:val="00E37F94"/>
    <w:rsid w:val="00E43D16"/>
    <w:rsid w:val="00E44794"/>
    <w:rsid w:val="00E51065"/>
    <w:rsid w:val="00E63047"/>
    <w:rsid w:val="00E70753"/>
    <w:rsid w:val="00E76DAA"/>
    <w:rsid w:val="00E80E80"/>
    <w:rsid w:val="00E9389D"/>
    <w:rsid w:val="00EA1813"/>
    <w:rsid w:val="00EA1BA0"/>
    <w:rsid w:val="00EB490D"/>
    <w:rsid w:val="00EC262D"/>
    <w:rsid w:val="00EE2553"/>
    <w:rsid w:val="00EF3898"/>
    <w:rsid w:val="00EF4109"/>
    <w:rsid w:val="00EF4E5E"/>
    <w:rsid w:val="00F010A7"/>
    <w:rsid w:val="00F010F2"/>
    <w:rsid w:val="00F011A9"/>
    <w:rsid w:val="00F0226F"/>
    <w:rsid w:val="00F63122"/>
    <w:rsid w:val="00F86C3C"/>
    <w:rsid w:val="00F90646"/>
    <w:rsid w:val="00FC48B8"/>
    <w:rsid w:val="00FE698A"/>
    <w:rsid w:val="014E290D"/>
    <w:rsid w:val="015D0D5E"/>
    <w:rsid w:val="03BA6D8D"/>
    <w:rsid w:val="04596CF1"/>
    <w:rsid w:val="04714B20"/>
    <w:rsid w:val="04A369C2"/>
    <w:rsid w:val="050553B0"/>
    <w:rsid w:val="05F41565"/>
    <w:rsid w:val="06226419"/>
    <w:rsid w:val="06A53B0C"/>
    <w:rsid w:val="06DB44D3"/>
    <w:rsid w:val="06EB6E0C"/>
    <w:rsid w:val="088855D4"/>
    <w:rsid w:val="09300B06"/>
    <w:rsid w:val="0B3A2963"/>
    <w:rsid w:val="0BBD2C38"/>
    <w:rsid w:val="0CC06645"/>
    <w:rsid w:val="0D9773A6"/>
    <w:rsid w:val="0EA224A6"/>
    <w:rsid w:val="129E4D32"/>
    <w:rsid w:val="12CD276B"/>
    <w:rsid w:val="130C3442"/>
    <w:rsid w:val="139B5716"/>
    <w:rsid w:val="168B3F87"/>
    <w:rsid w:val="17527B2B"/>
    <w:rsid w:val="18032795"/>
    <w:rsid w:val="18954E2A"/>
    <w:rsid w:val="1B656D35"/>
    <w:rsid w:val="1B6D7998"/>
    <w:rsid w:val="1B7156AB"/>
    <w:rsid w:val="1BD87507"/>
    <w:rsid w:val="1C070BF3"/>
    <w:rsid w:val="1C3109C5"/>
    <w:rsid w:val="1C3F5A22"/>
    <w:rsid w:val="1D2B7B0B"/>
    <w:rsid w:val="1D4003ED"/>
    <w:rsid w:val="1E2442DB"/>
    <w:rsid w:val="20860DF9"/>
    <w:rsid w:val="20C8493E"/>
    <w:rsid w:val="21556F04"/>
    <w:rsid w:val="21CB7C5D"/>
    <w:rsid w:val="229F6964"/>
    <w:rsid w:val="22DC3CD7"/>
    <w:rsid w:val="23CB6D85"/>
    <w:rsid w:val="24B623B0"/>
    <w:rsid w:val="254C4AC2"/>
    <w:rsid w:val="26E36D60"/>
    <w:rsid w:val="26F86CAF"/>
    <w:rsid w:val="275374AE"/>
    <w:rsid w:val="27F56A21"/>
    <w:rsid w:val="295F1400"/>
    <w:rsid w:val="2B4236E4"/>
    <w:rsid w:val="2B543F3F"/>
    <w:rsid w:val="2B795EE5"/>
    <w:rsid w:val="2BB1742D"/>
    <w:rsid w:val="2BD27A52"/>
    <w:rsid w:val="2C264216"/>
    <w:rsid w:val="2CF84E03"/>
    <w:rsid w:val="2E2B1E12"/>
    <w:rsid w:val="2EB711FE"/>
    <w:rsid w:val="2FCC21FD"/>
    <w:rsid w:val="30055BFC"/>
    <w:rsid w:val="30144F92"/>
    <w:rsid w:val="3166515D"/>
    <w:rsid w:val="326531C4"/>
    <w:rsid w:val="327B0795"/>
    <w:rsid w:val="340E22A5"/>
    <w:rsid w:val="34AC5200"/>
    <w:rsid w:val="34BE5D62"/>
    <w:rsid w:val="34D81041"/>
    <w:rsid w:val="35206494"/>
    <w:rsid w:val="36B32DA6"/>
    <w:rsid w:val="37254A3F"/>
    <w:rsid w:val="385D3443"/>
    <w:rsid w:val="395B072C"/>
    <w:rsid w:val="399B0698"/>
    <w:rsid w:val="3A1F790D"/>
    <w:rsid w:val="3A30455A"/>
    <w:rsid w:val="3A807E1D"/>
    <w:rsid w:val="3BB32DF0"/>
    <w:rsid w:val="3BE33C0D"/>
    <w:rsid w:val="3CD94A35"/>
    <w:rsid w:val="3E3F2092"/>
    <w:rsid w:val="434E6AB4"/>
    <w:rsid w:val="4404683C"/>
    <w:rsid w:val="441A6054"/>
    <w:rsid w:val="460E748F"/>
    <w:rsid w:val="465F41FD"/>
    <w:rsid w:val="48A442A5"/>
    <w:rsid w:val="48E704DA"/>
    <w:rsid w:val="49CD147E"/>
    <w:rsid w:val="4A9621B8"/>
    <w:rsid w:val="4BE62D80"/>
    <w:rsid w:val="4D16169F"/>
    <w:rsid w:val="50A91D55"/>
    <w:rsid w:val="51937451"/>
    <w:rsid w:val="51A451BA"/>
    <w:rsid w:val="52193B50"/>
    <w:rsid w:val="52BC07CA"/>
    <w:rsid w:val="52FF1F68"/>
    <w:rsid w:val="536270DB"/>
    <w:rsid w:val="55384DB2"/>
    <w:rsid w:val="56201073"/>
    <w:rsid w:val="585447D2"/>
    <w:rsid w:val="5A137381"/>
    <w:rsid w:val="5BD90D0C"/>
    <w:rsid w:val="5DAA42B7"/>
    <w:rsid w:val="5DF47470"/>
    <w:rsid w:val="5DFC0121"/>
    <w:rsid w:val="5F9F3465"/>
    <w:rsid w:val="5FC86518"/>
    <w:rsid w:val="60133791"/>
    <w:rsid w:val="6042276E"/>
    <w:rsid w:val="60664487"/>
    <w:rsid w:val="606C663C"/>
    <w:rsid w:val="60B8658C"/>
    <w:rsid w:val="60CA371B"/>
    <w:rsid w:val="61944BE7"/>
    <w:rsid w:val="619F774C"/>
    <w:rsid w:val="62DE6AB1"/>
    <w:rsid w:val="630500B8"/>
    <w:rsid w:val="633B5253"/>
    <w:rsid w:val="64745D8F"/>
    <w:rsid w:val="65A658DB"/>
    <w:rsid w:val="661D1808"/>
    <w:rsid w:val="66320136"/>
    <w:rsid w:val="685423A8"/>
    <w:rsid w:val="6A7554EE"/>
    <w:rsid w:val="6ACD4451"/>
    <w:rsid w:val="6BC52DB8"/>
    <w:rsid w:val="6C0F496A"/>
    <w:rsid w:val="6CC14BEE"/>
    <w:rsid w:val="6DC24EEE"/>
    <w:rsid w:val="6E9F6FDD"/>
    <w:rsid w:val="6EE4124C"/>
    <w:rsid w:val="702C48A1"/>
    <w:rsid w:val="70FA674D"/>
    <w:rsid w:val="7164006A"/>
    <w:rsid w:val="71997D14"/>
    <w:rsid w:val="72001B41"/>
    <w:rsid w:val="751A5B91"/>
    <w:rsid w:val="75B81B90"/>
    <w:rsid w:val="7874785B"/>
    <w:rsid w:val="7A307270"/>
    <w:rsid w:val="7A537E62"/>
    <w:rsid w:val="7A5B7F73"/>
    <w:rsid w:val="7A717937"/>
    <w:rsid w:val="7BBC11CF"/>
    <w:rsid w:val="7C06244A"/>
    <w:rsid w:val="7D0D7808"/>
    <w:rsid w:val="7DE762AB"/>
    <w:rsid w:val="7F3037FE"/>
    <w:rsid w:val="7FAE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Balloon Text"/>
    <w:basedOn w:val="1"/>
    <w:link w:val="13"/>
    <w:semiHidden/>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jc w:val="left"/>
    </w:pPr>
    <w:rPr>
      <w:rFonts w:ascii="宋体" w:hAnsi="宋体" w:cs="宋体"/>
      <w:kern w:val="0"/>
      <w:sz w:val="24"/>
    </w:rPr>
  </w:style>
  <w:style w:type="character" w:styleId="10">
    <w:name w:val="Strong"/>
    <w:basedOn w:val="9"/>
    <w:qFormat/>
    <w:uiPriority w:val="22"/>
    <w:rPr>
      <w:b/>
      <w:bCs/>
    </w:rPr>
  </w:style>
  <w:style w:type="character" w:styleId="11">
    <w:name w:val="page number"/>
    <w:qFormat/>
    <w:uiPriority w:val="0"/>
  </w:style>
  <w:style w:type="character" w:styleId="12">
    <w:name w:val="Hyperlink"/>
    <w:basedOn w:val="9"/>
    <w:qFormat/>
    <w:uiPriority w:val="0"/>
    <w:rPr>
      <w:color w:val="0000FF"/>
      <w:u w:val="single"/>
    </w:rPr>
  </w:style>
  <w:style w:type="character" w:customStyle="1" w:styleId="13">
    <w:name w:val="批注框文本 Char"/>
    <w:link w:val="4"/>
    <w:semiHidden/>
    <w:qFormat/>
    <w:uiPriority w:val="0"/>
    <w:rPr>
      <w:rFonts w:ascii="Times New Roman" w:hAnsi="Times New Roman" w:eastAsia="宋体"/>
      <w:kern w:val="2"/>
      <w:sz w:val="18"/>
      <w:szCs w:val="18"/>
    </w:rPr>
  </w:style>
  <w:style w:type="character" w:customStyle="1" w:styleId="14">
    <w:name w:val="日期 Char"/>
    <w:link w:val="3"/>
    <w:qFormat/>
    <w:uiPriority w:val="0"/>
    <w:rPr>
      <w:rFonts w:ascii="Times New Roman" w:hAnsi="Times New Roman" w:eastAsia="宋体"/>
      <w:kern w:val="2"/>
      <w:sz w:val="21"/>
      <w:szCs w:val="24"/>
    </w:rPr>
  </w:style>
  <w:style w:type="character" w:customStyle="1" w:styleId="15">
    <w:name w:val="font11"/>
    <w:qFormat/>
    <w:uiPriority w:val="0"/>
    <w:rPr>
      <w:rFonts w:hint="eastAsia" w:ascii="宋体" w:hAnsi="宋体" w:eastAsia="宋体" w:cs="宋体"/>
      <w:color w:val="000000"/>
      <w:sz w:val="32"/>
      <w:szCs w:val="32"/>
      <w:u w:val="none"/>
    </w:rPr>
  </w:style>
  <w:style w:type="character" w:customStyle="1" w:styleId="16">
    <w:name w:val="页脚 Char"/>
    <w:link w:val="5"/>
    <w:qFormat/>
    <w:uiPriority w:val="0"/>
    <w:rPr>
      <w:rFonts w:ascii="Times New Roman" w:hAnsi="Times New Roman" w:eastAsia="宋体"/>
      <w:kern w:val="2"/>
      <w:sz w:val="18"/>
      <w:szCs w:val="18"/>
    </w:rPr>
  </w:style>
  <w:style w:type="character" w:customStyle="1" w:styleId="17">
    <w:name w:val="font21"/>
    <w:qFormat/>
    <w:uiPriority w:val="0"/>
    <w:rPr>
      <w:rFonts w:hint="eastAsia" w:ascii="仿宋_GB2312" w:eastAsia="仿宋_GB2312" w:cs="仿宋_GB2312"/>
      <w:color w:val="000000"/>
      <w:sz w:val="32"/>
      <w:szCs w:val="32"/>
      <w:u w:val="none"/>
    </w:rPr>
  </w:style>
  <w:style w:type="character" w:customStyle="1" w:styleId="18">
    <w:name w:val="font01"/>
    <w:qFormat/>
    <w:uiPriority w:val="0"/>
    <w:rPr>
      <w:rFonts w:hint="eastAsia" w:ascii="仿宋_GB2312" w:eastAsia="仿宋_GB2312" w:cs="仿宋_GB2312"/>
      <w:color w:val="FF0000"/>
      <w:sz w:val="32"/>
      <w:szCs w:val="32"/>
      <w:u w:val="none"/>
    </w:rPr>
  </w:style>
  <w:style w:type="character" w:customStyle="1" w:styleId="19">
    <w:name w:val="页眉 Char"/>
    <w:link w:val="6"/>
    <w:qFormat/>
    <w:uiPriority w:val="0"/>
    <w:rPr>
      <w:rFonts w:ascii="Times New Roman" w:hAnsi="Times New Roman" w:eastAsia="宋体"/>
      <w:kern w:val="2"/>
      <w:sz w:val="18"/>
      <w:szCs w:val="18"/>
    </w:rPr>
  </w:style>
  <w:style w:type="character" w:customStyle="1" w:styleId="20">
    <w:name w:val="标题 3 Char"/>
    <w:basedOn w:val="9"/>
    <w:link w:val="2"/>
    <w:qFormat/>
    <w:uiPriority w:val="9"/>
    <w:rPr>
      <w:rFonts w:ascii="宋体" w:hAnsi="宋体" w:eastAsia="宋体" w:cs="宋体"/>
      <w:b/>
      <w:bCs/>
      <w:sz w:val="27"/>
      <w:szCs w:val="27"/>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styleId="2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5311</Words>
  <Characters>5357</Characters>
  <Lines>45</Lines>
  <Paragraphs>12</Paragraphs>
  <TotalTime>255</TotalTime>
  <ScaleCrop>false</ScaleCrop>
  <LinksUpToDate>false</LinksUpToDate>
  <CharactersWithSpaces>5935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2021-05-14T00:59:00Z</dcterms:created>
  <dc:creator>微软用户</dc:creator>
  <cp:lastModifiedBy>PoPo</cp:lastModifiedBy>
  <cp:lastPrinted>2021-12-30T09:13:00Z</cp:lastPrinted>
  <dcterms:modified xsi:type="dcterms:W3CDTF">2010-12-31T19:02:31Z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77D1AF6463BA4718A1E8446CF62170EE</vt:lpwstr>
  </property>
  <property fmtid="{D5CDD505-2E9C-101B-9397-08002B2CF9AE}" pid="4" name="KSOTemplateDocerSaveRecord">
    <vt:lpwstr>eyJoZGlkIjoiMGQyNzEyNDBjNWExZGRhMGYwMjkyODAyZjIyYTU4NWUiLCJ1c2VySWQiOiI4OTI1NDgxMjIifQ==</vt:lpwstr>
  </property>
</Properties>
</file>