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0"/>
        <w:gridCol w:w="1560"/>
        <w:gridCol w:w="3015"/>
        <w:gridCol w:w="990"/>
        <w:gridCol w:w="183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9030" w:type="dxa"/>
            <w:gridSpan w:val="6"/>
            <w:tcBorders>
              <w:top w:val="nil"/>
              <w:left w:val="nil"/>
              <w:bottom w:val="nil"/>
              <w:right w:val="nil"/>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333333"/>
                <w:sz w:val="21"/>
                <w:szCs w:val="21"/>
              </w:rPr>
            </w:pPr>
            <w:r>
              <w:rPr>
                <w:rStyle w:val="5"/>
                <w:rFonts w:hint="eastAsia" w:ascii="仿宋_GB2312" w:hAnsi="仿宋_GB2312" w:eastAsia="仿宋_GB2312" w:cs="仿宋_GB2312"/>
                <w:b/>
                <w:bCs/>
                <w:color w:val="333333"/>
                <w:sz w:val="21"/>
                <w:szCs w:val="21"/>
              </w:rPr>
              <w:t>太白县成品油零售企业名单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510" w:type="dxa"/>
            <w:vMerge w:val="restar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sz w:val="21"/>
                <w:szCs w:val="21"/>
              </w:rPr>
              <w:t>序号</w:t>
            </w:r>
          </w:p>
        </w:tc>
        <w:tc>
          <w:tcPr>
            <w:tcW w:w="1560" w:type="dxa"/>
            <w:vMerge w:val="restart"/>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sz w:val="21"/>
                <w:szCs w:val="21"/>
              </w:rPr>
              <w:t>成品油零售</w:t>
            </w:r>
            <w:r>
              <w:rPr>
                <w:rFonts w:hint="eastAsia" w:ascii="仿宋_GB2312" w:hAnsi="仿宋_GB2312" w:eastAsia="仿宋_GB2312" w:cs="仿宋_GB2312"/>
                <w:b/>
                <w:bCs/>
                <w:color w:val="333333"/>
                <w:sz w:val="21"/>
                <w:szCs w:val="21"/>
              </w:rPr>
              <w:br w:type="textWrapping"/>
            </w:r>
            <w:r>
              <w:rPr>
                <w:rFonts w:hint="eastAsia" w:ascii="仿宋_GB2312" w:hAnsi="仿宋_GB2312" w:eastAsia="仿宋_GB2312" w:cs="仿宋_GB2312"/>
                <w:b/>
                <w:bCs/>
                <w:color w:val="333333"/>
                <w:sz w:val="21"/>
                <w:szCs w:val="21"/>
              </w:rPr>
              <w:t>经营批准证书编号</w:t>
            </w:r>
          </w:p>
        </w:tc>
        <w:tc>
          <w:tcPr>
            <w:tcW w:w="3015" w:type="dxa"/>
            <w:vMerge w:val="restart"/>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color w:val="333333"/>
                <w:sz w:val="21"/>
                <w:szCs w:val="21"/>
              </w:rPr>
            </w:pPr>
            <w:bookmarkStart w:id="0" w:name="_GoBack"/>
            <w:bookmarkEnd w:id="0"/>
            <w:r>
              <w:rPr>
                <w:rFonts w:hint="eastAsia" w:ascii="仿宋_GB2312" w:hAnsi="仿宋_GB2312" w:eastAsia="仿宋_GB2312" w:cs="仿宋_GB2312"/>
                <w:b/>
                <w:bCs/>
                <w:color w:val="333333"/>
                <w:sz w:val="21"/>
                <w:szCs w:val="21"/>
              </w:rPr>
              <w:t>企业名称</w:t>
            </w:r>
          </w:p>
        </w:tc>
        <w:tc>
          <w:tcPr>
            <w:tcW w:w="990" w:type="dxa"/>
            <w:vMerge w:val="restart"/>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sz w:val="21"/>
                <w:szCs w:val="21"/>
              </w:rPr>
              <w:t>法定代表人姓名</w:t>
            </w:r>
          </w:p>
        </w:tc>
        <w:tc>
          <w:tcPr>
            <w:tcW w:w="1830" w:type="dxa"/>
            <w:vMerge w:val="restart"/>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sz w:val="21"/>
                <w:szCs w:val="21"/>
              </w:rPr>
              <w:t>加油站地址</w:t>
            </w:r>
          </w:p>
        </w:tc>
        <w:tc>
          <w:tcPr>
            <w:tcW w:w="1125" w:type="dxa"/>
            <w:vMerge w:val="restart"/>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510" w:type="dxa"/>
            <w:vMerge w:val="continue"/>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1560" w:type="dxa"/>
            <w:vMerge w:val="continue"/>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3015" w:type="dxa"/>
            <w:vMerge w:val="continue"/>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990" w:type="dxa"/>
            <w:vMerge w:val="continue"/>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1830" w:type="dxa"/>
            <w:vMerge w:val="continue"/>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1125" w:type="dxa"/>
            <w:vMerge w:val="continue"/>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1</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6103311003</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中国石油天然气股份有限公司陕西宝鸡销售分公司太白公司加油站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刘存文</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太白县北大街汉源路一号</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lang w:eastAsia="zh-CN"/>
              </w:rPr>
            </w:pPr>
            <w:r>
              <w:rPr>
                <w:rFonts w:hint="eastAsia" w:ascii="仿宋_GB2312" w:hAnsi="仿宋_GB2312" w:eastAsia="仿宋_GB2312" w:cs="仿宋_GB2312"/>
                <w:b w:val="0"/>
                <w:bCs w:val="0"/>
                <w:color w:val="333333"/>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2</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6103311009</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中国石油天然气股份有限公司陕西宝鸡销售分公司太白城南加油站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刘存文</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太白县咀头镇城南94.8公里处</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3</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6103311008</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中国石油天然气股份有限公司陕西宝鸡销售分公司太白王家堎加油站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刘存文</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太白县王家堎镇中明村</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4</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6103311012</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 陕西中油品尊能源有限公司钛白鹦鸽加油站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胡佟梅</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宝鸡市太白县鹦鸽镇（姜眉公路140公里）</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5</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6103311002</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中国石化销售股份有限公司陕西宝鸡石油分公司太白加油站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杨竣捷</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太白县城西南角</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6</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6103312011</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中国石化销售股份有限公司陕西宝鸡石油分公司太白加油二站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杨竣捷</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太白县咀头镇黄凤山村</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7</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610320210004</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中国石化销售股份有限公司陕西宝鸡石油分公司太白海洪加油站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杨竣捷</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陕西省宝鸡市太白县咀头镇拐里村4组11号姜眉公路北侧</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8</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6103312006</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太白县祥和石化销售有限责任公司祥和加油站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何宝太</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太白县桃川镇灵丹庙村</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9</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6103311014</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太白县中围石化销售有限公司加油站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惠星星</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太白县咀头镇下白云村姜眉公路75公里处</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10</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6103311013</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宝鸡万隆石化能源有限公司太白加油站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陈建徽</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太白县咀头镇塘口村一组</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11</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6103312010</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太白县鹦鸽军成加油站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陈志杰</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太白县鹦鸽镇镇政府东500米</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12</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6103311016</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太白县和平石化销售有限责任公司加油站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凌  楠</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太白县王家堎镇和平村二组</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13</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610320190013</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太白县梅湾加油站有限公司</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贾洪波</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太白县咀头镇梅湾村口</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14</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610320210006</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太白县富塬能源工贸有限公司太白县黄柏塬加油站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杨红周</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太白县黄柏塬镇黄柏塬村四组</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10" w:type="dxa"/>
            <w:tcBorders>
              <w:top w:val="nil"/>
              <w:left w:val="single" w:color="000000" w:sz="6" w:space="0"/>
              <w:bottom w:val="single" w:color="000000" w:sz="6" w:space="0"/>
              <w:right w:val="single" w:color="000000" w:sz="6" w:space="0"/>
            </w:tcBorders>
            <w:shd w:val="clear" w:color="auto" w:fill="auto"/>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b w:val="0"/>
                <w:bCs w:val="0"/>
                <w:color w:val="333333"/>
                <w:sz w:val="21"/>
                <w:szCs w:val="21"/>
              </w:rPr>
            </w:pPr>
            <w:r>
              <w:rPr>
                <w:rFonts w:hint="eastAsia" w:ascii="仿宋_GB2312" w:hAnsi="仿宋_GB2312" w:eastAsia="仿宋_GB2312" w:cs="仿宋_GB2312"/>
                <w:b w:val="0"/>
                <w:bCs w:val="0"/>
                <w:color w:val="333333"/>
                <w:sz w:val="21"/>
                <w:szCs w:val="21"/>
              </w:rPr>
              <w:t>15</w:t>
            </w: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610320190012</w:t>
            </w:r>
          </w:p>
        </w:tc>
        <w:tc>
          <w:tcPr>
            <w:tcW w:w="301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凤翔易高清洁能源有限责任公司太白加油站</w:t>
            </w:r>
          </w:p>
        </w:tc>
        <w:tc>
          <w:tcPr>
            <w:tcW w:w="99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张  亮</w:t>
            </w:r>
          </w:p>
        </w:tc>
        <w:tc>
          <w:tcPr>
            <w:tcW w:w="183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333333"/>
                <w:kern w:val="0"/>
                <w:sz w:val="21"/>
                <w:szCs w:val="21"/>
                <w:lang w:val="en-US" w:eastAsia="zh-CN" w:bidi="ar"/>
              </w:rPr>
            </w:pPr>
            <w:r>
              <w:rPr>
                <w:rFonts w:hint="eastAsia" w:ascii="仿宋_GB2312" w:hAnsi="仿宋_GB2312" w:eastAsia="仿宋_GB2312" w:cs="仿宋_GB2312"/>
                <w:b w:val="0"/>
                <w:bCs w:val="0"/>
                <w:color w:val="333333"/>
                <w:sz w:val="21"/>
                <w:szCs w:val="21"/>
              </w:rPr>
              <w:t>太白县鹦鸽镇鹦鸽街村街道西口</w:t>
            </w:r>
          </w:p>
        </w:tc>
        <w:tc>
          <w:tcPr>
            <w:tcW w:w="1125" w:type="dxa"/>
            <w:tcBorders>
              <w:top w:val="nil"/>
              <w:left w:val="nil"/>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YjY5YzI0ZDEyOGQ0YjJkOWE3MmE3YmJmZDAyY2QifQ=="/>
  </w:docVars>
  <w:rsids>
    <w:rsidRoot w:val="76AF4506"/>
    <w:rsid w:val="1DE90705"/>
    <w:rsid w:val="53957EC7"/>
    <w:rsid w:val="595643FE"/>
    <w:rsid w:val="734248D5"/>
    <w:rsid w:val="742B3369"/>
    <w:rsid w:val="76AF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2024-01-23T06:53:00Z</dcterms:created>
  <dc:creator>Lenovo</dc:creator>
  <cp:lastModifiedBy>Lenovo</cp:lastModifiedBy>
  <dcterms:modified xsi:type="dcterms:W3CDTF">2024-01-24T01:34:16Z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8523304824AB485EB931473DF5EAF20E_11</vt:lpwstr>
  </property>
</Properties>
</file>