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color w:val="000000"/>
          <w:sz w:val="44"/>
          <w:szCs w:val="44"/>
          <w:lang w:eastAsia="zh-CN"/>
        </w:rPr>
        <w:t>第一批</w:t>
      </w:r>
      <w:r>
        <w:rPr>
          <w:rFonts w:hint="eastAsia" w:ascii="方正小标宋简体" w:hAnsi="方正小标宋简体" w:eastAsia="方正小标宋简体" w:cs="方正小标宋简体"/>
          <w:sz w:val="44"/>
          <w:szCs w:val="44"/>
          <w:lang w:val="en-US" w:eastAsia="zh-CN"/>
        </w:rPr>
        <w:t>县级行政执法权下放的公告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val="0"/>
        <w:topLinePunct w:val="0"/>
        <w:autoSpaceDE w:val="0"/>
        <w:autoSpaceDN/>
        <w:bidi w:val="0"/>
        <w:adjustRightInd/>
        <w:snapToGrid/>
        <w:spacing w:beforeAutospacing="0" w:afterAutospacing="0" w:line="56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为深化综合行政执法体制改革，持续推进行政执法权和力量向基层延伸和下沉，按照</w:t>
      </w:r>
      <w:r>
        <w:rPr>
          <w:rFonts w:hint="eastAsia" w:ascii="仿宋_GB2312" w:hAnsi="仿宋_GB2312" w:eastAsia="仿宋_GB2312" w:cs="仿宋_GB2312"/>
          <w:color w:val="auto"/>
          <w:spacing w:val="0"/>
          <w:w w:val="100"/>
          <w:kern w:val="2"/>
          <w:sz w:val="32"/>
          <w:szCs w:val="32"/>
          <w:lang w:val="en-US" w:eastAsia="zh-CN" w:bidi="ar-SA"/>
        </w:rPr>
        <w:t>《陕西省人民政府关于向乡镇政府和街道办事处下放部分县级行政执法权的决定》（陕政发〔2023〕9号）文件要求，依据《中华人民共和国行政处罚法》等相关法律规定，经县政府第6次常务会议研究同意，</w:t>
      </w:r>
      <w:r>
        <w:rPr>
          <w:rFonts w:hint="eastAsia" w:ascii="仿宋_GB2312" w:hAnsi="仿宋_GB2312" w:eastAsia="仿宋_GB2312" w:cs="仿宋_GB2312"/>
          <w:sz w:val="32"/>
          <w:szCs w:val="32"/>
          <w:lang w:val="en-US" w:eastAsia="zh-CN"/>
        </w:rPr>
        <w:t>自2024年6月1日起，原县人社局、县自然资源局、县生态环境分局、县住建局、县交通运输局、县农业农村局、县民政局等七个部门行使的17项县级行政执法权（详见附件）下放至各镇人民政府，以镇人民政府名义相对集中行使。</w:t>
      </w:r>
    </w:p>
    <w:p>
      <w:pPr>
        <w:keepNext w:val="0"/>
        <w:keepLines w:val="0"/>
        <w:pageBreakBefore w:val="0"/>
        <w:widowControl w:val="0"/>
        <w:numPr>
          <w:ilvl w:val="0"/>
          <w:numId w:val="0"/>
        </w:numPr>
        <w:kinsoku/>
        <w:wordWrap/>
        <w:overflowPunct w:val="0"/>
        <w:topLinePunct w:val="0"/>
        <w:autoSpaceDE w:val="0"/>
        <w:autoSpaceDN/>
        <w:bidi w:val="0"/>
        <w:adjustRightInd/>
        <w:snapToGrid/>
        <w:spacing w:beforeAutospacing="0" w:afterAutospacing="0" w:line="560" w:lineRule="exact"/>
        <w:ind w:leftChars="0" w:right="0" w:rightChars="0"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行政执法权下放后由镇级依法行使的，县级有关行政执法部门不再继续行使。镇政府认为案件重大复杂或需要回避、不宜本级管辖的，可报请县政府指定原行政执法部门管辖；县政府认为案件重大复杂或镇政府承办可能影响公正处理的，可以指定原行政执法部门管辖；县级有关部门或镇政府在发现不属于本单位管辖的违法行为时，要及时通报有管辖权的单位，由其依法查处并通报结果。因法律规章修订，需要对已下放行政执法权清单事项进行名称变更、事项合并、权限划分调整的，按照权责清单动态管理相关规定执行，县人民政府不再另行作出决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附件：太白县第一批县级行政执法权下放事项目录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太白县司法局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rPr>
          <w:rFonts w:hint="eastAsia" w:ascii="仿宋_GB2312" w:hAnsi="仿宋_GB2312" w:eastAsia="仿宋_GB2312" w:cs="仿宋_GB231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rPr>
          <w:rFonts w:hint="eastAsia" w:ascii="仿宋_GB2312" w:hAnsi="仿宋_GB2312" w:eastAsia="仿宋_GB2312" w:cs="仿宋_GB2312"/>
          <w:sz w:val="32"/>
          <w:szCs w:val="32"/>
          <w:lang w:val="en-US" w:eastAsia="zh-CN"/>
        </w:rPr>
        <w:sectPr>
          <w:footerReference r:id="rId3" w:type="default"/>
          <w:pgSz w:w="11906" w:h="16838"/>
          <w:pgMar w:top="1984" w:right="1474" w:bottom="2098" w:left="1587" w:header="851" w:footer="992" w:gutter="0"/>
          <w:pgNumType w:fmt="numberInDash"/>
          <w:cols w:space="425" w:num="1"/>
          <w:docGrid w:type="lines" w:linePitch="312" w:charSpace="0"/>
        </w:sectPr>
      </w:pPr>
    </w:p>
    <w:p>
      <w:pPr>
        <w:spacing w:line="500" w:lineRule="exact"/>
        <w:jc w:val="both"/>
        <w:rPr>
          <w:rFonts w:hint="default" w:ascii="黑体" w:hAnsi="黑体" w:eastAsia="黑体" w:cs="黑体"/>
          <w:color w:val="000000"/>
          <w:sz w:val="40"/>
          <w:szCs w:val="40"/>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-517525</wp:posOffset>
                </wp:positionH>
                <wp:positionV relativeFrom="paragraph">
                  <wp:posOffset>3810</wp:posOffset>
                </wp:positionV>
                <wp:extent cx="484505" cy="6927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692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5pt;margin-top:0.3pt;height:54.55pt;width:38.15pt;z-index:251660288;mso-width-relative:page;mso-height-relative:page;" filled="f" stroked="f" coordsize="21600,21600" o:gfxdata="UEsDBAoAAAAAAIdO4kAAAAAAAAAAAAAAAAAEAAAAZHJzL1BLAwQUAAAACACHTuJAmpouGdYAAAAH&#10;AQAADwAAAGRycy9kb3ducmV2LnhtbE2OUU+DMBSF3038D81d4hsrEJmDURaj2esS2RLjW6FXIGtv&#10;CS0b+uutT/p4cr6c85X7xWh2xckNlgQk6xgYUmvVQJ2A8+kQbYE5L0lJbQkFfKGDfXV/V8pC2Ru9&#10;4bX2HQsj5AopoPd+LDh3bY9GurUdkUL3aScjfYhTx9Ukb2HcaJ7G8YYbOVB46OWILz22l3o2Apb3&#10;/Hho8uOznj9es8f0+1zb+SLEwyqJd8A8Lv4Phl/9oA5VcGrsTMoxLSDaJllABWyAhTrKUmBNwOL8&#10;CXhV8v/+1Q9QSwMEFAAAAAgAh07iQAnOnRw+AgAAZwQAAA4AAABkcnMvZTJvRG9jLnhtbK1UzY7a&#10;MBC+V+o7WL6XBAosiwgruoiq0qq7Ev05G8chkWyPaxsS+gDtG/TUS+99Lp6jYyewaNvDHnpxxjPj&#10;b/x9M87splGS7IV1FeiM9nspJUJzyCu9zejHD6tXE0qcZzpnErTI6EE4ejN/+WJWm6kYQAkyF5Yg&#10;iHbT2mS09N5Mk8TxUijmemCExmABVjGPW7tNcstqRFcyGaTpOKnB5sYCF86hd9kGaYdonwMIRVFx&#10;sQS+U0L7FtUKyTxScmVlHJ3H2xaF4P6+KJzwRGYUmfq4YhG0N2FN5jM23Vpmyop3V2DPucITTopV&#10;GoueoZbMM7Kz1V9QquIWHBS+x0ElLZGoCLLop0+0WZfMiMgFpXbmLLr7f7D8/f7BkirP6JgSzRQ2&#10;/Pjj+/Hn7+Ovb2Qc5KmNm2LW2mCeb95Ag0Nz8jt0BtZNYVX4Ih+CcRT3cBZXNJ5wdA4nw1E6ooRj&#10;aHw9uJqMAkryeNhY598KUCQYGbXYuygp298536aeUkItDatKytg/qUmNoK9HaTxwjiC41FgjUGiv&#10;GizfbJqO1wbyA9Ky0M6FM3xVYfE75vwDszgIyASfir/HpZCARaCzKCnBfv2XP+RnVLBP+KWkxtHK&#10;qPuyY1ZQIt9p7N11fzgMsxg3w9HVADf2MrK5jOidugWc3j4+S8OjGfK9PJmFBfUZ39Qi1MUQ0xzv&#10;llGs3pq3vh14fJNcLBYxCafPMH+n14YH6FbQxc5DUUWtg1CtOp1+OH+xW91bCQN+uY9Zj/+H+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ami4Z1gAAAAcBAAAPAAAAAAAAAAEAIAAAACIAAABkcnMv&#10;ZG93bnJldi54bWxQSwECFAAUAAAACACHTuJACc6dHD4CAABnBAAADgAAAAAAAAABACAAAAAlAQAA&#10;ZHJzL2Uyb0RvYy54bWxQSwUGAAAAAAYABgBZAQAA1Q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p>
                  </w:txbxContent>
                </v:textbox>
              </v:shape>
            </w:pict>
          </mc:Fallback>
        </mc:AlternateContent>
      </w:r>
      <w:r>
        <w:rPr>
          <w:rFonts w:hint="eastAsia" w:ascii="黑体" w:hAnsi="黑体" w:eastAsia="黑体" w:cs="黑体"/>
          <w:color w:val="000000"/>
          <w:sz w:val="32"/>
          <w:szCs w:val="32"/>
          <w:lang w:eastAsia="zh-CN"/>
        </w:rPr>
        <w:t>附件</w:t>
      </w:r>
    </w:p>
    <w:p>
      <w:pPr>
        <w:spacing w:line="500" w:lineRule="exact"/>
        <w:jc w:val="both"/>
        <w:rPr>
          <w:rFonts w:hint="eastAsia" w:ascii="方正小标宋简体" w:hAnsi="方正小标宋简体" w:eastAsia="方正小标宋简体" w:cs="方正小标宋简体"/>
          <w:color w:val="000000"/>
          <w:sz w:val="40"/>
          <w:szCs w:val="40"/>
          <w:lang w:eastAsia="zh-CN"/>
        </w:rPr>
      </w:pPr>
    </w:p>
    <w:p>
      <w:pPr>
        <w:spacing w:line="500" w:lineRule="exac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太白县第一批县级行政执法权下放事项目录</w:t>
      </w:r>
    </w:p>
    <w:p>
      <w:pPr>
        <w:pStyle w:val="2"/>
        <w:ind w:left="0" w:leftChars="0"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tbl>
      <w:tblPr>
        <w:tblStyle w:val="7"/>
        <w:tblW w:w="14026" w:type="dxa"/>
        <w:tblInd w:w="7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758"/>
        <w:gridCol w:w="4241"/>
        <w:gridCol w:w="2181"/>
        <w:gridCol w:w="2332"/>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7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宋体"/>
                <w:b/>
                <w:bCs/>
                <w:color w:val="000000"/>
                <w:sz w:val="24"/>
              </w:rPr>
            </w:pPr>
            <w:r>
              <w:rPr>
                <w:rFonts w:hint="eastAsia" w:ascii="仿宋_GB2312" w:eastAsia="仿宋_GB2312"/>
                <w:b/>
                <w:bCs/>
                <w:color w:val="000000"/>
                <w:sz w:val="24"/>
              </w:rPr>
              <w:t>序号</w:t>
            </w:r>
          </w:p>
        </w:tc>
        <w:tc>
          <w:tcPr>
            <w:tcW w:w="37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宋体"/>
                <w:b/>
                <w:bCs/>
                <w:color w:val="000000"/>
                <w:sz w:val="24"/>
                <w:lang w:eastAsia="zh-CN"/>
              </w:rPr>
            </w:pPr>
            <w:r>
              <w:rPr>
                <w:rFonts w:hint="eastAsia" w:ascii="仿宋_GB2312" w:eastAsia="仿宋_GB2312"/>
                <w:b/>
                <w:bCs/>
                <w:color w:val="000000"/>
                <w:sz w:val="24"/>
                <w:lang w:eastAsia="zh-CN"/>
              </w:rPr>
              <w:t>事项名称</w:t>
            </w:r>
          </w:p>
        </w:tc>
        <w:tc>
          <w:tcPr>
            <w:tcW w:w="4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宋体"/>
                <w:b/>
                <w:bCs/>
                <w:color w:val="000000"/>
                <w:sz w:val="24"/>
                <w:lang w:eastAsia="zh-CN"/>
              </w:rPr>
            </w:pPr>
            <w:r>
              <w:rPr>
                <w:rFonts w:hint="eastAsia" w:ascii="仿宋_GB2312" w:eastAsia="仿宋_GB2312"/>
                <w:b/>
                <w:bCs/>
                <w:color w:val="000000"/>
                <w:sz w:val="24"/>
                <w:lang w:eastAsia="zh-CN"/>
              </w:rPr>
              <w:t>设定依据</w:t>
            </w:r>
          </w:p>
        </w:tc>
        <w:tc>
          <w:tcPr>
            <w:tcW w:w="21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宋体"/>
                <w:b/>
                <w:bCs/>
                <w:color w:val="000000"/>
                <w:sz w:val="24"/>
                <w:lang w:eastAsia="zh-CN"/>
              </w:rPr>
            </w:pPr>
            <w:r>
              <w:rPr>
                <w:rFonts w:hint="eastAsia" w:ascii="仿宋_GB2312" w:eastAsia="仿宋_GB2312"/>
                <w:b/>
                <w:bCs/>
                <w:color w:val="000000"/>
                <w:sz w:val="24"/>
                <w:lang w:eastAsia="zh-CN"/>
              </w:rPr>
              <w:t>下放县级主管部门</w:t>
            </w:r>
          </w:p>
        </w:tc>
        <w:tc>
          <w:tcPr>
            <w:tcW w:w="23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eastAsia="仿宋_GB2312"/>
                <w:b/>
                <w:bCs/>
                <w:color w:val="000000"/>
                <w:sz w:val="24"/>
                <w:lang w:eastAsia="zh-CN"/>
              </w:rPr>
            </w:pPr>
            <w:r>
              <w:rPr>
                <w:rFonts w:hint="eastAsia" w:ascii="仿宋_GB2312" w:eastAsia="仿宋_GB2312"/>
                <w:b/>
                <w:bCs/>
                <w:color w:val="000000"/>
                <w:sz w:val="24"/>
                <w:lang w:eastAsia="zh-CN"/>
              </w:rPr>
              <w:t>承接镇</w:t>
            </w:r>
          </w:p>
        </w:tc>
        <w:tc>
          <w:tcPr>
            <w:tcW w:w="80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eastAsia="仿宋_GB2312"/>
                <w:b/>
                <w:bCs/>
                <w:color w:val="000000"/>
                <w:sz w:val="24"/>
                <w:lang w:eastAsia="zh-CN"/>
              </w:rPr>
            </w:pPr>
            <w:r>
              <w:rPr>
                <w:rFonts w:hint="eastAsia" w:ascii="仿宋_GB2312" w:eastAsia="仿宋_GB2312"/>
                <w:b/>
                <w:bCs/>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rPr>
            </w:pPr>
            <w:r>
              <w:rPr>
                <w:rFonts w:hint="eastAsia" w:ascii="仿宋_GB2312" w:hAnsi="宋体" w:eastAsia="仿宋_GB2312" w:cs="仿宋_GB2312"/>
                <w:i w:val="0"/>
                <w:color w:val="auto"/>
                <w:kern w:val="0"/>
                <w:sz w:val="24"/>
                <w:szCs w:val="24"/>
                <w:u w:val="none"/>
                <w:lang w:val="en-US" w:eastAsia="zh-CN" w:bidi="ar"/>
              </w:rPr>
              <w:t>1</w:t>
            </w:r>
          </w:p>
        </w:tc>
        <w:tc>
          <w:tcPr>
            <w:tcW w:w="375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b/>
                <w:bCs/>
                <w:color w:val="000000"/>
                <w:sz w:val="24"/>
                <w:lang w:eastAsia="zh-CN"/>
              </w:rPr>
            </w:pPr>
            <w:r>
              <w:rPr>
                <w:rFonts w:hint="eastAsia" w:ascii="仿宋_GB2312" w:hAnsi="宋体" w:eastAsia="仿宋_GB2312" w:cs="仿宋_GB2312"/>
                <w:i w:val="0"/>
                <w:color w:val="auto"/>
                <w:kern w:val="0"/>
                <w:sz w:val="24"/>
                <w:szCs w:val="24"/>
                <w:u w:val="none"/>
                <w:lang w:val="en-US" w:eastAsia="zh-CN" w:bidi="ar"/>
              </w:rPr>
              <w:t>对墓穴占地面积超过规定标准的处罚</w:t>
            </w:r>
          </w:p>
        </w:tc>
        <w:tc>
          <w:tcPr>
            <w:tcW w:w="424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《殡葬管理条例》（国务院令225号2012年11月修订）第十九条</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仿宋_GB2312" w:eastAsia="仿宋_GB2312"/>
                <w:b/>
                <w:bCs/>
                <w:color w:val="000000"/>
                <w:sz w:val="24"/>
                <w:lang w:eastAsia="zh-CN"/>
              </w:rPr>
            </w:pPr>
            <w:r>
              <w:rPr>
                <w:rFonts w:hint="eastAsia" w:ascii="仿宋_GB2312" w:hAnsi="宋体" w:eastAsia="仿宋_GB2312" w:cs="仿宋_GB2312"/>
                <w:i w:val="0"/>
                <w:color w:val="auto"/>
                <w:kern w:val="0"/>
                <w:sz w:val="24"/>
                <w:szCs w:val="24"/>
                <w:u w:val="none"/>
                <w:lang w:val="en-US" w:eastAsia="zh-CN" w:bidi="ar"/>
              </w:rPr>
              <w:t>《陕西省殡葬管理办法》（省政府令第60号2012年2月修订）第三十一条</w:t>
            </w:r>
          </w:p>
        </w:tc>
        <w:tc>
          <w:tcPr>
            <w:tcW w:w="21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r>
              <w:rPr>
                <w:rFonts w:hint="eastAsia" w:ascii="仿宋_GB2312" w:hAnsi="宋体" w:eastAsia="仿宋_GB2312" w:cs="仿宋_GB2312"/>
                <w:i w:val="0"/>
                <w:color w:val="auto"/>
                <w:kern w:val="0"/>
                <w:sz w:val="24"/>
                <w:szCs w:val="24"/>
                <w:u w:val="none"/>
                <w:lang w:val="en-US" w:eastAsia="zh-CN" w:bidi="ar"/>
              </w:rPr>
              <w:t>县民政局</w:t>
            </w:r>
          </w:p>
        </w:tc>
        <w:tc>
          <w:tcPr>
            <w:tcW w:w="2332" w:type="dxa"/>
            <w:vAlign w:val="center"/>
          </w:tcPr>
          <w:p>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lang w:val="en-US" w:eastAsia="zh-CN"/>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对临时用地期满之日起一年内未完成复垦或者未恢复种植条件，经责令限期改正逾期不改正的处罚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《中华人民共和国土地管理法》第七十六条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《中华人民共和国土地管理法实施条例》（国务院令第256号2021年7月修订）第二十条、第五十六条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县自然资源局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5"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对从事畜禽规模养殖未及时收集、贮存、利用或者处置养殖过程中产生的畜禽粪污等固体废物的罚款处罚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《中华人民共和国固体废物污染环境防治法》第一百零七条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县生态环境分局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对在人口集中地区对树木、花草喷洒剧毒、高毒农药，或者露天焚烧秸秆、落叶等产生烟尘污染的物质的处罚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《中华人民共和国大气污染防治法》第七十四条、第七十七条、第一百一十九条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县生态环境分局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对损毁或擅自改变饮用水水源保护区有关标志设施情节严重的处罚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《陕西省饮用水水源保护条例》第四十四条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县生态环境分局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4"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对在县城规划区以外的集镇规划区和村庄规划区内，未取得建设工程规划许可证或者未按照建设工程规划许可证的规定进行建设的处罚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《中华人民共和国城乡规划法》第六十四条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对建设单位或者个人未经批准进行临时建设的；未按照批准内容进行临时建设的；临时建筑物、构筑物超过批准期限不拆除的处罚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《中华人民共和国城乡规划法》第六十六条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color w:val="auto"/>
                <w:kern w:val="0"/>
                <w:sz w:val="24"/>
                <w:szCs w:val="24"/>
                <w:u w:val="no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-541020</wp:posOffset>
                      </wp:positionH>
                      <wp:positionV relativeFrom="paragraph">
                        <wp:posOffset>178435</wp:posOffset>
                      </wp:positionV>
                      <wp:extent cx="484505" cy="649605"/>
                      <wp:effectExtent l="0" t="0" r="0" b="0"/>
                      <wp:wrapNone/>
                      <wp:docPr id="7" name="文本框 7"/>
                      <wp:cNvGraphicFramePr/>
                      <a:graphic xmlns:a="http://schemas.openxmlformats.org/drawingml/2006/main">
                        <a:graphicData uri="http://schemas.microsoft.com/office/word/2010/wordprocessingShape">
                          <wps:wsp>
                            <wps:cNvSpPr txBox="1"/>
                            <wps:spPr>
                              <a:xfrm>
                                <a:off x="397510" y="910590"/>
                                <a:ext cx="484505" cy="649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pt;margin-top:14.05pt;height:51.15pt;width:38.15pt;z-index:251661312;mso-width-relative:page;mso-height-relative:page;" filled="f" stroked="f" coordsize="21600,21600" o:gfxdata="UEsDBAoAAAAAAIdO4kAAAAAAAAAAAAAAAAAEAAAAZHJzL1BLAwQUAAAACACHTuJAWm0S0NkAAAAJ&#10;AQAADwAAAGRycy9kb3ducmV2LnhtbE2PwW6DMBBE75X6D9ZG6o3Y0KQCgomqVrlGKolU9WbwFlCw&#10;jbBJaL++21N7XM3TzNtiv5iBXXHyvbMS4rUAhrZxurethPPpEKXAfFBWq8FZlPCFHvbl/V2hcu1u&#10;9g2vVWgZlVifKwldCGPOuW86NMqv3YiWsk83GRXonFquJ3WjcjPwRIgnblRvaaFTI7502Fyq2UhY&#10;3rPjoc6Oz8P88brdJN/nys0XKR9WsdgBC7iEPxh+9UkdSnKq3Wy1Z4OEKN0mhEpI0hgYAVGaAasJ&#10;fBQb4GXB/39Q/gBQSwMEFAAAAAgAh07iQBfkmElIAgAAcQQAAA4AAABkcnMvZTJvRG9jLnhtbK1U&#10;S27bMBDdF+gdCO5rSYk/sRE5cGO4KBA0AdzPmqYoSwDJYUnaknuA5gZdddN9z+VzdEjJSZB2kUU3&#10;1JAzfjPvzYwvr1olyV5YV4POaTZIKRGaQ1HrbU4/fVy9uaDEeaYLJkGLnB6Eo1fz168uGzMTZ1CB&#10;LIQlCKLdrDE5rbw3syRxvBKKuQEYodFZglXM49Vuk8KyBtGVTM7SdJw0YAtjgQvn8HXZOWmPaF8C&#10;CGVZc7EEvlNC+w7VCsk8UnJVbRydx2rLUnB/W5ZOeCJzikx9PDEJ2ptwJvNLNttaZqqa9yWwl5Tw&#10;jJNitcakD1BL5hnZ2fovKFVzCw5KP+Cgko5IVARZZOkzbdYVMyJyQamdeRDd/T9Y/mF/Z0ld5HRC&#10;iWYKG378cX/8+fv46zuZBHka42YYtTYY59u30OLQnN4dPgbWbWlV+CIfgv7z6WSUocKHnE6zdDTt&#10;ZRatJxzdw4vhKB1RwtE/Hk7HaGOe5BHGWOffCVAkGDm12MUoLtvfON+FnkJCVg2rWsrYSalJg6Dn&#10;ozT+4MGD4FJjjkCmKzpYvt20PcMNFAckaKGbEGf4qsbkN8z5O2ZxJJAOLo2/xaOUgEmgtyipwH77&#10;13uIz6lgn/FLSYNDllP3dcesoES+19jFaTYchqmMl+FocoYX+9SzeerRO3UNOMcZLqjh0QzxXp7M&#10;0oL6gtu1CHnRxTTH2nKK2Tvz2nejj9vJxWIRg3AODfM3em14gO4EXew8lHXUOgjVqdPrh5MYu9Vv&#10;TRj1p/cY9fhP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m0S0NkAAAAJAQAADwAAAAAAAAAB&#10;ACAAAAAiAAAAZHJzL2Rvd25yZXYueG1sUEsBAhQAFAAAAAgAh07iQBfkmElIAgAAcQQAAA4AAAAA&#10;AAAAAQAgAAAAKAEAAGRycy9lMm9Eb2MueG1sUEsFBgAAAAAGAAYAWQEAAOI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p>
                        </w:txbxContent>
                      </v:textbox>
                    </v:shape>
                  </w:pict>
                </mc:Fallback>
              </mc:AlternateContent>
            </w:r>
            <w:r>
              <w:rPr>
                <w:rFonts w:hint="eastAsia" w:ascii="仿宋_GB2312" w:hAnsi="宋体" w:eastAsia="仿宋_GB2312" w:cs="仿宋_GB2312"/>
                <w:i w:val="0"/>
                <w:color w:val="auto"/>
                <w:kern w:val="0"/>
                <w:sz w:val="24"/>
                <w:szCs w:val="24"/>
                <w:u w:val="none"/>
                <w:lang w:val="en-US" w:eastAsia="zh-CN" w:bidi="ar"/>
              </w:rPr>
              <w:t>8</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对在乡村公共饮用水源地建厕所、畜禽圈、污染型企业或者排放污水以及堆放垃圾和其他废弃物的处罚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《陕西省乡村规划建设条例》第四十二条、第五十一条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pStyle w:val="5"/>
              <w:ind w:left="0" w:leftChars="0" w:firstLine="0" w:firstLineChars="0"/>
              <w:jc w:val="center"/>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color w:val="auto"/>
                <w:kern w:val="0"/>
                <w:sz w:val="24"/>
                <w:szCs w:val="24"/>
                <w:u w:val="none"/>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-73660</wp:posOffset>
                      </wp:positionV>
                      <wp:extent cx="484505" cy="6496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84505" cy="649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95pt;margin-top:-5.8pt;height:51.15pt;width:38.15pt;z-index:251662336;mso-width-relative:page;mso-height-relative:page;" filled="f" stroked="f" coordsize="21600,21600" o:gfxdata="UEsDBAoAAAAAAIdO4kAAAAAAAAAAAAAAAAAEAAAAZHJzL1BLAwQUAAAACACHTuJA8uFqbtkAAAAJ&#10;AQAADwAAAGRycy9kb3ducmV2LnhtbE2PwU7DMAyG70i8Q2Qkbl3SAdtamk4ItOskyiTELW1CWy1x&#10;qibdCk8/7wQn2/Kn35+L7ewsO5kx9B4lpAsBzGDjdY+thMPHLtkAC1GhVtajkfBjAmzL25tC5dqf&#10;8d2cqtgyCsGQKwldjEPOeWg641RY+MEg7b796FSkcWy5HtWZwp3lSyFW3Kke6UKnBvPameZYTU7C&#10;/Jntd3W2f7HT19vT4/L3UPnpKOX9XSqegUUzxz8YrvqkDiU51X5CHZiVkGweMkKpSdMVMCKSNdVa&#10;QibWwMuC//+gvABQSwMEFAAAAAgAh07iQBlhBCM+AgAAZwQAAA4AAABkcnMvZTJvRG9jLnhtbK1U&#10;zY7aMBC+V+o7WL6XAA10QYQVXURVCXVX2v6cjeOQSLbHtQ0JfYDuG/TUS+99Lp6jYyewaNvDHnpx&#10;xjPjb/x9M87sulGS7IV1FeiMDnp9SoTmkFd6m9FPH1evrihxnumcSdAiowfh6PX85YtZbaZiCCXI&#10;XFiCINpNa5PR0nszTRLHS6GY64ERGoMFWMU8bu02yS2rEV3JZNjvj5MabG4scOEcepdtkHaI9jmA&#10;UBQVF0vgOyW0b1GtkMwjJVdWxtF5vG1RCO5vi8IJT2RGkamPKxZBexPWZD5j061lpqx4dwX2nCs8&#10;4aRYpbHoGWrJPCM7W/0FpSpuwUHhexxU0hKJiiCLQf+JNvclMyJyQamdOYvu/h8s/7C/s6TKMzqh&#10;RDOFDT/+eDj+/H389Z1Mgjy1cVPMujeY55u30ODQnPwOnYF1U1gVvsiHYBzFPZzFFY0nHJ3pVTrq&#10;jyjhGBqnkzHaiJ48HjbW+XcCFAlGRi32LkrK9mvn29RTSqilYVVJGfsnNakR9PWoHw+cIwguNdYI&#10;FNqrBss3m6bjtYH8gLQstHPhDF9VWHzNnL9jFgcBmeBT8be4FBKwCHQWJSXYb//yh/yMCvYZv5TU&#10;OFoZdV93zApK5HuNvZsM0jTMYtykozdD3NjLyOYyonfqBnB6B/gsDY9myPfyZBYW1Bd8U4tQF0NM&#10;c7xbRrF6a974duDxTXKxWMQknD7D/FrfGx6gW0EXOw9FFbUOQrXqdPrh/MVudW8lDPjlPmY9/h/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4Wpu2QAAAAkBAAAPAAAAAAAAAAEAIAAAACIAAABk&#10;cnMvZG93bnJldi54bWxQSwECFAAUAAAACACHTuJAGWEEIz4CAABnBAAADgAAAAAAAAABACAAAAAo&#10;AQAAZHJzL2Uyb0RvYy54bWxQSwUGAAAAAAYABgBZAQAA2A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9</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对擅自在农村公路上设卡、收费的处罚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《中华人民共和国公路法》第七十四条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县交通运输局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9"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对农村村民未经批准或者采取欺骗手段骗取批准，非法占用土地建住宅的处罚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《中华人民共和国土地管理法》第七十八条、第八十三条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县农业农村局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各镇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7"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11</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对临街的商业、饮食业，车辆清洗维修等行业的经营者违反规定店外占道经营、作业或者展示商品的处罚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《陕西省城市市容环境卫生条例》第二十七条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桃川镇、鹦鸽镇、</w:t>
            </w:r>
          </w:p>
          <w:p>
            <w:pPr>
              <w:pStyle w:val="5"/>
              <w:ind w:left="0" w:leftChars="0" w:firstLine="0" w:firstLineChars="0"/>
              <w:jc w:val="left"/>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pStyle w:val="5"/>
              <w:ind w:left="0" w:leftChars="0" w:firstLine="0" w:firstLineChars="0"/>
              <w:jc w:val="left"/>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12</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对违反规定在道路两侧的护栏、电线杆、树木，绿篱和公共场所等处晾晒、吊挂杂物的处罚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《陕西省城市市容环境卫生条例》第二十八条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桃川镇、鹦鸽镇、</w:t>
            </w:r>
          </w:p>
          <w:p>
            <w:pPr>
              <w:pStyle w:val="5"/>
              <w:ind w:left="0" w:leftChars="0" w:firstLine="0" w:firstLineChars="0"/>
              <w:jc w:val="left"/>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pStyle w:val="5"/>
              <w:ind w:left="0" w:leftChars="0" w:firstLine="0" w:firstLineChars="0"/>
              <w:jc w:val="left"/>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5"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13</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对违反规定在城市的建筑物、构筑物、公共设施、路面和树木等处刻画、涂写、喷涂等影响市容的行为以及违反规定张贴、悬挂宣传品的处罚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《陕西省城市市容环境卫生条例》第三十三条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桃川镇、鹦鸽镇、</w:t>
            </w:r>
          </w:p>
          <w:p>
            <w:pPr>
              <w:pStyle w:val="5"/>
              <w:ind w:left="0" w:leftChars="0" w:firstLine="0" w:firstLineChars="0"/>
              <w:jc w:val="left"/>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pStyle w:val="5"/>
              <w:ind w:left="0" w:leftChars="0" w:firstLine="0" w:firstLineChars="0"/>
              <w:jc w:val="left"/>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14</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对从事车辆清洗维修废品收购等行业的经营者未保持经营场所周边的环境卫生整洁，污水外流或者废弃物向外散落的处罚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《陕西省城市市容环境卫生条例》第四十四条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桃川镇、鹦鸽镇、</w:t>
            </w:r>
          </w:p>
          <w:p>
            <w:pPr>
              <w:pStyle w:val="5"/>
              <w:ind w:left="0" w:leftChars="0" w:firstLine="0" w:firstLineChars="0"/>
              <w:jc w:val="left"/>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pStyle w:val="5"/>
              <w:ind w:left="0" w:leftChars="0" w:firstLine="0" w:firstLineChars="0"/>
              <w:jc w:val="left"/>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15</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对随地吐痰、便溺等行为的处罚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《陕西省城市市容环境卫生条例》第四十五条、第四十六条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《陕西省爱国卫生条例》第十四条、第二十九条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县住建局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桃川镇、鹦鸽镇、</w:t>
            </w:r>
          </w:p>
          <w:p>
            <w:pPr>
              <w:pStyle w:val="5"/>
              <w:ind w:left="0" w:leftChars="0" w:firstLine="0" w:firstLineChars="0"/>
              <w:jc w:val="left"/>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pStyle w:val="5"/>
              <w:ind w:left="0" w:leftChars="0" w:firstLine="0" w:firstLineChars="0"/>
              <w:jc w:val="left"/>
              <w:rPr>
                <w:rFonts w:hint="eastAsia" w:asciiTheme="minorHAnsi" w:hAnsiTheme="minorHAnsi" w:eastAsiaTheme="minorEastAsia" w:cstheme="minorBidi"/>
                <w:color w:val="000000"/>
                <w:kern w:val="0"/>
                <w:sz w:val="24"/>
                <w:szCs w:val="24"/>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b/>
                <w:bCs/>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color w:val="auto"/>
                <w:kern w:val="2"/>
                <w:sz w:val="18"/>
                <w:szCs w:val="18"/>
                <w:highlight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16</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对用人单位违反劳动保障法律、法规或者规章延长劳动者工作时间的处罚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《中华人民共和国劳动法》第九十条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《劳动保障监察条例》（国务院令第423号）第二十五条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县人社局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cs="仿宋_GB2312" w:eastAsiaTheme="minorEastAsia"/>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17</w:t>
            </w:r>
          </w:p>
        </w:tc>
        <w:tc>
          <w:tcPr>
            <w:tcW w:w="375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对非法招用未满十六周岁未成年人的用人单位处以罚款的处罚</w:t>
            </w:r>
          </w:p>
        </w:tc>
        <w:tc>
          <w:tcPr>
            <w:tcW w:w="42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《中华人民共和国劳动法》第十五条、第九十四条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《娱乐场所管理条例》（国务院令458号2020年11月修订）第五十二条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县人社局</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靖口镇、黄柏塬镇、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宋体" w:eastAsia="仿宋_GB2312" w:cs="仿宋_GB2312"/>
                <w:i w:val="0"/>
                <w:color w:val="auto"/>
                <w:kern w:val="0"/>
                <w:sz w:val="24"/>
                <w:szCs w:val="24"/>
                <w:u w:val="none"/>
                <w:lang w:val="en-US" w:eastAsia="zh-CN" w:bidi="ar"/>
              </w:rPr>
              <w:t>王家堎镇、太白河镇</w:t>
            </w:r>
          </w:p>
        </w:tc>
        <w:tc>
          <w:tcPr>
            <w:tcW w:w="8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color w:val="auto"/>
                <w:kern w:val="2"/>
                <w:sz w:val="21"/>
                <w:szCs w:val="21"/>
                <w:lang w:val="en-US" w:eastAsia="zh-CN" w:bidi="ar-SA"/>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rPr>
          <w:rFonts w:hint="eastAsia" w:ascii="仿宋_GB2312" w:hAnsi="仿宋_GB2312" w:eastAsia="仿宋_GB2312" w:cs="仿宋_GB2312"/>
          <w:sz w:val="32"/>
          <w:szCs w:val="32"/>
          <w:lang w:val="en-US" w:eastAsia="zh-CN"/>
        </w:rPr>
      </w:pPr>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00000000"/>
    <w:rsid w:val="04AD3565"/>
    <w:rsid w:val="0CDF2602"/>
    <w:rsid w:val="0DD869B8"/>
    <w:rsid w:val="1487151D"/>
    <w:rsid w:val="1643254F"/>
    <w:rsid w:val="21432381"/>
    <w:rsid w:val="243A0633"/>
    <w:rsid w:val="276B05B8"/>
    <w:rsid w:val="2CDB3ACC"/>
    <w:rsid w:val="41CC1AB0"/>
    <w:rsid w:val="41F91DC9"/>
    <w:rsid w:val="4D8D2E99"/>
    <w:rsid w:val="553C31FE"/>
    <w:rsid w:val="666264C1"/>
    <w:rsid w:val="69FC2640"/>
    <w:rsid w:val="6B546009"/>
    <w:rsid w:val="743B50B2"/>
    <w:rsid w:val="7B6C0247"/>
    <w:rsid w:val="7F4F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eastAsia="黑体"/>
      <w:color w:val="000000"/>
      <w:sz w:val="32"/>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autoRedefine/>
    <w:semiHidden/>
    <w:qFormat/>
    <w:uiPriority w:val="99"/>
    <w:pPr>
      <w:spacing w:line="360" w:lineRule="auto"/>
      <w:ind w:left="840" w:leftChars="200" w:hanging="420" w:hangingChars="200"/>
    </w:pPr>
    <w:rPr>
      <w:color w:val="000000"/>
      <w:kern w:val="0"/>
      <w:sz w:val="24"/>
      <w:szCs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2024-03-26T06:56:00Z</dcterms:created>
  <dc:creator>Administrator</dc:creator>
  <cp:lastModifiedBy>锦瑟</cp:lastModifiedBy>
  <cp:lastPrinted>2024-04-11T00:19:00Z</cp:lastPrinted>
  <dcterms:modified xsi:type="dcterms:W3CDTF">2024-04-11T09:17:22Z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A9105B70F8A8416F9ECE98E216AD98E9_13</vt:lpwstr>
  </property>
</Properties>
</file>